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3380"/>
        <w:spacing w:after="0"/>
        <w:rPr>
          <w:sz w:val="20"/>
          <w:szCs w:val="20"/>
          <w:color w:val="auto"/>
        </w:rPr>
      </w:pPr>
      <w:r>
        <w:rPr>
          <w:rFonts w:ascii="Arial" w:cs="Arial" w:eastAsia="Arial" w:hAnsi="Arial"/>
          <w:sz w:val="19"/>
          <w:szCs w:val="19"/>
          <w:color w:val="auto"/>
        </w:rPr>
        <w:t>&lt; tr style=HEIGHT:12.35pt&gt;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12700</wp:posOffset>
            </wp:positionV>
            <wp:extent cx="55975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97525" cy="762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35560</wp:posOffset>
            </wp:positionV>
            <wp:extent cx="5597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97525" cy="7620"/>
                    </a:xfrm>
                    <a:prstGeom prst="rect">
                      <a:avLst/>
                    </a:prstGeom>
                    <a:noFill/>
                  </pic:spPr>
                </pic:pic>
              </a:graphicData>
            </a:graphic>
          </wp:anchor>
        </w:drawing>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UNITED STATES</w:t>
      </w:r>
    </w:p>
    <w:p>
      <w:pPr>
        <w:spacing w:after="0" w:line="17"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AND EXCHANGE COMMISSION</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Washington, D.C. 20549</w:t>
      </w:r>
    </w:p>
    <w:p>
      <w:pPr>
        <w:spacing w:after="0" w:line="195"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FORM 10-Q</w:t>
      </w:r>
    </w:p>
    <w:p>
      <w:pPr>
        <w:spacing w:after="0" w:line="210" w:lineRule="exact"/>
        <w:rPr>
          <w:sz w:val="24"/>
          <w:szCs w:val="24"/>
          <w:color w:val="auto"/>
        </w:rPr>
      </w:pPr>
    </w:p>
    <w:p>
      <w:pPr>
        <w:ind w:left="200"/>
        <w:spacing w:after="0"/>
        <w:rPr>
          <w:sz w:val="20"/>
          <w:szCs w:val="20"/>
          <w:color w:val="auto"/>
        </w:rPr>
      </w:pPr>
      <w:r>
        <w:rPr>
          <w:rFonts w:ascii="Arial" w:cs="Arial" w:eastAsia="Arial" w:hAnsi="Arial"/>
          <w:sz w:val="16"/>
          <w:szCs w:val="16"/>
          <w:color w:val="auto"/>
        </w:rPr>
        <w:t>(Mark One)</w:t>
      </w:r>
    </w:p>
    <w:p>
      <w:pPr>
        <w:spacing w:after="0" w:line="17" w:lineRule="exact"/>
        <w:rPr>
          <w:sz w:val="24"/>
          <w:szCs w:val="24"/>
          <w:color w:val="auto"/>
        </w:rPr>
      </w:pPr>
    </w:p>
    <w:p>
      <w:pPr>
        <w:ind w:left="680" w:hanging="480"/>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 w:lineRule="exact"/>
        <w:rPr>
          <w:sz w:val="24"/>
          <w:szCs w:val="24"/>
          <w:color w:val="auto"/>
        </w:rPr>
      </w:pPr>
    </w:p>
    <w:p>
      <w:pPr>
        <w:ind w:left="680"/>
        <w:spacing w:after="0"/>
        <w:tabs>
          <w:tab w:leader="none" w:pos="4300" w:val="left"/>
        </w:tabs>
        <w:rPr>
          <w:sz w:val="20"/>
          <w:szCs w:val="20"/>
          <w:color w:val="auto"/>
        </w:rPr>
      </w:pPr>
      <w:r>
        <w:rPr>
          <w:rFonts w:ascii="Arial" w:cs="Arial" w:eastAsia="Arial" w:hAnsi="Arial"/>
          <w:sz w:val="16"/>
          <w:szCs w:val="16"/>
          <w:color w:val="auto"/>
        </w:rPr>
        <w:t>For the quarterly period ended</w:t>
      </w:r>
      <w:r>
        <w:rPr>
          <w:sz w:val="20"/>
          <w:szCs w:val="20"/>
          <w:color w:val="auto"/>
        </w:rPr>
        <w:tab/>
      </w:r>
      <w:r>
        <w:rPr>
          <w:rFonts w:ascii="Arial" w:cs="Arial" w:eastAsia="Arial" w:hAnsi="Arial"/>
          <w:sz w:val="12"/>
          <w:szCs w:val="12"/>
          <w:color w:val="auto"/>
        </w:rPr>
        <w:t>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434975</wp:posOffset>
            </wp:positionH>
            <wp:positionV relativeFrom="paragraph">
              <wp:posOffset>8890</wp:posOffset>
            </wp:positionV>
            <wp:extent cx="52343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4305" cy="7620"/>
                    </a:xfrm>
                    <a:prstGeom prst="rect">
                      <a:avLst/>
                    </a:prstGeom>
                    <a:noFill/>
                  </pic:spPr>
                </pic:pic>
              </a:graphicData>
            </a:graphic>
          </wp:anchor>
        </w:drawing>
      </w:r>
    </w:p>
    <w:p>
      <w:pPr>
        <w:spacing w:after="0" w:line="216" w:lineRule="exact"/>
        <w:rPr>
          <w:sz w:val="24"/>
          <w:szCs w:val="24"/>
          <w:color w:val="auto"/>
        </w:rPr>
      </w:pPr>
    </w:p>
    <w:p>
      <w:pPr>
        <w:ind w:left="4700"/>
        <w:spacing w:after="0"/>
        <w:rPr>
          <w:sz w:val="20"/>
          <w:szCs w:val="20"/>
          <w:color w:val="auto"/>
        </w:rPr>
      </w:pPr>
      <w:r>
        <w:rPr>
          <w:rFonts w:ascii="Arial" w:cs="Arial" w:eastAsia="Arial" w:hAnsi="Arial"/>
          <w:sz w:val="16"/>
          <w:szCs w:val="16"/>
          <w:color w:val="auto"/>
        </w:rPr>
        <w:t>or</w:t>
      </w:r>
    </w:p>
    <w:p>
      <w:pPr>
        <w:spacing w:after="0" w:line="226" w:lineRule="exact"/>
        <w:rPr>
          <w:sz w:val="24"/>
          <w:szCs w:val="24"/>
          <w:color w:val="auto"/>
        </w:rPr>
      </w:pPr>
    </w:p>
    <w:p>
      <w:pPr>
        <w:ind w:left="380" w:hanging="180"/>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sz w:val="24"/>
          <w:szCs w:val="24"/>
          <w:color w:val="auto"/>
        </w:rPr>
      </w:pPr>
    </w:p>
    <w:tbl>
      <w:tblPr>
        <w:tblLayout w:type="fixed"/>
        <w:tblInd w:w="120" w:type="dxa"/>
        <w:tblCellMar>
          <w:top w:w="0" w:type="dxa"/>
          <w:left w:w="0" w:type="dxa"/>
          <w:bottom w:w="0" w:type="dxa"/>
          <w:right w:w="0" w:type="dxa"/>
        </w:tblCellMar>
      </w:tblPr>
      <w:tr>
        <w:trPr>
          <w:trHeight w:val="198"/>
        </w:trPr>
        <w:tc>
          <w:tcPr>
            <w:tcW w:w="4120" w:type="dxa"/>
            <w:vAlign w:val="bottom"/>
            <w:gridSpan w:val="3"/>
          </w:tcPr>
          <w:p>
            <w:pPr>
              <w:ind w:left="560"/>
              <w:spacing w:after="0"/>
              <w:rPr>
                <w:sz w:val="20"/>
                <w:szCs w:val="20"/>
                <w:color w:val="auto"/>
              </w:rPr>
            </w:pPr>
            <w:r>
              <w:rPr>
                <w:rFonts w:ascii="Arial" w:cs="Arial" w:eastAsia="Arial" w:hAnsi="Arial"/>
                <w:sz w:val="16"/>
                <w:szCs w:val="16"/>
                <w:color w:val="auto"/>
              </w:rPr>
              <w:t>For the transition period from</w:t>
            </w:r>
          </w:p>
        </w:tc>
        <w:tc>
          <w:tcPr>
            <w:tcW w:w="1440" w:type="dxa"/>
            <w:vAlign w:val="bottom"/>
          </w:tcPr>
          <w:p>
            <w:pPr>
              <w:ind w:left="480"/>
              <w:spacing w:after="0"/>
              <w:rPr>
                <w:sz w:val="20"/>
                <w:szCs w:val="20"/>
                <w:color w:val="auto"/>
              </w:rPr>
            </w:pPr>
            <w:r>
              <w:rPr>
                <w:rFonts w:ascii="Arial" w:cs="Arial" w:eastAsia="Arial" w:hAnsi="Arial"/>
                <w:sz w:val="16"/>
                <w:szCs w:val="16"/>
                <w:color w:val="auto"/>
              </w:rPr>
              <w:t>to</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568"/>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color w:val="auto"/>
                <w:w w:val="87"/>
              </w:rPr>
              <w:t>Former name,</w:t>
            </w:r>
          </w:p>
        </w:tc>
      </w:tr>
      <w:tr>
        <w:trPr>
          <w:trHeight w:val="195"/>
        </w:trPr>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9"/>
              </w:rPr>
              <w:t>former address</w:t>
            </w:r>
          </w:p>
        </w:tc>
      </w:tr>
      <w:tr>
        <w:trPr>
          <w:trHeight w:val="195"/>
        </w:trPr>
        <w:tc>
          <w:tcPr>
            <w:tcW w:w="1120" w:type="dxa"/>
            <w:vAlign w:val="bottom"/>
          </w:tcPr>
          <w:p>
            <w:pPr>
              <w:spacing w:after="0"/>
              <w:rPr>
                <w:sz w:val="16"/>
                <w:szCs w:val="16"/>
                <w:color w:val="auto"/>
              </w:rPr>
            </w:pPr>
          </w:p>
        </w:tc>
        <w:tc>
          <w:tcPr>
            <w:tcW w:w="3000" w:type="dxa"/>
            <w:vAlign w:val="bottom"/>
            <w:gridSpan w:val="2"/>
          </w:tcPr>
          <w:p>
            <w:pPr>
              <w:jc w:val="center"/>
              <w:spacing w:after="0"/>
              <w:rPr>
                <w:sz w:val="20"/>
                <w:szCs w:val="20"/>
                <w:color w:val="auto"/>
              </w:rPr>
            </w:pPr>
            <w:r>
              <w:rPr>
                <w:rFonts w:ascii="Arial" w:cs="Arial" w:eastAsia="Arial" w:hAnsi="Arial"/>
                <w:sz w:val="16"/>
                <w:szCs w:val="16"/>
                <w:color w:val="auto"/>
                <w:w w:val="88"/>
              </w:rPr>
              <w:t>Exact Name of Registrants as Specified</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91"/>
              </w:rPr>
              <w:t>and former fiscal</w:t>
            </w:r>
          </w:p>
        </w:tc>
      </w:tr>
      <w:tr>
        <w:trPr>
          <w:trHeight w:val="195"/>
        </w:trPr>
        <w:tc>
          <w:tcPr>
            <w:tcW w:w="1120" w:type="dxa"/>
            <w:vAlign w:val="bottom"/>
          </w:tcPr>
          <w:p>
            <w:pPr>
              <w:ind w:left="200"/>
              <w:spacing w:after="0"/>
              <w:rPr>
                <w:sz w:val="20"/>
                <w:szCs w:val="20"/>
                <w:color w:val="auto"/>
              </w:rPr>
            </w:pPr>
            <w:r>
              <w:rPr>
                <w:rFonts w:ascii="Arial" w:cs="Arial" w:eastAsia="Arial" w:hAnsi="Arial"/>
                <w:sz w:val="16"/>
                <w:szCs w:val="16"/>
                <w:color w:val="auto"/>
              </w:rPr>
              <w:t>Commission</w:t>
            </w:r>
          </w:p>
        </w:tc>
        <w:tc>
          <w:tcPr>
            <w:tcW w:w="3000" w:type="dxa"/>
            <w:vAlign w:val="bottom"/>
            <w:gridSpan w:val="2"/>
          </w:tcPr>
          <w:p>
            <w:pPr>
              <w:jc w:val="center"/>
              <w:spacing w:after="0"/>
              <w:rPr>
                <w:sz w:val="20"/>
                <w:szCs w:val="20"/>
                <w:color w:val="auto"/>
              </w:rPr>
            </w:pPr>
            <w:r>
              <w:rPr>
                <w:rFonts w:ascii="Arial" w:cs="Arial" w:eastAsia="Arial" w:hAnsi="Arial"/>
                <w:sz w:val="16"/>
                <w:szCs w:val="16"/>
                <w:color w:val="auto"/>
                <w:w w:val="88"/>
              </w:rPr>
              <w:t>in their Charters, Address and Telephone</w:t>
            </w:r>
          </w:p>
        </w:tc>
        <w:tc>
          <w:tcPr>
            <w:tcW w:w="1440" w:type="dxa"/>
            <w:vAlign w:val="bottom"/>
          </w:tcPr>
          <w:p>
            <w:pPr>
              <w:jc w:val="center"/>
              <w:ind w:right="1"/>
              <w:spacing w:after="0"/>
              <w:rPr>
                <w:sz w:val="20"/>
                <w:szCs w:val="20"/>
                <w:color w:val="auto"/>
              </w:rPr>
            </w:pPr>
            <w:r>
              <w:rPr>
                <w:rFonts w:ascii="Arial" w:cs="Arial" w:eastAsia="Arial" w:hAnsi="Arial"/>
                <w:sz w:val="16"/>
                <w:szCs w:val="16"/>
                <w:color w:val="auto"/>
                <w:w w:val="88"/>
              </w:rPr>
              <w:t>States of</w:t>
            </w:r>
          </w:p>
        </w:tc>
        <w:tc>
          <w:tcPr>
            <w:tcW w:w="1840" w:type="dxa"/>
            <w:vAlign w:val="bottom"/>
          </w:tcPr>
          <w:p>
            <w:pPr>
              <w:jc w:val="center"/>
              <w:ind w:right="33"/>
              <w:spacing w:after="0"/>
              <w:rPr>
                <w:sz w:val="20"/>
                <w:szCs w:val="20"/>
                <w:color w:val="auto"/>
              </w:rPr>
            </w:pPr>
            <w:r>
              <w:rPr>
                <w:rFonts w:ascii="Arial" w:cs="Arial" w:eastAsia="Arial" w:hAnsi="Arial"/>
                <w:sz w:val="16"/>
                <w:szCs w:val="16"/>
                <w:color w:val="auto"/>
                <w:w w:val="92"/>
              </w:rPr>
              <w:t>I.R.S. Employer</w:t>
            </w: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7"/>
              </w:rPr>
              <w:t>year, if changed</w:t>
            </w:r>
          </w:p>
        </w:tc>
      </w:tr>
      <w:tr>
        <w:trPr>
          <w:trHeight w:val="202"/>
        </w:trPr>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File No.</w:t>
            </w:r>
          </w:p>
        </w:tc>
        <w:tc>
          <w:tcPr>
            <w:tcW w:w="3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Number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Incorporation</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Identification Nos.</w:t>
            </w:r>
          </w:p>
        </w:tc>
        <w:tc>
          <w:tcPr>
            <w:tcW w:w="140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88"/>
              </w:rPr>
              <w:t>since last report</w:t>
            </w:r>
          </w:p>
        </w:tc>
      </w:tr>
      <w:tr>
        <w:trPr>
          <w:trHeight w:val="194"/>
        </w:trPr>
        <w:tc>
          <w:tcPr>
            <w:tcW w:w="1120" w:type="dxa"/>
            <w:vAlign w:val="bottom"/>
          </w:tcPr>
          <w:p>
            <w:pPr>
              <w:ind w:left="80"/>
              <w:spacing w:after="0"/>
              <w:rPr>
                <w:sz w:val="20"/>
                <w:szCs w:val="20"/>
                <w:color w:val="auto"/>
              </w:rPr>
            </w:pPr>
            <w:r>
              <w:rPr>
                <w:rFonts w:ascii="Arial" w:cs="Arial" w:eastAsia="Arial" w:hAnsi="Arial"/>
                <w:sz w:val="16"/>
                <w:szCs w:val="16"/>
                <w:color w:val="auto"/>
              </w:rPr>
              <w:t>1-14201</w:t>
            </w: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SEMPRA ENERGY</w:t>
            </w:r>
          </w:p>
        </w:tc>
        <w:tc>
          <w:tcPr>
            <w:tcW w:w="1440" w:type="dxa"/>
            <w:vAlign w:val="bottom"/>
          </w:tcPr>
          <w:p>
            <w:pPr>
              <w:jc w:val="center"/>
              <w:ind w:right="1"/>
              <w:spacing w:after="0"/>
              <w:rPr>
                <w:sz w:val="20"/>
                <w:szCs w:val="20"/>
                <w:color w:val="auto"/>
              </w:rPr>
            </w:pPr>
            <w:r>
              <w:rPr>
                <w:rFonts w:ascii="Arial" w:cs="Arial" w:eastAsia="Arial" w:hAnsi="Arial"/>
                <w:sz w:val="16"/>
                <w:szCs w:val="16"/>
                <w:color w:val="auto"/>
                <w:w w:val="94"/>
              </w:rPr>
              <w:t>California</w:t>
            </w:r>
          </w:p>
        </w:tc>
        <w:tc>
          <w:tcPr>
            <w:tcW w:w="1840" w:type="dxa"/>
            <w:vAlign w:val="bottom"/>
          </w:tcPr>
          <w:p>
            <w:pPr>
              <w:ind w:left="100"/>
              <w:spacing w:after="0" w:line="193" w:lineRule="exact"/>
              <w:rPr>
                <w:sz w:val="20"/>
                <w:szCs w:val="20"/>
                <w:color w:val="auto"/>
              </w:rPr>
            </w:pPr>
            <w:r>
              <w:rPr>
                <w:rFonts w:ascii="Arial" w:cs="Arial" w:eastAsia="Arial" w:hAnsi="Arial"/>
                <w:sz w:val="19"/>
                <w:szCs w:val="19"/>
                <w:color w:val="auto"/>
              </w:rPr>
              <w:t>&lt; p</w:t>
            </w: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7"/>
              </w:rPr>
              <w:t>No change</w:t>
            </w:r>
          </w:p>
        </w:tc>
      </w:tr>
      <w:tr>
        <w:trPr>
          <w:trHeight w:val="219"/>
        </w:trPr>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ind w:left="100"/>
              <w:spacing w:after="0"/>
              <w:rPr>
                <w:sz w:val="20"/>
                <w:szCs w:val="20"/>
                <w:color w:val="auto"/>
              </w:rPr>
            </w:pPr>
            <w:r>
              <w:rPr>
                <w:rFonts w:ascii="Arial" w:cs="Arial" w:eastAsia="Arial" w:hAnsi="Arial"/>
                <w:sz w:val="19"/>
                <w:szCs w:val="19"/>
                <w:color w:val="auto"/>
              </w:rPr>
              <w:t>style="MARGIN:0in</w:t>
            </w:r>
          </w:p>
        </w:tc>
        <w:tc>
          <w:tcPr>
            <w:tcW w:w="1400" w:type="dxa"/>
            <w:vAlign w:val="bottom"/>
          </w:tcPr>
          <w:p>
            <w:pPr>
              <w:spacing w:after="0"/>
              <w:rPr>
                <w:sz w:val="19"/>
                <w:szCs w:val="19"/>
                <w:color w:val="auto"/>
              </w:rPr>
            </w:pPr>
          </w:p>
        </w:tc>
      </w:tr>
      <w:tr>
        <w:trPr>
          <w:trHeight w:val="219"/>
        </w:trPr>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ind w:left="100"/>
              <w:spacing w:after="0"/>
              <w:rPr>
                <w:sz w:val="20"/>
                <w:szCs w:val="20"/>
                <w:color w:val="auto"/>
              </w:rPr>
            </w:pPr>
            <w:r>
              <w:rPr>
                <w:rFonts w:ascii="Arial" w:cs="Arial" w:eastAsia="Arial" w:hAnsi="Arial"/>
                <w:sz w:val="19"/>
                <w:szCs w:val="19"/>
                <w:color w:val="auto"/>
              </w:rPr>
              <w:t>4.5pt 0pt 0in; TEXT-</w:t>
            </w:r>
          </w:p>
        </w:tc>
        <w:tc>
          <w:tcPr>
            <w:tcW w:w="1400" w:type="dxa"/>
            <w:vAlign w:val="bottom"/>
          </w:tcPr>
          <w:p>
            <w:pPr>
              <w:spacing w:after="0"/>
              <w:rPr>
                <w:sz w:val="19"/>
                <w:szCs w:val="19"/>
                <w:color w:val="auto"/>
              </w:rPr>
            </w:pPr>
          </w:p>
        </w:tc>
      </w:tr>
      <w:tr>
        <w:trPr>
          <w:trHeight w:val="219"/>
        </w:trPr>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ind w:left="100"/>
              <w:spacing w:after="0"/>
              <w:rPr>
                <w:sz w:val="20"/>
                <w:szCs w:val="20"/>
                <w:color w:val="auto"/>
              </w:rPr>
            </w:pPr>
            <w:r>
              <w:rPr>
                <w:rFonts w:ascii="Arial" w:cs="Arial" w:eastAsia="Arial" w:hAnsi="Arial"/>
                <w:sz w:val="19"/>
                <w:szCs w:val="19"/>
                <w:color w:val="auto"/>
              </w:rPr>
              <w:t>ALIGN:center"</w:t>
            </w:r>
          </w:p>
        </w:tc>
        <w:tc>
          <w:tcPr>
            <w:tcW w:w="1400" w:type="dxa"/>
            <w:vAlign w:val="bottom"/>
          </w:tcPr>
          <w:p>
            <w:pPr>
              <w:spacing w:after="0"/>
              <w:rPr>
                <w:sz w:val="19"/>
                <w:szCs w:val="19"/>
                <w:color w:val="auto"/>
              </w:rPr>
            </w:pPr>
          </w:p>
        </w:tc>
      </w:tr>
      <w:tr>
        <w:trPr>
          <w:trHeight w:val="229"/>
        </w:trPr>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ind w:left="100"/>
              <w:spacing w:after="0"/>
              <w:rPr>
                <w:sz w:val="20"/>
                <w:szCs w:val="20"/>
                <w:color w:val="auto"/>
              </w:rPr>
            </w:pPr>
            <w:r>
              <w:rPr>
                <w:rFonts w:ascii="Arial" w:cs="Arial" w:eastAsia="Arial" w:hAnsi="Arial"/>
                <w:sz w:val="19"/>
                <w:szCs w:val="19"/>
                <w:color w:val="auto"/>
              </w:rPr>
              <w:t>align=center&gt;</w:t>
            </w:r>
            <w:r>
              <w:rPr>
                <w:rFonts w:ascii="Arial" w:cs="Arial" w:eastAsia="Arial" w:hAnsi="Arial"/>
                <w:sz w:val="15"/>
                <w:szCs w:val="15"/>
                <w:color w:val="auto"/>
              </w:rPr>
              <w:t>33-</w:t>
            </w:r>
          </w:p>
        </w:tc>
        <w:tc>
          <w:tcPr>
            <w:tcW w:w="1400" w:type="dxa"/>
            <w:vAlign w:val="bottom"/>
          </w:tcPr>
          <w:p>
            <w:pPr>
              <w:spacing w:after="0"/>
              <w:rPr>
                <w:sz w:val="19"/>
                <w:szCs w:val="19"/>
                <w:color w:val="auto"/>
              </w:rPr>
            </w:pPr>
          </w:p>
        </w:tc>
      </w:tr>
      <w:tr>
        <w:trPr>
          <w:trHeight w:val="201"/>
        </w:trPr>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ind w:left="100"/>
              <w:spacing w:after="0"/>
              <w:rPr>
                <w:sz w:val="20"/>
                <w:szCs w:val="20"/>
                <w:color w:val="auto"/>
              </w:rPr>
            </w:pPr>
            <w:r>
              <w:rPr>
                <w:rFonts w:ascii="Arial" w:cs="Arial" w:eastAsia="Arial" w:hAnsi="Arial"/>
                <w:sz w:val="16"/>
                <w:szCs w:val="16"/>
                <w:color w:val="auto"/>
              </w:rPr>
              <w:t>0732627</w:t>
            </w:r>
          </w:p>
        </w:tc>
        <w:tc>
          <w:tcPr>
            <w:tcW w:w="1400" w:type="dxa"/>
            <w:vAlign w:val="bottom"/>
          </w:tcPr>
          <w:p>
            <w:pPr>
              <w:spacing w:after="0"/>
              <w:rPr>
                <w:sz w:val="17"/>
                <w:szCs w:val="17"/>
                <w:color w:val="auto"/>
              </w:rPr>
            </w:pPr>
          </w:p>
        </w:tc>
      </w:tr>
      <w:tr>
        <w:trPr>
          <w:trHeight w:val="383"/>
        </w:trPr>
        <w:tc>
          <w:tcPr>
            <w:tcW w:w="1120" w:type="dxa"/>
            <w:vAlign w:val="bottom"/>
          </w:tcPr>
          <w:p>
            <w:pPr>
              <w:spacing w:after="0"/>
              <w:rPr>
                <w:sz w:val="24"/>
                <w:szCs w:val="24"/>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101 Ash Street</w:t>
            </w: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San Diego, California 92101</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1120" w:type="dxa"/>
            <w:vAlign w:val="bottom"/>
          </w:tcPr>
          <w:p>
            <w:pPr>
              <w:spacing w:after="0"/>
              <w:rPr>
                <w:sz w:val="17"/>
                <w:szCs w:val="17"/>
                <w:color w:val="auto"/>
              </w:rPr>
            </w:pPr>
          </w:p>
        </w:tc>
        <w:tc>
          <w:tcPr>
            <w:tcW w:w="1420" w:type="dxa"/>
            <w:vAlign w:val="bottom"/>
          </w:tcPr>
          <w:p>
            <w:pPr>
              <w:ind w:left="180"/>
              <w:spacing w:after="0"/>
              <w:rPr>
                <w:sz w:val="20"/>
                <w:szCs w:val="20"/>
                <w:color w:val="auto"/>
              </w:rPr>
            </w:pPr>
            <w:r>
              <w:rPr>
                <w:rFonts w:ascii="Arial" w:cs="Arial" w:eastAsia="Arial" w:hAnsi="Arial"/>
                <w:sz w:val="16"/>
                <w:szCs w:val="16"/>
                <w:color w:val="auto"/>
              </w:rPr>
              <w:t>(619)696-2034</w:t>
            </w: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r>
      <w:tr>
        <w:trPr>
          <w:trHeight w:val="374"/>
        </w:trPr>
        <w:tc>
          <w:tcPr>
            <w:tcW w:w="1120" w:type="dxa"/>
            <w:vAlign w:val="bottom"/>
          </w:tcPr>
          <w:p>
            <w:pPr>
              <w:ind w:left="80"/>
              <w:spacing w:after="0"/>
              <w:rPr>
                <w:sz w:val="20"/>
                <w:szCs w:val="20"/>
                <w:color w:val="auto"/>
              </w:rPr>
            </w:pPr>
            <w:r>
              <w:rPr>
                <w:rFonts w:ascii="Arial" w:cs="Arial" w:eastAsia="Arial" w:hAnsi="Arial"/>
                <w:sz w:val="16"/>
                <w:szCs w:val="16"/>
                <w:color w:val="auto"/>
              </w:rPr>
              <w:t>1-377 9</w:t>
            </w: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SAN DIEGO GAS &amp; ELECTRIC</w:t>
            </w:r>
          </w:p>
        </w:tc>
        <w:tc>
          <w:tcPr>
            <w:tcW w:w="1440" w:type="dxa"/>
            <w:vAlign w:val="bottom"/>
          </w:tcPr>
          <w:p>
            <w:pPr>
              <w:jc w:val="center"/>
              <w:ind w:right="1"/>
              <w:spacing w:after="0"/>
              <w:rPr>
                <w:sz w:val="20"/>
                <w:szCs w:val="20"/>
                <w:color w:val="auto"/>
              </w:rPr>
            </w:pPr>
            <w:r>
              <w:rPr>
                <w:rFonts w:ascii="Arial" w:cs="Arial" w:eastAsia="Arial" w:hAnsi="Arial"/>
                <w:sz w:val="16"/>
                <w:szCs w:val="16"/>
                <w:color w:val="auto"/>
                <w:w w:val="94"/>
              </w:rPr>
              <w:t>California</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95-1184800</w:t>
            </w: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7"/>
              </w:rPr>
              <w:t>No change</w:t>
            </w:r>
          </w:p>
        </w:tc>
      </w:tr>
      <w:tr>
        <w:trPr>
          <w:trHeight w:val="201"/>
        </w:trPr>
        <w:tc>
          <w:tcPr>
            <w:tcW w:w="1120" w:type="dxa"/>
            <w:vAlign w:val="bottom"/>
          </w:tcPr>
          <w:p>
            <w:pPr>
              <w:spacing w:after="0"/>
              <w:rPr>
                <w:sz w:val="17"/>
                <w:szCs w:val="17"/>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COMPANY</w:t>
            </w:r>
          </w:p>
        </w:tc>
        <w:tc>
          <w:tcPr>
            <w:tcW w:w="1440" w:type="dxa"/>
            <w:vAlign w:val="bottom"/>
            <w:tcBorders>
              <w:bottom w:val="single" w:sz="8" w:color="EEEEEE"/>
            </w:tcBorders>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1"/>
        </w:trPr>
        <w:tc>
          <w:tcPr>
            <w:tcW w:w="1120" w:type="dxa"/>
            <w:vAlign w:val="bottom"/>
          </w:tcPr>
          <w:p>
            <w:pPr>
              <w:spacing w:after="0"/>
              <w:rPr>
                <w:sz w:val="15"/>
                <w:szCs w:val="15"/>
                <w:color w:val="auto"/>
              </w:rPr>
            </w:pPr>
          </w:p>
        </w:tc>
        <w:tc>
          <w:tcPr>
            <w:tcW w:w="3000" w:type="dxa"/>
            <w:vAlign w:val="bottom"/>
            <w:gridSpan w:val="2"/>
          </w:tcPr>
          <w:p>
            <w:pPr>
              <w:ind w:left="180"/>
              <w:spacing w:after="0" w:line="181" w:lineRule="exact"/>
              <w:rPr>
                <w:sz w:val="20"/>
                <w:szCs w:val="20"/>
                <w:color w:val="auto"/>
              </w:rPr>
            </w:pPr>
            <w:r>
              <w:rPr>
                <w:rFonts w:ascii="Arial" w:cs="Arial" w:eastAsia="Arial" w:hAnsi="Arial"/>
                <w:sz w:val="16"/>
                <w:szCs w:val="16"/>
                <w:color w:val="auto"/>
              </w:rPr>
              <w:t>8326 Century Park Court</w:t>
            </w:r>
          </w:p>
        </w:tc>
        <w:tc>
          <w:tcPr>
            <w:tcW w:w="1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1"/>
        </w:trPr>
        <w:tc>
          <w:tcPr>
            <w:tcW w:w="1120" w:type="dxa"/>
            <w:vAlign w:val="bottom"/>
          </w:tcPr>
          <w:p>
            <w:pPr>
              <w:spacing w:after="0"/>
              <w:rPr>
                <w:sz w:val="17"/>
                <w:szCs w:val="17"/>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San Diego, California 92123</w:t>
            </w:r>
          </w:p>
        </w:tc>
        <w:tc>
          <w:tcPr>
            <w:tcW w:w="1440" w:type="dxa"/>
            <w:vAlign w:val="bottom"/>
          </w:tcPr>
          <w:p>
            <w:pPr>
              <w:spacing w:after="0"/>
              <w:rPr>
                <w:sz w:val="17"/>
                <w:szCs w:val="17"/>
                <w:color w:val="auto"/>
              </w:rPr>
            </w:pPr>
          </w:p>
        </w:tc>
        <w:tc>
          <w:tcPr>
            <w:tcW w:w="1840" w:type="dxa"/>
            <w:vAlign w:val="bottom"/>
            <w:tcBorders>
              <w:bottom w:val="single" w:sz="8" w:color="EEEEEE"/>
            </w:tcBorders>
          </w:tcPr>
          <w:p>
            <w:pPr>
              <w:spacing w:after="0"/>
              <w:rPr>
                <w:sz w:val="17"/>
                <w:szCs w:val="17"/>
                <w:color w:val="auto"/>
              </w:rPr>
            </w:pPr>
          </w:p>
        </w:tc>
        <w:tc>
          <w:tcPr>
            <w:tcW w:w="1400" w:type="dxa"/>
            <w:vAlign w:val="bottom"/>
          </w:tcPr>
          <w:p>
            <w:pPr>
              <w:spacing w:after="0"/>
              <w:rPr>
                <w:sz w:val="17"/>
                <w:szCs w:val="17"/>
                <w:color w:val="auto"/>
              </w:rPr>
            </w:pPr>
          </w:p>
        </w:tc>
      </w:tr>
      <w:tr>
        <w:trPr>
          <w:trHeight w:val="181"/>
        </w:trPr>
        <w:tc>
          <w:tcPr>
            <w:tcW w:w="1120" w:type="dxa"/>
            <w:vAlign w:val="bottom"/>
          </w:tcPr>
          <w:p>
            <w:pPr>
              <w:spacing w:after="0"/>
              <w:rPr>
                <w:sz w:val="15"/>
                <w:szCs w:val="15"/>
                <w:color w:val="auto"/>
              </w:rPr>
            </w:pPr>
          </w:p>
        </w:tc>
        <w:tc>
          <w:tcPr>
            <w:tcW w:w="1420" w:type="dxa"/>
            <w:vAlign w:val="bottom"/>
          </w:tcPr>
          <w:p>
            <w:pPr>
              <w:ind w:left="180"/>
              <w:spacing w:after="0" w:line="181" w:lineRule="exact"/>
              <w:rPr>
                <w:sz w:val="20"/>
                <w:szCs w:val="20"/>
                <w:color w:val="auto"/>
              </w:rPr>
            </w:pPr>
            <w:r>
              <w:rPr>
                <w:rFonts w:ascii="Arial" w:cs="Arial" w:eastAsia="Arial" w:hAnsi="Arial"/>
                <w:sz w:val="16"/>
                <w:szCs w:val="16"/>
                <w:color w:val="auto"/>
              </w:rPr>
              <w:t>(619)696-2000</w:t>
            </w:r>
          </w:p>
        </w:tc>
        <w:tc>
          <w:tcPr>
            <w:tcW w:w="1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89"/>
        </w:trPr>
        <w:tc>
          <w:tcPr>
            <w:tcW w:w="1120" w:type="dxa"/>
            <w:vAlign w:val="bottom"/>
          </w:tcPr>
          <w:p>
            <w:pPr>
              <w:ind w:left="80"/>
              <w:spacing w:after="0"/>
              <w:rPr>
                <w:sz w:val="20"/>
                <w:szCs w:val="20"/>
                <w:color w:val="auto"/>
              </w:rPr>
            </w:pPr>
            <w:r>
              <w:rPr>
                <w:rFonts w:ascii="Arial" w:cs="Arial" w:eastAsia="Arial" w:hAnsi="Arial"/>
                <w:sz w:val="16"/>
                <w:szCs w:val="16"/>
                <w:color w:val="auto"/>
              </w:rPr>
              <w:t>1-40</w:t>
            </w: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PACIFIC ENTERPRISES</w:t>
            </w:r>
          </w:p>
        </w:tc>
        <w:tc>
          <w:tcPr>
            <w:tcW w:w="1440" w:type="dxa"/>
            <w:vAlign w:val="bottom"/>
          </w:tcPr>
          <w:p>
            <w:pPr>
              <w:jc w:val="center"/>
              <w:ind w:right="1"/>
              <w:spacing w:after="0"/>
              <w:rPr>
                <w:sz w:val="20"/>
                <w:szCs w:val="20"/>
                <w:color w:val="auto"/>
              </w:rPr>
            </w:pPr>
            <w:r>
              <w:rPr>
                <w:rFonts w:ascii="Arial" w:cs="Arial" w:eastAsia="Arial" w:hAnsi="Arial"/>
                <w:sz w:val="16"/>
                <w:szCs w:val="16"/>
                <w:color w:val="auto"/>
                <w:w w:val="94"/>
              </w:rPr>
              <w:t>California</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94-0743670</w:t>
            </w: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7"/>
              </w:rPr>
              <w:t>No change</w:t>
            </w:r>
          </w:p>
        </w:tc>
      </w:tr>
      <w:tr>
        <w:trPr>
          <w:trHeight w:val="195"/>
        </w:trPr>
        <w:tc>
          <w:tcPr>
            <w:tcW w:w="1120" w:type="dxa"/>
            <w:vAlign w:val="bottom"/>
          </w:tcPr>
          <w:p>
            <w:pPr>
              <w:spacing w:after="0"/>
              <w:rPr>
                <w:sz w:val="16"/>
                <w:szCs w:val="16"/>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101 Ash Street</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1"/>
        </w:trPr>
        <w:tc>
          <w:tcPr>
            <w:tcW w:w="1120" w:type="dxa"/>
            <w:vAlign w:val="bottom"/>
          </w:tcPr>
          <w:p>
            <w:pPr>
              <w:spacing w:after="0"/>
              <w:rPr>
                <w:sz w:val="17"/>
                <w:szCs w:val="17"/>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San Diego, California 92101</w:t>
            </w:r>
          </w:p>
        </w:tc>
        <w:tc>
          <w:tcPr>
            <w:tcW w:w="1440" w:type="dxa"/>
            <w:vAlign w:val="bottom"/>
            <w:tcBorders>
              <w:bottom w:val="single" w:sz="8" w:color="EEEEEE"/>
            </w:tcBorders>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1"/>
        </w:trPr>
        <w:tc>
          <w:tcPr>
            <w:tcW w:w="1120" w:type="dxa"/>
            <w:vAlign w:val="bottom"/>
          </w:tcPr>
          <w:p>
            <w:pPr>
              <w:spacing w:after="0"/>
              <w:rPr>
                <w:sz w:val="15"/>
                <w:szCs w:val="15"/>
                <w:color w:val="auto"/>
              </w:rPr>
            </w:pPr>
          </w:p>
        </w:tc>
        <w:tc>
          <w:tcPr>
            <w:tcW w:w="1420" w:type="dxa"/>
            <w:vAlign w:val="bottom"/>
          </w:tcPr>
          <w:p>
            <w:pPr>
              <w:ind w:left="180"/>
              <w:spacing w:after="0" w:line="181" w:lineRule="exact"/>
              <w:rPr>
                <w:sz w:val="20"/>
                <w:szCs w:val="20"/>
                <w:color w:val="auto"/>
              </w:rPr>
            </w:pPr>
            <w:r>
              <w:rPr>
                <w:rFonts w:ascii="Arial" w:cs="Arial" w:eastAsia="Arial" w:hAnsi="Arial"/>
                <w:sz w:val="16"/>
                <w:szCs w:val="16"/>
                <w:color w:val="auto"/>
              </w:rPr>
              <w:t>(619)696-2020</w:t>
            </w:r>
          </w:p>
        </w:tc>
        <w:tc>
          <w:tcPr>
            <w:tcW w:w="1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414"/>
        </w:trPr>
        <w:tc>
          <w:tcPr>
            <w:tcW w:w="1120" w:type="dxa"/>
            <w:vAlign w:val="bottom"/>
          </w:tcPr>
          <w:p>
            <w:pPr>
              <w:ind w:left="80"/>
              <w:spacing w:after="0"/>
              <w:rPr>
                <w:sz w:val="20"/>
                <w:szCs w:val="20"/>
                <w:color w:val="auto"/>
              </w:rPr>
            </w:pPr>
            <w:r>
              <w:rPr>
                <w:rFonts w:ascii="Arial" w:cs="Arial" w:eastAsia="Arial" w:hAnsi="Arial"/>
                <w:sz w:val="16"/>
                <w:szCs w:val="16"/>
                <w:color w:val="auto"/>
              </w:rPr>
              <w:t>1-1402</w:t>
            </w: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SOUTHERN CALIFORNIA GAS</w:t>
            </w:r>
          </w:p>
        </w:tc>
        <w:tc>
          <w:tcPr>
            <w:tcW w:w="1440" w:type="dxa"/>
            <w:vAlign w:val="bottom"/>
          </w:tcPr>
          <w:p>
            <w:pPr>
              <w:jc w:val="center"/>
              <w:ind w:right="1"/>
              <w:spacing w:after="0"/>
              <w:rPr>
                <w:sz w:val="20"/>
                <w:szCs w:val="20"/>
                <w:color w:val="auto"/>
              </w:rPr>
            </w:pPr>
            <w:r>
              <w:rPr>
                <w:rFonts w:ascii="Arial" w:cs="Arial" w:eastAsia="Arial" w:hAnsi="Arial"/>
                <w:sz w:val="16"/>
                <w:szCs w:val="16"/>
                <w:color w:val="auto"/>
                <w:w w:val="94"/>
              </w:rPr>
              <w:t>California</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95-1240705</w:t>
            </w: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87"/>
              </w:rPr>
              <w:t>No change&lt;</w:t>
            </w:r>
          </w:p>
        </w:tc>
      </w:tr>
      <w:tr>
        <w:trPr>
          <w:trHeight w:val="195"/>
        </w:trPr>
        <w:tc>
          <w:tcPr>
            <w:tcW w:w="1120" w:type="dxa"/>
            <w:vAlign w:val="bottom"/>
          </w:tcPr>
          <w:p>
            <w:pPr>
              <w:spacing w:after="0"/>
              <w:rPr>
                <w:sz w:val="16"/>
                <w:szCs w:val="16"/>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COMPANY</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jc w:val="center"/>
              <w:ind w:right="1"/>
              <w:spacing w:after="0"/>
              <w:rPr>
                <w:sz w:val="20"/>
                <w:szCs w:val="20"/>
                <w:color w:val="auto"/>
              </w:rPr>
            </w:pPr>
            <w:r>
              <w:rPr>
                <w:rFonts w:ascii="Arial" w:cs="Arial" w:eastAsia="Arial" w:hAnsi="Arial"/>
                <w:sz w:val="16"/>
                <w:szCs w:val="16"/>
                <w:color w:val="auto"/>
                <w:w w:val="98"/>
              </w:rPr>
              <w:t>/font&gt;</w:t>
            </w:r>
          </w:p>
        </w:tc>
      </w:tr>
      <w:tr>
        <w:trPr>
          <w:trHeight w:val="195"/>
        </w:trPr>
        <w:tc>
          <w:tcPr>
            <w:tcW w:w="1120" w:type="dxa"/>
            <w:vAlign w:val="bottom"/>
          </w:tcPr>
          <w:p>
            <w:pPr>
              <w:spacing w:after="0"/>
              <w:rPr>
                <w:sz w:val="16"/>
                <w:szCs w:val="16"/>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555 West Fifth Street</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Los Angeles, California 90013</w:t>
            </w:r>
          </w:p>
        </w:tc>
        <w:tc>
          <w:tcPr>
            <w:tcW w:w="1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1120" w:type="dxa"/>
            <w:vAlign w:val="bottom"/>
          </w:tcPr>
          <w:p>
            <w:pPr>
              <w:spacing w:after="0"/>
              <w:rPr>
                <w:sz w:val="17"/>
                <w:szCs w:val="17"/>
                <w:color w:val="auto"/>
              </w:rPr>
            </w:pPr>
          </w:p>
        </w:tc>
        <w:tc>
          <w:tcPr>
            <w:tcW w:w="1420" w:type="dxa"/>
            <w:vAlign w:val="bottom"/>
          </w:tcPr>
          <w:p>
            <w:pPr>
              <w:ind w:left="180"/>
              <w:spacing w:after="0"/>
              <w:rPr>
                <w:sz w:val="20"/>
                <w:szCs w:val="20"/>
                <w:color w:val="auto"/>
              </w:rPr>
            </w:pPr>
            <w:r>
              <w:rPr>
                <w:rFonts w:ascii="Arial" w:cs="Arial" w:eastAsia="Arial" w:hAnsi="Arial"/>
                <w:sz w:val="16"/>
                <w:szCs w:val="16"/>
                <w:color w:val="auto"/>
              </w:rPr>
              <w:t>(213)244-1200</w:t>
            </w: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00" w:right="1660"/>
        <w:spacing w:after="0" w:line="265" w:lineRule="auto"/>
        <w:rPr>
          <w:sz w:val="20"/>
          <w:szCs w:val="20"/>
          <w:color w:val="auto"/>
        </w:rPr>
      </w:pPr>
      <w:r>
        <w:rPr>
          <w:rFonts w:ascii="Arial" w:cs="Arial" w:eastAsia="Arial" w:hAnsi="Arial"/>
          <w:sz w:val="16"/>
          <w:szCs w:val="16"/>
          <w:color w:val="auto"/>
        </w:rPr>
        <w:t>Indicate by check mark whether the registrants (1) have filed all reports required to be filed by Section 13 or 15(d) of the Securities Exchange Act of 1934 during the preceding 12 months (or for such shorter pe riod that the registrants were required to file such reports), and (2) have been subject to such filing requirements for the past 90 days.</w:t>
      </w:r>
    </w:p>
    <w:p>
      <w:pPr>
        <w:spacing w:after="0" w:line="170" w:lineRule="exact"/>
        <w:rPr>
          <w:sz w:val="24"/>
          <w:szCs w:val="24"/>
          <w:color w:val="auto"/>
        </w:rPr>
      </w:pPr>
    </w:p>
    <w:p>
      <w:pPr>
        <w:ind w:left="5020"/>
        <w:spacing w:after="0"/>
        <w:tabs>
          <w:tab w:leader="none" w:pos="5860" w:val="left"/>
          <w:tab w:leader="none" w:pos="760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20320</wp:posOffset>
            </wp:positionV>
            <wp:extent cx="560578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5780" cy="1524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-110490</wp:posOffset>
            </wp:positionV>
            <wp:extent cx="26212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Yes</w:t>
      </w:r>
    </w:p>
    <w:p>
      <w:pPr>
        <w:spacing w:after="0" w:line="200" w:lineRule="exact"/>
        <w:rPr>
          <w:sz w:val="24"/>
          <w:szCs w:val="24"/>
          <w:color w:val="auto"/>
        </w:rPr>
      </w:pPr>
    </w:p>
    <w:p>
      <w:pPr>
        <w:spacing w:after="0" w:line="249" w:lineRule="exact"/>
        <w:rPr>
          <w:sz w:val="24"/>
          <w:szCs w:val="24"/>
          <w:color w:val="auto"/>
        </w:rPr>
      </w:pPr>
    </w:p>
    <w:p>
      <w:pPr>
        <w:ind w:left="200" w:right="1540"/>
        <w:spacing w:after="0" w:line="265" w:lineRule="auto"/>
        <w:rPr>
          <w:sz w:val="20"/>
          <w:szCs w:val="20"/>
          <w:color w:val="auto"/>
        </w:rPr>
      </w:pPr>
      <w:r>
        <w:rPr>
          <w:rFonts w:ascii="Arial" w:cs="Arial" w:eastAsia="Arial" w:hAnsi="Arial"/>
          <w:sz w:val="16"/>
          <w:szCs w:val="16"/>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w:t>
      </w:r>
    </w:p>
    <w:tbl>
      <w:tblPr>
        <w:tblLayout w:type="fixed"/>
        <w:tblInd w:w="130" w:type="dxa"/>
        <w:tblCellMar>
          <w:top w:w="0" w:type="dxa"/>
          <w:left w:w="0" w:type="dxa"/>
          <w:bottom w:w="0" w:type="dxa"/>
          <w:right w:w="0" w:type="dxa"/>
        </w:tblCellMar>
      </w:tblPr>
      <w:tr>
        <w:trPr>
          <w:trHeight w:val="171"/>
        </w:trPr>
        <w:tc>
          <w:tcPr>
            <w:tcW w:w="4740" w:type="dxa"/>
            <w:vAlign w:val="bottom"/>
            <w:tcBorders>
              <w:top w:val="single" w:sz="8" w:color="EEEEEE"/>
              <w:left w:val="single" w:sz="8" w:color="EEEEEE"/>
              <w:bottom w:val="single" w:sz="8" w:color="EEEEEE"/>
              <w:right w:val="single" w:sz="8" w:color="EEEEEE"/>
            </w:tcBorders>
          </w:tcPr>
          <w:p>
            <w:pPr>
              <w:spacing w:after="0"/>
              <w:rPr>
                <w:sz w:val="14"/>
                <w:szCs w:val="14"/>
                <w:color w:val="auto"/>
              </w:rPr>
            </w:pPr>
          </w:p>
        </w:tc>
        <w:tc>
          <w:tcPr>
            <w:tcW w:w="840" w:type="dxa"/>
            <w:vAlign w:val="bottom"/>
            <w:tcBorders>
              <w:top w:val="single" w:sz="8" w:color="EEEEEE"/>
              <w:bottom w:val="single" w:sz="8" w:color="EEEEEE"/>
            </w:tcBorders>
            <w:vMerge w:val="restart"/>
          </w:tcPr>
          <w:p>
            <w:pPr>
              <w:ind w:left="440"/>
              <w:spacing w:after="0"/>
              <w:rPr>
                <w:sz w:val="20"/>
                <w:szCs w:val="20"/>
                <w:color w:val="auto"/>
              </w:rPr>
            </w:pPr>
            <w:r>
              <w:rPr>
                <w:rFonts w:ascii="Arial" w:cs="Arial" w:eastAsia="Arial" w:hAnsi="Arial"/>
                <w:sz w:val="16"/>
                <w:szCs w:val="16"/>
                <w:color w:val="auto"/>
              </w:rPr>
              <w:t>Yes</w:t>
            </w:r>
          </w:p>
        </w:tc>
        <w:tc>
          <w:tcPr>
            <w:tcW w:w="1080" w:type="dxa"/>
            <w:vAlign w:val="bottom"/>
            <w:tcBorders>
              <w:top w:val="single" w:sz="8" w:color="EEEEEE"/>
              <w:bottom w:val="single" w:sz="8" w:color="EEEEEE"/>
            </w:tcBorders>
            <w:vMerge w:val="restart"/>
          </w:tcPr>
          <w:p>
            <w:pPr>
              <w:ind w:left="440"/>
              <w:spacing w:after="0"/>
              <w:rPr>
                <w:sz w:val="20"/>
                <w:szCs w:val="20"/>
                <w:color w:val="auto"/>
              </w:rPr>
            </w:pPr>
            <w:r>
              <w:rPr>
                <w:rFonts w:ascii="Arial" w:cs="Arial" w:eastAsia="Arial" w:hAnsi="Arial"/>
                <w:sz w:val="16"/>
                <w:szCs w:val="16"/>
                <w:color w:val="auto"/>
              </w:rPr>
              <w:t>X</w:t>
            </w:r>
          </w:p>
        </w:tc>
        <w:tc>
          <w:tcPr>
            <w:tcW w:w="780" w:type="dxa"/>
            <w:vAlign w:val="bottom"/>
            <w:tcBorders>
              <w:top w:val="single" w:sz="8" w:color="EEEEEE"/>
            </w:tcBorders>
          </w:tcPr>
          <w:p>
            <w:pPr>
              <w:spacing w:after="0"/>
              <w:rPr>
                <w:sz w:val="14"/>
                <w:szCs w:val="14"/>
                <w:color w:val="auto"/>
              </w:rPr>
            </w:pPr>
          </w:p>
        </w:tc>
        <w:tc>
          <w:tcPr>
            <w:tcW w:w="520" w:type="dxa"/>
            <w:vAlign w:val="bottom"/>
            <w:tcBorders>
              <w:top w:val="single" w:sz="8" w:color="EEEEEE"/>
              <w:bottom w:val="single" w:sz="8" w:color="EEEEEE"/>
            </w:tcBorders>
          </w:tcPr>
          <w:p>
            <w:pPr>
              <w:spacing w:after="0"/>
              <w:rPr>
                <w:sz w:val="14"/>
                <w:szCs w:val="14"/>
                <w:color w:val="auto"/>
              </w:rPr>
            </w:pPr>
          </w:p>
        </w:tc>
        <w:tc>
          <w:tcPr>
            <w:tcW w:w="860" w:type="dxa"/>
            <w:vAlign w:val="bottom"/>
            <w:tcBorders>
              <w:top w:val="single" w:sz="8" w:color="EEEEEE"/>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740" w:type="dxa"/>
            <w:vAlign w:val="bottom"/>
          </w:tcPr>
          <w:p>
            <w:pPr>
              <w:ind w:left="80"/>
              <w:spacing w:after="0"/>
              <w:rPr>
                <w:sz w:val="20"/>
                <w:szCs w:val="20"/>
                <w:color w:val="auto"/>
              </w:rPr>
            </w:pPr>
            <w:r>
              <w:rPr>
                <w:rFonts w:ascii="Arial" w:cs="Arial" w:eastAsia="Arial" w:hAnsi="Arial"/>
                <w:sz w:val="16"/>
                <w:szCs w:val="16"/>
                <w:color w:val="auto"/>
              </w:rPr>
              <w:t>Sem pra Energy</w:t>
            </w:r>
          </w:p>
        </w:tc>
        <w:tc>
          <w:tcPr>
            <w:tcW w:w="84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ind w:left="160"/>
              <w:spacing w:after="0"/>
              <w:rPr>
                <w:sz w:val="20"/>
                <w:szCs w:val="20"/>
                <w:color w:val="auto"/>
              </w:rPr>
            </w:pPr>
            <w:r>
              <w:rPr>
                <w:rFonts w:ascii="Arial" w:cs="Arial" w:eastAsia="Arial" w:hAnsi="Arial"/>
                <w:sz w:val="16"/>
                <w:szCs w:val="16"/>
                <w:color w:val="auto"/>
              </w:rPr>
              <w:t>No</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40" w:type="dxa"/>
            <w:vAlign w:val="bottom"/>
          </w:tcPr>
          <w:p>
            <w:pPr>
              <w:ind w:left="80"/>
              <w:spacing w:after="0" w:line="181" w:lineRule="exact"/>
              <w:rPr>
                <w:sz w:val="20"/>
                <w:szCs w:val="20"/>
                <w:color w:val="auto"/>
              </w:rPr>
            </w:pPr>
            <w:r>
              <w:rPr>
                <w:rFonts w:ascii="Arial" w:cs="Arial" w:eastAsia="Arial" w:hAnsi="Arial"/>
                <w:sz w:val="16"/>
                <w:szCs w:val="16"/>
                <w:color w:val="auto"/>
              </w:rPr>
              <w:t>San Diego Gas &amp; Electric Company</w:t>
            </w:r>
          </w:p>
        </w:tc>
        <w:tc>
          <w:tcPr>
            <w:tcW w:w="840" w:type="dxa"/>
            <w:vAlign w:val="bottom"/>
          </w:tcPr>
          <w:p>
            <w:pPr>
              <w:ind w:left="440"/>
              <w:spacing w:after="0" w:line="181" w:lineRule="exact"/>
              <w:rPr>
                <w:sz w:val="20"/>
                <w:szCs w:val="20"/>
                <w:color w:val="auto"/>
              </w:rPr>
            </w:pPr>
            <w:r>
              <w:rPr>
                <w:rFonts w:ascii="Arial" w:cs="Arial" w:eastAsia="Arial" w:hAnsi="Arial"/>
                <w:sz w:val="16"/>
                <w:szCs w:val="16"/>
                <w:color w:val="auto"/>
              </w:rPr>
              <w:t>Yes</w:t>
            </w:r>
          </w:p>
        </w:tc>
        <w:tc>
          <w:tcPr>
            <w:tcW w:w="10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ind w:left="160"/>
              <w:spacing w:after="0" w:line="181" w:lineRule="exact"/>
              <w:rPr>
                <w:sz w:val="20"/>
                <w:szCs w:val="20"/>
                <w:color w:val="auto"/>
              </w:rPr>
            </w:pPr>
            <w:r>
              <w:rPr>
                <w:rFonts w:ascii="Arial" w:cs="Arial" w:eastAsia="Arial" w:hAnsi="Arial"/>
                <w:sz w:val="16"/>
                <w:szCs w:val="16"/>
                <w:color w:val="auto"/>
              </w:rPr>
              <w:t>No</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40" w:type="dxa"/>
            <w:vAlign w:val="bottom"/>
          </w:tcPr>
          <w:p>
            <w:pPr>
              <w:ind w:left="80"/>
              <w:spacing w:after="0" w:line="181" w:lineRule="exact"/>
              <w:rPr>
                <w:sz w:val="20"/>
                <w:szCs w:val="20"/>
                <w:color w:val="auto"/>
              </w:rPr>
            </w:pPr>
            <w:r>
              <w:rPr>
                <w:rFonts w:ascii="Arial" w:cs="Arial" w:eastAsia="Arial" w:hAnsi="Arial"/>
                <w:sz w:val="16"/>
                <w:szCs w:val="16"/>
                <w:color w:val="auto"/>
              </w:rPr>
              <w:t>Pacific Enterprises</w:t>
            </w:r>
          </w:p>
        </w:tc>
        <w:tc>
          <w:tcPr>
            <w:tcW w:w="840" w:type="dxa"/>
            <w:vAlign w:val="bottom"/>
          </w:tcPr>
          <w:p>
            <w:pPr>
              <w:ind w:left="440"/>
              <w:spacing w:after="0" w:line="181" w:lineRule="exact"/>
              <w:rPr>
                <w:sz w:val="20"/>
                <w:szCs w:val="20"/>
                <w:color w:val="auto"/>
              </w:rPr>
            </w:pPr>
            <w:r>
              <w:rPr>
                <w:rFonts w:ascii="Arial" w:cs="Arial" w:eastAsia="Arial" w:hAnsi="Arial"/>
                <w:sz w:val="16"/>
                <w:szCs w:val="16"/>
                <w:color w:val="auto"/>
              </w:rPr>
              <w:t>Yes</w:t>
            </w:r>
          </w:p>
        </w:tc>
        <w:tc>
          <w:tcPr>
            <w:tcW w:w="108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ind w:left="160"/>
              <w:spacing w:after="0" w:line="181" w:lineRule="exact"/>
              <w:rPr>
                <w:sz w:val="20"/>
                <w:szCs w:val="20"/>
                <w:color w:val="auto"/>
              </w:rPr>
            </w:pPr>
            <w:r>
              <w:rPr>
                <w:rFonts w:ascii="Arial" w:cs="Arial" w:eastAsia="Arial" w:hAnsi="Arial"/>
                <w:sz w:val="16"/>
                <w:szCs w:val="16"/>
                <w:color w:val="auto"/>
              </w:rPr>
              <w:t>No</w:t>
            </w:r>
          </w:p>
        </w:tc>
        <w:tc>
          <w:tcPr>
            <w:tcW w:w="860" w:type="dxa"/>
            <w:vAlign w:val="bottom"/>
            <w:tcBorders>
              <w:bottom w:val="single" w:sz="8" w:color="auto"/>
              <w:right w:val="single" w:sz="8" w:color="EEEEEE"/>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Pr>
          <w:p>
            <w:pPr>
              <w:ind w:left="80"/>
              <w:spacing w:after="0" w:line="180" w:lineRule="exact"/>
              <w:rPr>
                <w:sz w:val="20"/>
                <w:szCs w:val="20"/>
                <w:color w:val="auto"/>
              </w:rPr>
            </w:pPr>
            <w:r>
              <w:rPr>
                <w:rFonts w:ascii="Arial" w:cs="Arial" w:eastAsia="Arial" w:hAnsi="Arial"/>
                <w:sz w:val="16"/>
                <w:szCs w:val="16"/>
                <w:color w:val="auto"/>
              </w:rPr>
              <w:t>Southern California Gas Company</w:t>
            </w:r>
          </w:p>
        </w:tc>
        <w:tc>
          <w:tcPr>
            <w:tcW w:w="840" w:type="dxa"/>
            <w:vAlign w:val="bottom"/>
          </w:tcPr>
          <w:p>
            <w:pPr>
              <w:ind w:left="440"/>
              <w:spacing w:after="0" w:line="180" w:lineRule="exact"/>
              <w:rPr>
                <w:sz w:val="20"/>
                <w:szCs w:val="20"/>
                <w:color w:val="auto"/>
              </w:rPr>
            </w:pPr>
            <w:r>
              <w:rPr>
                <w:rFonts w:ascii="Arial" w:cs="Arial" w:eastAsia="Arial" w:hAnsi="Arial"/>
                <w:sz w:val="16"/>
                <w:szCs w:val="16"/>
                <w:color w:val="auto"/>
              </w:rPr>
              <w:t>Yes</w:t>
            </w:r>
          </w:p>
        </w:tc>
        <w:tc>
          <w:tcPr>
            <w:tcW w:w="108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ind w:left="160"/>
              <w:spacing w:after="0" w:line="180" w:lineRule="exact"/>
              <w:rPr>
                <w:sz w:val="20"/>
                <w:szCs w:val="20"/>
                <w:color w:val="auto"/>
              </w:rPr>
            </w:pPr>
            <w:r>
              <w:rPr>
                <w:rFonts w:ascii="Arial" w:cs="Arial" w:eastAsia="Arial" w:hAnsi="Arial"/>
                <w:sz w:val="16"/>
                <w:szCs w:val="16"/>
                <w:color w:val="auto"/>
              </w:rPr>
              <w:t>No</w:t>
            </w:r>
          </w:p>
        </w:tc>
        <w:tc>
          <w:tcPr>
            <w:tcW w:w="860" w:type="dxa"/>
            <w:vAlign w:val="bottom"/>
            <w:tcBorders>
              <w:bottom w:val="single" w:sz="8" w:color="EEEEE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w:t>
      </w:r>
    </w:p>
    <w:p>
      <w:pPr>
        <w:sectPr>
          <w:pgSz w:w="11900" w:h="16838" w:orient="portrait"/>
          <w:cols w:equalWidth="0" w:num="1">
            <w:col w:w="10160"/>
          </w:cols>
          <w:pgMar w:left="1440" w:top="1440" w:right="299" w:bottom="0" w:gutter="0" w:footer="0" w:header="0"/>
        </w:sectPr>
      </w:pPr>
    </w:p>
    <w:bookmarkStart w:id="1" w:name="page2"/>
    <w:bookmarkEnd w:id="1"/>
    <w:p>
      <w:pPr>
        <w:spacing w:after="0" w:line="29" w:lineRule="exact"/>
        <w:rPr>
          <w:sz w:val="20"/>
          <w:szCs w:val="20"/>
          <w:color w:val="auto"/>
        </w:rPr>
      </w:pPr>
    </w:p>
    <w:p>
      <w:pPr>
        <w:ind w:left="1400" w:right="1540"/>
        <w:spacing w:after="0" w:line="276" w:lineRule="auto"/>
        <w:rPr>
          <w:sz w:val="20"/>
          <w:szCs w:val="20"/>
          <w:color w:val="auto"/>
        </w:rPr>
      </w:pPr>
      <w:r>
        <w:rPr>
          <w:rFonts w:ascii="Arial" w:cs="Arial" w:eastAsia="Arial" w:hAnsi="Arial"/>
          <w:sz w:val="16"/>
          <w:szCs w:val="16"/>
          <w:color w:val="auto"/>
        </w:rPr>
        <w:t>reporting company. See the definitions of "large accelerated filer," "accelerated filer" and "smaller reporting company" in Rule 12b-2 of the Exchange Act.</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color w:val="auto"/>
              </w:rPr>
              <w:t>Large</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auto"/>
                <w:w w:val="92"/>
              </w:rPr>
              <w:t>Smaller</w:t>
            </w:r>
          </w:p>
        </w:tc>
      </w:tr>
      <w:tr>
        <w:trPr>
          <w:trHeight w:val="195"/>
        </w:trPr>
        <w:tc>
          <w:tcPr>
            <w:tcW w:w="264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color w:val="auto"/>
              </w:rPr>
              <w:t>accelerated</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auto"/>
                <w:w w:val="91"/>
              </w:rPr>
              <w:t>reporting</w:t>
            </w:r>
          </w:p>
        </w:tc>
      </w:tr>
      <w:tr>
        <w:trPr>
          <w:trHeight w:val="201"/>
        </w:trPr>
        <w:tc>
          <w:tcPr>
            <w:tcW w:w="2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filer</w:t>
            </w:r>
          </w:p>
        </w:tc>
        <w:tc>
          <w:tcPr>
            <w:tcW w:w="168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6"/>
                <w:szCs w:val="16"/>
                <w:color w:val="auto"/>
              </w:rPr>
              <w:t>Accelerated filer</w:t>
            </w:r>
          </w:p>
        </w:tc>
        <w:tc>
          <w:tcPr>
            <w:tcW w:w="1960" w:type="dxa"/>
            <w:vAlign w:val="bottom"/>
            <w:tcBorders>
              <w:bottom w:val="single" w:sz="8" w:color="auto"/>
            </w:tcBorders>
            <w:gridSpan w:val="3"/>
          </w:tcPr>
          <w:p>
            <w:pPr>
              <w:jc w:val="center"/>
              <w:ind w:right="21"/>
              <w:spacing w:after="0"/>
              <w:rPr>
                <w:sz w:val="20"/>
                <w:szCs w:val="20"/>
                <w:color w:val="auto"/>
              </w:rPr>
            </w:pPr>
            <w:r>
              <w:rPr>
                <w:rFonts w:ascii="Arial" w:cs="Arial" w:eastAsia="Arial" w:hAnsi="Arial"/>
                <w:sz w:val="16"/>
                <w:szCs w:val="16"/>
                <w:color w:val="auto"/>
                <w:w w:val="90"/>
              </w:rPr>
              <w:t>Non-accelerated filer</w:t>
            </w:r>
          </w:p>
        </w:tc>
        <w:tc>
          <w:tcPr>
            <w:tcW w:w="1220" w:type="dxa"/>
            <w:vAlign w:val="bottom"/>
            <w:tcBorders>
              <w:bottom w:val="single" w:sz="8" w:color="auto"/>
            </w:tcBorders>
            <w:gridSpan w:val="2"/>
          </w:tcPr>
          <w:p>
            <w:pPr>
              <w:jc w:val="center"/>
              <w:ind w:right="1"/>
              <w:spacing w:after="0"/>
              <w:rPr>
                <w:sz w:val="20"/>
                <w:szCs w:val="20"/>
                <w:color w:val="auto"/>
              </w:rPr>
            </w:pPr>
            <w:r>
              <w:rPr>
                <w:rFonts w:ascii="Arial" w:cs="Arial" w:eastAsia="Arial" w:hAnsi="Arial"/>
                <w:sz w:val="16"/>
                <w:szCs w:val="16"/>
                <w:color w:val="auto"/>
                <w:w w:val="89"/>
              </w:rPr>
              <w:t>company</w:t>
            </w:r>
          </w:p>
        </w:tc>
      </w:tr>
      <w:tr>
        <w:trPr>
          <w:trHeight w:val="190"/>
        </w:trPr>
        <w:tc>
          <w:tcPr>
            <w:tcW w:w="2640" w:type="dxa"/>
            <w:vAlign w:val="bottom"/>
          </w:tcPr>
          <w:p>
            <w:pPr>
              <w:spacing w:after="0"/>
              <w:rPr>
                <w:sz w:val="20"/>
                <w:szCs w:val="20"/>
                <w:color w:val="auto"/>
              </w:rPr>
            </w:pPr>
            <w:r>
              <w:rPr>
                <w:rFonts w:ascii="Arial" w:cs="Arial" w:eastAsia="Arial" w:hAnsi="Arial"/>
                <w:sz w:val="16"/>
                <w:szCs w:val="16"/>
                <w:color w:val="auto"/>
              </w:rPr>
              <w:t>Sempra Energy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820" w:type="dxa"/>
            <w:vAlign w:val="bottom"/>
          </w:tcPr>
          <w:p>
            <w:pPr>
              <w:jc w:val="right"/>
              <w:ind w:right="401"/>
              <w:spacing w:after="0"/>
              <w:rPr>
                <w:sz w:val="20"/>
                <w:szCs w:val="20"/>
                <w:color w:val="auto"/>
              </w:rPr>
            </w:pPr>
            <w:r>
              <w:rPr>
                <w:rFonts w:ascii="Arial" w:cs="Arial" w:eastAsia="Arial" w:hAnsi="Arial"/>
                <w:sz w:val="16"/>
                <w:szCs w:val="16"/>
                <w:color w:val="auto"/>
              </w:rPr>
              <w:t>X ]</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840" w:type="dxa"/>
            <w:vAlign w:val="bottom"/>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7"/>
        </w:trPr>
        <w:tc>
          <w:tcPr>
            <w:tcW w:w="2640" w:type="dxa"/>
            <w:vAlign w:val="bottom"/>
            <w:tcBorders>
              <w:right w:val="single" w:sz="8" w:color="EEEEEE"/>
            </w:tcBorders>
          </w:tcPr>
          <w:p>
            <w:pPr>
              <w:spacing w:after="0"/>
              <w:rPr>
                <w:sz w:val="20"/>
                <w:szCs w:val="20"/>
                <w:color w:val="auto"/>
              </w:rPr>
            </w:pPr>
            <w:r>
              <w:rPr>
                <w:rFonts w:ascii="Arial" w:cs="Arial" w:eastAsia="Arial" w:hAnsi="Arial"/>
                <w:sz w:val="16"/>
                <w:szCs w:val="16"/>
                <w:color w:val="auto"/>
              </w:rPr>
              <w:t>San Diego Gas &amp; Electric Company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8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EEEEE"/>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EEEEE"/>
            </w:tcBorders>
          </w:tcPr>
          <w:p>
            <w:pPr>
              <w:jc w:val="right"/>
              <w:ind w:right="661"/>
              <w:spacing w:after="0"/>
              <w:rPr>
                <w:sz w:val="20"/>
                <w:szCs w:val="20"/>
                <w:color w:val="auto"/>
              </w:rPr>
            </w:pPr>
            <w:r>
              <w:rPr>
                <w:rFonts w:ascii="Arial" w:cs="Arial" w:eastAsia="Arial" w:hAnsi="Arial"/>
                <w:sz w:val="16"/>
                <w:szCs w:val="16"/>
                <w:color w:val="auto"/>
              </w:rPr>
              <w:t>]</w:t>
            </w:r>
          </w:p>
        </w:tc>
        <w:tc>
          <w:tcPr>
            <w:tcW w:w="1960" w:type="dxa"/>
            <w:vAlign w:val="bottom"/>
            <w:gridSpan w:val="3"/>
          </w:tcPr>
          <w:p>
            <w:pPr>
              <w:ind w:left="740"/>
              <w:spacing w:after="0"/>
              <w:rPr>
                <w:sz w:val="20"/>
                <w:szCs w:val="20"/>
                <w:color w:val="auto"/>
              </w:rPr>
            </w:pPr>
            <w:r>
              <w:rPr>
                <w:rFonts w:ascii="Arial" w:cs="Arial" w:eastAsia="Arial" w:hAnsi="Arial"/>
                <w:sz w:val="16"/>
                <w:szCs w:val="16"/>
                <w:color w:val="auto"/>
              </w:rPr>
              <w:t>[ X ]</w:t>
            </w:r>
          </w:p>
        </w:tc>
        <w:tc>
          <w:tcPr>
            <w:tcW w:w="580" w:type="dxa"/>
            <w:vAlign w:val="bottom"/>
            <w:tcBorders>
              <w:top w:val="single" w:sz="8" w:color="EEEEEE"/>
            </w:tcBorders>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EEEEEE"/>
            </w:tcBorders>
          </w:tcPr>
          <w:p>
            <w:pPr>
              <w:jc w:val="right"/>
              <w:ind w:right="401"/>
              <w:spacing w:after="0"/>
              <w:rPr>
                <w:sz w:val="20"/>
                <w:szCs w:val="20"/>
                <w:color w:val="auto"/>
              </w:rPr>
            </w:pPr>
            <w:r>
              <w:rPr>
                <w:rFonts w:ascii="Arial" w:cs="Arial" w:eastAsia="Arial" w:hAnsi="Arial"/>
                <w:sz w:val="16"/>
                <w:szCs w:val="16"/>
                <w:color w:val="auto"/>
              </w:rPr>
              <w:t>]</w:t>
            </w:r>
          </w:p>
        </w:tc>
      </w:tr>
      <w:tr>
        <w:trPr>
          <w:trHeight w:val="187"/>
        </w:trPr>
        <w:tc>
          <w:tcPr>
            <w:tcW w:w="2640" w:type="dxa"/>
            <w:vAlign w:val="bottom"/>
          </w:tcPr>
          <w:p>
            <w:pPr>
              <w:spacing w:after="0"/>
              <w:rPr>
                <w:sz w:val="20"/>
                <w:szCs w:val="20"/>
                <w:color w:val="auto"/>
              </w:rPr>
            </w:pPr>
            <w:r>
              <w:rPr>
                <w:rFonts w:ascii="Arial" w:cs="Arial" w:eastAsia="Arial" w:hAnsi="Arial"/>
                <w:sz w:val="16"/>
                <w:szCs w:val="16"/>
                <w:color w:val="auto"/>
              </w:rPr>
              <w:t>Pacific Enterprises</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820" w:type="dxa"/>
            <w:vAlign w:val="bottom"/>
            <w:tcBorders>
              <w:right w:val="single" w:sz="8" w:color="EEEEEE"/>
            </w:tcBorders>
          </w:tcPr>
          <w:p>
            <w:pPr>
              <w:jc w:val="right"/>
              <w:ind w:right="4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EEEEE"/>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EEEEE"/>
              <w:right w:val="single" w:sz="8" w:color="EEEEEE"/>
            </w:tcBorders>
          </w:tcPr>
          <w:p>
            <w:pPr>
              <w:jc w:val="right"/>
              <w:ind w:right="641"/>
              <w:spacing w:after="0"/>
              <w:rPr>
                <w:sz w:val="20"/>
                <w:szCs w:val="20"/>
                <w:color w:val="auto"/>
              </w:rPr>
            </w:pPr>
            <w:r>
              <w:rPr>
                <w:rFonts w:ascii="Arial" w:cs="Arial" w:eastAsia="Arial" w:hAnsi="Arial"/>
                <w:sz w:val="16"/>
                <w:szCs w:val="16"/>
                <w:color w:val="auto"/>
              </w:rPr>
              <w:t>]</w:t>
            </w:r>
          </w:p>
        </w:tc>
        <w:tc>
          <w:tcPr>
            <w:tcW w:w="840" w:type="dxa"/>
            <w:vAlign w:val="bottom"/>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rPr>
              <w:t>X</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auto"/>
              </w:rPr>
              <w:t>[   &amp;nbs p;]</w:t>
            </w:r>
          </w:p>
        </w:tc>
      </w:tr>
      <w:tr>
        <w:trPr>
          <w:trHeight w:val="193"/>
        </w:trPr>
        <w:tc>
          <w:tcPr>
            <w:tcW w:w="264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8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840" w:type="dxa"/>
            <w:vAlign w:val="bottom"/>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1"/>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6" w:lineRule="exact"/>
        <w:rPr>
          <w:sz w:val="20"/>
          <w:szCs w:val="20"/>
          <w:color w:val="auto"/>
        </w:rPr>
      </w:pPr>
    </w:p>
    <w:tbl>
      <w:tblPr>
        <w:tblLayout w:type="fixed"/>
        <w:tblInd w:w="1400" w:type="dxa"/>
        <w:tblCellMar>
          <w:top w:w="0" w:type="dxa"/>
          <w:left w:w="0" w:type="dxa"/>
          <w:bottom w:w="0" w:type="dxa"/>
          <w:right w:w="0" w:type="dxa"/>
        </w:tblCellMar>
      </w:tblPr>
      <w:tr>
        <w:trPr>
          <w:trHeight w:val="201"/>
        </w:trPr>
        <w:tc>
          <w:tcPr>
            <w:tcW w:w="3260" w:type="dxa"/>
            <w:vAlign w:val="bottom"/>
          </w:tcPr>
          <w:p>
            <w:pPr>
              <w:spacing w:after="0"/>
              <w:rPr>
                <w:sz w:val="20"/>
                <w:szCs w:val="20"/>
                <w:color w:val="auto"/>
              </w:rPr>
            </w:pPr>
            <w:r>
              <w:rPr>
                <w:rFonts w:ascii="Arial" w:cs="Arial" w:eastAsia="Arial" w:hAnsi="Arial"/>
                <w:sz w:val="16"/>
                <w:szCs w:val="16"/>
                <w:color w:val="auto"/>
              </w:rPr>
              <w:t>Sempra Energy</w:t>
            </w:r>
          </w:p>
        </w:tc>
        <w:tc>
          <w:tcPr>
            <w:tcW w:w="1400" w:type="dxa"/>
            <w:vAlign w:val="bottom"/>
          </w:tcPr>
          <w:p>
            <w:pPr>
              <w:ind w:left="980"/>
              <w:spacing w:after="0"/>
              <w:rPr>
                <w:sz w:val="20"/>
                <w:szCs w:val="20"/>
                <w:color w:val="auto"/>
              </w:rPr>
            </w:pPr>
            <w:r>
              <w:rPr>
                <w:rFonts w:ascii="Arial" w:cs="Arial" w:eastAsia="Arial" w:hAnsi="Arial"/>
                <w:sz w:val="16"/>
                <w:szCs w:val="16"/>
                <w:color w:val="auto"/>
              </w:rPr>
              <w:t>Yes</w:t>
            </w:r>
          </w:p>
        </w:tc>
        <w:tc>
          <w:tcPr>
            <w:tcW w:w="13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6"/>
                <w:szCs w:val="16"/>
                <w:color w:val="auto"/>
              </w:rPr>
              <w:t>No</w:t>
            </w:r>
          </w:p>
        </w:tc>
        <w:tc>
          <w:tcPr>
            <w:tcW w:w="120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840" w:type="dxa"/>
            <w:vAlign w:val="bottom"/>
          </w:tcPr>
          <w:p>
            <w:pPr>
              <w:spacing w:after="0"/>
              <w:rPr>
                <w:sz w:val="17"/>
                <w:szCs w:val="17"/>
                <w:color w:val="auto"/>
              </w:rPr>
            </w:pPr>
          </w:p>
        </w:tc>
      </w:tr>
      <w:tr>
        <w:trPr>
          <w:trHeight w:val="190"/>
        </w:trPr>
        <w:tc>
          <w:tcPr>
            <w:tcW w:w="3260" w:type="dxa"/>
            <w:vAlign w:val="bottom"/>
          </w:tcPr>
          <w:p>
            <w:pPr>
              <w:spacing w:after="0" w:line="181" w:lineRule="exact"/>
              <w:rPr>
                <w:sz w:val="20"/>
                <w:szCs w:val="20"/>
                <w:color w:val="auto"/>
              </w:rPr>
            </w:pPr>
            <w:r>
              <w:rPr>
                <w:rFonts w:ascii="Arial" w:cs="Arial" w:eastAsia="Arial" w:hAnsi="Arial"/>
                <w:sz w:val="16"/>
                <w:szCs w:val="16"/>
                <w:color w:val="auto"/>
              </w:rPr>
              <w:t>San Diego Gas &amp; Electric Company</w:t>
            </w:r>
          </w:p>
        </w:tc>
        <w:tc>
          <w:tcPr>
            <w:tcW w:w="1400" w:type="dxa"/>
            <w:vAlign w:val="bottom"/>
          </w:tcPr>
          <w:p>
            <w:pPr>
              <w:spacing w:after="0"/>
              <w:rPr>
                <w:sz w:val="16"/>
                <w:szCs w:val="16"/>
                <w:color w:val="auto"/>
              </w:rPr>
            </w:pPr>
          </w:p>
        </w:tc>
        <w:tc>
          <w:tcPr>
            <w:tcW w:w="134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Yes</w:t>
            </w:r>
          </w:p>
        </w:tc>
        <w:tc>
          <w:tcPr>
            <w:tcW w:w="680" w:type="dxa"/>
            <w:vAlign w:val="bottom"/>
            <w:tcBorders>
              <w:bottom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20" w:type="dxa"/>
            <w:vAlign w:val="bottom"/>
          </w:tcPr>
          <w:p>
            <w:pPr>
              <w:ind w:left="160"/>
              <w:spacing w:after="0" w:line="181" w:lineRule="exact"/>
              <w:rPr>
                <w:sz w:val="20"/>
                <w:szCs w:val="20"/>
                <w:color w:val="auto"/>
              </w:rPr>
            </w:pPr>
            <w:r>
              <w:rPr>
                <w:rFonts w:ascii="Arial" w:cs="Arial" w:eastAsia="Arial" w:hAnsi="Arial"/>
                <w:sz w:val="16"/>
                <w:szCs w:val="16"/>
                <w:color w:val="auto"/>
              </w:rPr>
              <w:t>No</w:t>
            </w:r>
          </w:p>
        </w:tc>
        <w:tc>
          <w:tcPr>
            <w:tcW w:w="840" w:type="dxa"/>
            <w:vAlign w:val="bottom"/>
            <w:tcBorders>
              <w:bottom w:val="single" w:sz="8" w:color="auto"/>
            </w:tcBorders>
          </w:tcPr>
          <w:p>
            <w:pPr>
              <w:ind w:left="320"/>
              <w:spacing w:after="0" w:line="181" w:lineRule="exact"/>
              <w:rPr>
                <w:sz w:val="20"/>
                <w:szCs w:val="20"/>
                <w:color w:val="auto"/>
              </w:rPr>
            </w:pPr>
            <w:r>
              <w:rPr>
                <w:rFonts w:ascii="Arial" w:cs="Arial" w:eastAsia="Arial" w:hAnsi="Arial"/>
                <w:sz w:val="16"/>
                <w:szCs w:val="16"/>
                <w:color w:val="auto"/>
              </w:rPr>
              <w:t>X</w:t>
            </w:r>
          </w:p>
        </w:tc>
      </w:tr>
      <w:tr>
        <w:trPr>
          <w:trHeight w:val="187"/>
        </w:trPr>
        <w:tc>
          <w:tcPr>
            <w:tcW w:w="3260" w:type="dxa"/>
            <w:vAlign w:val="bottom"/>
          </w:tcPr>
          <w:p>
            <w:pPr>
              <w:spacing w:after="0" w:line="181" w:lineRule="exact"/>
              <w:rPr>
                <w:sz w:val="20"/>
                <w:szCs w:val="20"/>
                <w:color w:val="auto"/>
              </w:rPr>
            </w:pPr>
            <w:r>
              <w:rPr>
                <w:rFonts w:ascii="Arial" w:cs="Arial" w:eastAsia="Arial" w:hAnsi="Arial"/>
                <w:sz w:val="16"/>
                <w:szCs w:val="16"/>
                <w:color w:val="auto"/>
              </w:rPr>
              <w:t>Pacific Enterprises</w:t>
            </w: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6"/>
                <w:szCs w:val="16"/>
                <w:color w:val="auto"/>
              </w:rPr>
              <w:t>No</w:t>
            </w:r>
          </w:p>
        </w:tc>
        <w:tc>
          <w:tcPr>
            <w:tcW w:w="1200" w:type="dxa"/>
            <w:vAlign w:val="bottom"/>
            <w:gridSpan w:val="2"/>
          </w:tcPr>
          <w:p>
            <w:pPr>
              <w:ind w:left="240"/>
              <w:spacing w:after="0" w:line="181" w:lineRule="exact"/>
              <w:rPr>
                <w:sz w:val="20"/>
                <w:szCs w:val="20"/>
                <w:color w:val="auto"/>
              </w:rPr>
            </w:pPr>
            <w:r>
              <w:rPr>
                <w:rFonts w:ascii="Arial" w:cs="Arial" w:eastAsia="Arial" w:hAnsi="Arial"/>
                <w:sz w:val="16"/>
                <w:szCs w:val="16"/>
                <w:color w:val="auto"/>
              </w:rPr>
              <w:t>X</w:t>
            </w:r>
          </w:p>
        </w:tc>
        <w:tc>
          <w:tcPr>
            <w:tcW w:w="840" w:type="dxa"/>
            <w:vAlign w:val="bottom"/>
          </w:tcPr>
          <w:p>
            <w:pPr>
              <w:spacing w:after="0"/>
              <w:rPr>
                <w:sz w:val="16"/>
                <w:szCs w:val="16"/>
                <w:color w:val="auto"/>
              </w:rPr>
            </w:pPr>
          </w:p>
        </w:tc>
      </w:tr>
      <w:tr>
        <w:trPr>
          <w:trHeight w:val="187"/>
        </w:trPr>
        <w:tc>
          <w:tcPr>
            <w:tcW w:w="3260" w:type="dxa"/>
            <w:vAlign w:val="bottom"/>
          </w:tcPr>
          <w:p>
            <w:pPr>
              <w:spacing w:after="0" w:line="181" w:lineRule="exact"/>
              <w:rPr>
                <w:sz w:val="20"/>
                <w:szCs w:val="20"/>
                <w:color w:val="auto"/>
              </w:rPr>
            </w:pPr>
            <w:r>
              <w:rPr>
                <w:rFonts w:ascii="Arial" w:cs="Arial" w:eastAsia="Arial" w:hAnsi="Arial"/>
                <w:sz w:val="16"/>
                <w:szCs w:val="16"/>
                <w:color w:val="auto"/>
              </w:rPr>
              <w:t>Southern California Gas Company</w:t>
            </w:r>
          </w:p>
        </w:tc>
        <w:tc>
          <w:tcPr>
            <w:tcW w:w="1400" w:type="dxa"/>
            <w:vAlign w:val="bottom"/>
            <w:tcBorders>
              <w:right w:val="single" w:sz="8" w:color="EEEEEE"/>
            </w:tcBorders>
          </w:tcPr>
          <w:p>
            <w:pPr>
              <w:spacing w:after="0"/>
              <w:rPr>
                <w:sz w:val="16"/>
                <w:szCs w:val="16"/>
                <w:color w:val="auto"/>
              </w:rPr>
            </w:pPr>
          </w:p>
        </w:tc>
        <w:tc>
          <w:tcPr>
            <w:tcW w:w="134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Yes</w:t>
            </w:r>
          </w:p>
        </w:tc>
        <w:tc>
          <w:tcPr>
            <w:tcW w:w="680" w:type="dxa"/>
            <w:vAlign w:val="bottom"/>
            <w:tcBorders>
              <w:bottom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20" w:type="dxa"/>
            <w:vAlign w:val="bottom"/>
          </w:tcPr>
          <w:p>
            <w:pPr>
              <w:ind w:left="160"/>
              <w:spacing w:after="0" w:line="181" w:lineRule="exact"/>
              <w:rPr>
                <w:sz w:val="20"/>
                <w:szCs w:val="20"/>
                <w:color w:val="auto"/>
              </w:rPr>
            </w:pPr>
            <w:r>
              <w:rPr>
                <w:rFonts w:ascii="Arial" w:cs="Arial" w:eastAsia="Arial" w:hAnsi="Arial"/>
                <w:sz w:val="16"/>
                <w:szCs w:val="16"/>
                <w:color w:val="auto"/>
              </w:rPr>
              <w:t>No</w:t>
            </w:r>
          </w:p>
        </w:tc>
        <w:tc>
          <w:tcPr>
            <w:tcW w:w="840" w:type="dxa"/>
            <w:vAlign w:val="bottom"/>
            <w:tcBorders>
              <w:bottom w:val="single" w:sz="8" w:color="auto"/>
            </w:tcBorders>
          </w:tcPr>
          <w:p>
            <w:pPr>
              <w:ind w:left="320"/>
              <w:spacing w:after="0" w:line="181" w:lineRule="exact"/>
              <w:rPr>
                <w:sz w:val="20"/>
                <w:szCs w:val="20"/>
                <w:color w:val="auto"/>
              </w:rPr>
            </w:pPr>
            <w:r>
              <w:rPr>
                <w:rFonts w:ascii="Arial" w:cs="Arial" w:eastAsia="Arial" w:hAnsi="Arial"/>
                <w:sz w:val="16"/>
                <w:szCs w:val="16"/>
                <w:color w:val="auto"/>
              </w:rPr>
              <w:t>X</w:t>
            </w:r>
          </w:p>
        </w:tc>
      </w:tr>
    </w:tbl>
    <w:p>
      <w:pPr>
        <w:spacing w:after="0" w:line="1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3680" w:type="dxa"/>
            <w:vAlign w:val="bottom"/>
          </w:tcPr>
          <w:p>
            <w:pPr>
              <w:ind w:left="80"/>
              <w:spacing w:after="0"/>
              <w:rPr>
                <w:sz w:val="20"/>
                <w:szCs w:val="20"/>
                <w:color w:val="auto"/>
              </w:rPr>
            </w:pPr>
            <w:r>
              <w:rPr>
                <w:rFonts w:ascii="Arial" w:cs="Arial" w:eastAsia="Arial" w:hAnsi="Arial"/>
                <w:sz w:val="16"/>
                <w:szCs w:val="16"/>
                <w:color w:val="auto"/>
              </w:rPr>
              <w:t>Common stock outstanding on July 30, 2010:</w:t>
            </w:r>
          </w:p>
        </w:tc>
        <w:tc>
          <w:tcPr>
            <w:tcW w:w="2420" w:type="dxa"/>
            <w:vAlign w:val="bottom"/>
            <w:tcBorders>
              <w:right w:val="single" w:sz="8" w:color="EEEEEE"/>
            </w:tcBorders>
          </w:tcPr>
          <w:p>
            <w:pPr>
              <w:spacing w:after="0"/>
              <w:rPr>
                <w:sz w:val="18"/>
                <w:szCs w:val="18"/>
                <w:color w:val="auto"/>
              </w:rPr>
            </w:pPr>
          </w:p>
        </w:tc>
        <w:tc>
          <w:tcPr>
            <w:tcW w:w="680" w:type="dxa"/>
            <w:vAlign w:val="bottom"/>
            <w:tcBorders>
              <w:top w:val="single" w:sz="8" w:color="EEEEEE"/>
              <w:bottom w:val="single" w:sz="8" w:color="EEEEEE"/>
              <w:right w:val="single" w:sz="8" w:color="EEEEEE"/>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3680" w:type="dxa"/>
            <w:vAlign w:val="bottom"/>
          </w:tcPr>
          <w:p>
            <w:pPr>
              <w:ind w:left="80"/>
              <w:spacing w:after="0"/>
              <w:rPr>
                <w:sz w:val="20"/>
                <w:szCs w:val="20"/>
                <w:color w:val="auto"/>
              </w:rPr>
            </w:pPr>
            <w:r>
              <w:rPr>
                <w:rFonts w:ascii="Arial" w:cs="Arial" w:eastAsia="Arial" w:hAnsi="Arial"/>
                <w:sz w:val="16"/>
                <w:szCs w:val="16"/>
                <w:color w:val="auto"/>
              </w:rPr>
              <w:t>Sempra Energy</w:t>
            </w:r>
          </w:p>
        </w:tc>
        <w:tc>
          <w:tcPr>
            <w:tcW w:w="5120" w:type="dxa"/>
            <w:vAlign w:val="bottom"/>
            <w:gridSpan w:val="3"/>
          </w:tcPr>
          <w:p>
            <w:pPr>
              <w:ind w:left="60"/>
              <w:spacing w:after="0"/>
              <w:rPr>
                <w:sz w:val="20"/>
                <w:szCs w:val="20"/>
                <w:color w:val="auto"/>
              </w:rPr>
            </w:pPr>
            <w:r>
              <w:rPr>
                <w:rFonts w:ascii="Arial" w:cs="Arial" w:eastAsia="Arial" w:hAnsi="Arial"/>
                <w:sz w:val="16"/>
                <w:szCs w:val="16"/>
                <w:color w:val="auto"/>
              </w:rPr>
              <w:t>247,855,454 shares</w:t>
            </w:r>
          </w:p>
        </w:tc>
        <w:tc>
          <w:tcPr>
            <w:tcW w:w="20" w:type="dxa"/>
            <w:vAlign w:val="bottom"/>
          </w:tcPr>
          <w:p>
            <w:pPr>
              <w:spacing w:after="0"/>
              <w:rPr>
                <w:sz w:val="24"/>
                <w:szCs w:val="24"/>
                <w:color w:val="auto"/>
              </w:rPr>
            </w:pPr>
          </w:p>
        </w:tc>
      </w:tr>
      <w:tr>
        <w:trPr>
          <w:trHeight w:val="189"/>
        </w:trPr>
        <w:tc>
          <w:tcPr>
            <w:tcW w:w="3680" w:type="dxa"/>
            <w:vAlign w:val="bottom"/>
            <w:tcBorders>
              <w:right w:val="single" w:sz="8" w:color="EEEEEE"/>
            </w:tcBorders>
          </w:tcPr>
          <w:p>
            <w:pPr>
              <w:spacing w:after="0"/>
              <w:rPr>
                <w:sz w:val="16"/>
                <w:szCs w:val="16"/>
                <w:color w:val="auto"/>
              </w:rPr>
            </w:pPr>
          </w:p>
        </w:tc>
        <w:tc>
          <w:tcPr>
            <w:tcW w:w="5120" w:type="dxa"/>
            <w:vAlign w:val="bottom"/>
            <w:gridSpan w:val="3"/>
          </w:tcPr>
          <w:p>
            <w:pPr>
              <w:ind w:left="80"/>
              <w:spacing w:after="0"/>
              <w:rPr>
                <w:sz w:val="20"/>
                <w:szCs w:val="20"/>
                <w:color w:val="auto"/>
              </w:rPr>
            </w:pPr>
            <w:r>
              <w:rPr>
                <w:rFonts w:ascii="Arial" w:cs="Arial" w:eastAsia="Arial" w:hAnsi="Arial"/>
                <w:sz w:val="16"/>
                <w:szCs w:val="16"/>
                <w:color w:val="auto"/>
                <w:w w:val="99"/>
              </w:rPr>
              <w:t>Wholly owned by Enova Corporation, which is wholly owned by Sempra</w:t>
            </w:r>
          </w:p>
        </w:tc>
        <w:tc>
          <w:tcPr>
            <w:tcW w:w="20" w:type="dxa"/>
            <w:vAlign w:val="bottom"/>
          </w:tcPr>
          <w:p>
            <w:pPr>
              <w:spacing w:after="0"/>
              <w:rPr>
                <w:sz w:val="16"/>
                <w:szCs w:val="16"/>
                <w:color w:val="auto"/>
              </w:rPr>
            </w:pPr>
          </w:p>
        </w:tc>
      </w:tr>
      <w:tr>
        <w:trPr>
          <w:trHeight w:val="204"/>
        </w:trPr>
        <w:tc>
          <w:tcPr>
            <w:tcW w:w="3680" w:type="dxa"/>
            <w:vAlign w:val="bottom"/>
            <w:tcBorders>
              <w:right w:val="single" w:sz="8" w:color="EEEEEE"/>
            </w:tcBorders>
          </w:tcPr>
          <w:p>
            <w:pPr>
              <w:ind w:left="80"/>
              <w:spacing w:after="0"/>
              <w:rPr>
                <w:sz w:val="20"/>
                <w:szCs w:val="20"/>
                <w:color w:val="auto"/>
              </w:rPr>
            </w:pPr>
            <w:r>
              <w:rPr>
                <w:rFonts w:ascii="Arial" w:cs="Arial" w:eastAsia="Arial" w:hAnsi="Arial"/>
                <w:sz w:val="16"/>
                <w:szCs w:val="16"/>
                <w:color w:val="auto"/>
              </w:rPr>
              <w:t>San Diego Gas &amp; Electric Company</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Energy</w:t>
            </w:r>
          </w:p>
        </w:tc>
        <w:tc>
          <w:tcPr>
            <w:tcW w:w="20" w:type="dxa"/>
            <w:vAlign w:val="bottom"/>
          </w:tcPr>
          <w:p>
            <w:pPr>
              <w:spacing w:after="0"/>
              <w:rPr>
                <w:sz w:val="17"/>
                <w:szCs w:val="17"/>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Pacific Enterprises</w:t>
            </w:r>
          </w:p>
        </w:tc>
        <w:tc>
          <w:tcPr>
            <w:tcW w:w="5120" w:type="dxa"/>
            <w:vAlign w:val="bottom"/>
            <w:gridSpan w:val="3"/>
          </w:tcPr>
          <w:p>
            <w:pPr>
              <w:ind w:left="60"/>
              <w:spacing w:after="0"/>
              <w:rPr>
                <w:sz w:val="20"/>
                <w:szCs w:val="20"/>
                <w:color w:val="auto"/>
              </w:rPr>
            </w:pPr>
            <w:r>
              <w:rPr>
                <w:rFonts w:ascii="Arial" w:cs="Arial" w:eastAsia="Arial" w:hAnsi="Arial"/>
                <w:sz w:val="16"/>
                <w:szCs w:val="16"/>
                <w:color w:val="auto"/>
              </w:rPr>
              <w:t>Wholly owned by Sempra Energy</w:t>
            </w:r>
          </w:p>
        </w:tc>
        <w:tc>
          <w:tcPr>
            <w:tcW w:w="20" w:type="dxa"/>
            <w:vAlign w:val="bottom"/>
          </w:tcPr>
          <w:p>
            <w:pPr>
              <w:spacing w:after="0"/>
              <w:rPr>
                <w:sz w:val="16"/>
                <w:szCs w:val="16"/>
                <w:color w:val="auto"/>
              </w:rPr>
            </w:pPr>
          </w:p>
        </w:tc>
      </w:tr>
      <w:tr>
        <w:trPr>
          <w:trHeight w:val="195"/>
        </w:trPr>
        <w:tc>
          <w:tcPr>
            <w:tcW w:w="3680" w:type="dxa"/>
            <w:vAlign w:val="bottom"/>
          </w:tcPr>
          <w:p>
            <w:pPr>
              <w:spacing w:after="0"/>
              <w:rPr>
                <w:sz w:val="16"/>
                <w:szCs w:val="16"/>
                <w:color w:val="auto"/>
              </w:rPr>
            </w:pPr>
          </w:p>
        </w:tc>
        <w:tc>
          <w:tcPr>
            <w:tcW w:w="5120" w:type="dxa"/>
            <w:vAlign w:val="bottom"/>
            <w:gridSpan w:val="3"/>
          </w:tcPr>
          <w:p>
            <w:pPr>
              <w:ind w:left="60"/>
              <w:spacing w:after="0"/>
              <w:rPr>
                <w:sz w:val="20"/>
                <w:szCs w:val="20"/>
                <w:color w:val="auto"/>
              </w:rPr>
            </w:pPr>
            <w:r>
              <w:rPr>
                <w:rFonts w:ascii="Arial" w:cs="Arial" w:eastAsia="Arial" w:hAnsi="Arial"/>
                <w:sz w:val="16"/>
                <w:szCs w:val="16"/>
                <w:color w:val="auto"/>
                <w:w w:val="99"/>
              </w:rPr>
              <w:t>Wholly owned by Pacific Enterprises, which is wholly owned by Sempra</w:t>
            </w:r>
          </w:p>
        </w:tc>
        <w:tc>
          <w:tcPr>
            <w:tcW w:w="20" w:type="dxa"/>
            <w:vAlign w:val="bottom"/>
          </w:tcPr>
          <w:p>
            <w:pPr>
              <w:spacing w:after="0"/>
              <w:rPr>
                <w:sz w:val="16"/>
                <w:szCs w:val="16"/>
                <w:color w:val="auto"/>
              </w:rPr>
            </w:pPr>
          </w:p>
        </w:tc>
      </w:tr>
      <w:tr>
        <w:trPr>
          <w:trHeight w:val="201"/>
        </w:trPr>
        <w:tc>
          <w:tcPr>
            <w:tcW w:w="3680" w:type="dxa"/>
            <w:vAlign w:val="bottom"/>
          </w:tcPr>
          <w:p>
            <w:pPr>
              <w:ind w:left="80"/>
              <w:spacing w:after="0"/>
              <w:rPr>
                <w:sz w:val="20"/>
                <w:szCs w:val="20"/>
                <w:color w:val="auto"/>
              </w:rPr>
            </w:pPr>
            <w:r>
              <w:rPr>
                <w:rFonts w:ascii="Arial" w:cs="Arial" w:eastAsia="Arial" w:hAnsi="Arial"/>
                <w:sz w:val="16"/>
                <w:szCs w:val="16"/>
                <w:color w:val="auto"/>
              </w:rPr>
              <w:t>Southern California Gas Company</w:t>
            </w:r>
          </w:p>
        </w:tc>
        <w:tc>
          <w:tcPr>
            <w:tcW w:w="5120" w:type="dxa"/>
            <w:vAlign w:val="bottom"/>
            <w:gridSpan w:val="3"/>
          </w:tcPr>
          <w:p>
            <w:pPr>
              <w:ind w:left="60"/>
              <w:spacing w:after="0"/>
              <w:rPr>
                <w:sz w:val="20"/>
                <w:szCs w:val="20"/>
                <w:color w:val="auto"/>
              </w:rPr>
            </w:pPr>
            <w:r>
              <w:rPr>
                <w:rFonts w:ascii="Arial" w:cs="Arial" w:eastAsia="Arial" w:hAnsi="Arial"/>
                <w:sz w:val="16"/>
                <w:szCs w:val="16"/>
                <w:color w:val="auto"/>
              </w:rPr>
              <w:t>Energy</w:t>
            </w:r>
          </w:p>
        </w:tc>
        <w:tc>
          <w:tcPr>
            <w:tcW w:w="20" w:type="dxa"/>
            <w:vAlign w:val="bottom"/>
          </w:tcPr>
          <w:p>
            <w:pPr>
              <w:spacing w:after="0"/>
              <w:rPr>
                <w:sz w:val="17"/>
                <w:szCs w:val="17"/>
                <w:color w:val="auto"/>
              </w:rPr>
            </w:pPr>
          </w:p>
        </w:tc>
      </w:tr>
      <w:tr>
        <w:trPr>
          <w:trHeight w:val="392"/>
        </w:trPr>
        <w:tc>
          <w:tcPr>
            <w:tcW w:w="3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680" w:type="dxa"/>
            <w:vAlign w:val="bottom"/>
            <w:tcBorders>
              <w:bottom w:val="single" w:sz="8" w:color="EEEEEE"/>
            </w:tcBorders>
          </w:tcPr>
          <w:p>
            <w:pPr>
              <w:spacing w:after="0"/>
              <w:rPr>
                <w:sz w:val="16"/>
                <w:szCs w:val="16"/>
                <w:color w:val="auto"/>
              </w:rPr>
            </w:pPr>
          </w:p>
        </w:tc>
        <w:tc>
          <w:tcPr>
            <w:tcW w:w="2420" w:type="dxa"/>
            <w:vAlign w:val="bottom"/>
            <w:tcBorders>
              <w:bottom w:val="single" w:sz="8" w:color="EEEEEE"/>
            </w:tcBorders>
          </w:tcPr>
          <w:p>
            <w:pPr>
              <w:spacing w:after="0"/>
              <w:rPr>
                <w:sz w:val="16"/>
                <w:szCs w:val="16"/>
                <w:color w:val="auto"/>
              </w:rPr>
            </w:pPr>
          </w:p>
        </w:tc>
        <w:tc>
          <w:tcPr>
            <w:tcW w:w="680" w:type="dxa"/>
            <w:vAlign w:val="bottom"/>
            <w:tcBorders>
              <w:bottom w:val="single" w:sz="8" w:color="EEEEEE"/>
            </w:tcBorders>
          </w:tcPr>
          <w:p>
            <w:pPr>
              <w:spacing w:after="0"/>
              <w:rPr>
                <w:sz w:val="16"/>
                <w:szCs w:val="16"/>
                <w:color w:val="auto"/>
              </w:rPr>
            </w:pPr>
          </w:p>
        </w:tc>
        <w:tc>
          <w:tcPr>
            <w:tcW w:w="20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-14605</wp:posOffset>
            </wp:positionV>
            <wp:extent cx="762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3"/>
          <w:szCs w:val="23"/>
          <w:color w:val="auto"/>
        </w:rPr>
        <w:t>SEMPRA ENERGY FORM 10-Q</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23"/>
          <w:szCs w:val="23"/>
          <w:color w:val="auto"/>
        </w:rPr>
        <w:t>TABLE OF CONTENTS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Information Regarding Forward-Looking Statements</w:t>
            </w: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5"/>
                <w:szCs w:val="15"/>
                <w:i w:val="1"/>
                <w:iCs w:val="1"/>
                <w:color w:val="auto"/>
              </w:rPr>
              <w:t>Page</w:t>
            </w:r>
          </w:p>
        </w:tc>
        <w:tc>
          <w:tcPr>
            <w:tcW w:w="0" w:type="dxa"/>
            <w:vAlign w:val="bottom"/>
          </w:tcPr>
          <w:p>
            <w:pPr>
              <w:spacing w:after="0"/>
              <w:rPr>
                <w:sz w:val="1"/>
                <w:szCs w:val="1"/>
                <w:color w:val="auto"/>
              </w:rPr>
            </w:pPr>
          </w:p>
        </w:tc>
      </w:tr>
      <w:tr>
        <w:trPr>
          <w:trHeight w:val="182"/>
        </w:trPr>
        <w:tc>
          <w:tcPr>
            <w:tcW w:w="5740" w:type="dxa"/>
            <w:vAlign w:val="bottom"/>
            <w:gridSpan w:val="2"/>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175"/>
        </w:trPr>
        <w:tc>
          <w:tcPr>
            <w:tcW w:w="574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40" w:type="dxa"/>
            <w:vAlign w:val="bottom"/>
            <w:gridSpan w:val="2"/>
          </w:tcPr>
          <w:p>
            <w:pPr>
              <w:ind w:left="100"/>
              <w:spacing w:after="0"/>
              <w:rPr>
                <w:sz w:val="20"/>
                <w:szCs w:val="20"/>
                <w:color w:val="auto"/>
              </w:rPr>
            </w:pPr>
            <w:r>
              <w:rPr>
                <w:rFonts w:ascii="Arial" w:cs="Arial" w:eastAsia="Arial" w:hAnsi="Arial"/>
                <w:sz w:val="15"/>
                <w:szCs w:val="15"/>
                <w:b w:val="1"/>
                <w:bCs w:val="1"/>
                <w:color w:val="auto"/>
              </w:rPr>
              <w:t>PART I – FINANCIAL INFORMATION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00" w:type="dxa"/>
            <w:vAlign w:val="bottom"/>
          </w:tcPr>
          <w:p>
            <w:pPr>
              <w:ind w:left="100"/>
              <w:spacing w:after="0"/>
              <w:rPr>
                <w:sz w:val="20"/>
                <w:szCs w:val="20"/>
                <w:color w:val="auto"/>
              </w:rPr>
            </w:pPr>
            <w:r>
              <w:rPr>
                <w:rFonts w:ascii="Arial" w:cs="Arial" w:eastAsia="Arial" w:hAnsi="Arial"/>
                <w:sz w:val="15"/>
                <w:szCs w:val="15"/>
                <w:color w:val="auto"/>
              </w:rPr>
              <w:t>Item 1.</w:t>
            </w:r>
          </w:p>
        </w:tc>
        <w:tc>
          <w:tcPr>
            <w:tcW w:w="4640" w:type="dxa"/>
            <w:vAlign w:val="bottom"/>
          </w:tcPr>
          <w:p>
            <w:pPr>
              <w:ind w:left="300"/>
              <w:spacing w:after="0"/>
              <w:rPr>
                <w:sz w:val="20"/>
                <w:szCs w:val="20"/>
                <w:color w:val="auto"/>
              </w:rPr>
            </w:pPr>
            <w:r>
              <w:rPr>
                <w:rFonts w:ascii="Arial" w:cs="Arial" w:eastAsia="Arial" w:hAnsi="Arial"/>
                <w:sz w:val="15"/>
                <w:szCs w:val="15"/>
                <w:color w:val="auto"/>
              </w:rPr>
              <w:t>Financial Statements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77"/>
        </w:trPr>
        <w:tc>
          <w:tcPr>
            <w:tcW w:w="1100" w:type="dxa"/>
            <w:vAlign w:val="bottom"/>
          </w:tcPr>
          <w:p>
            <w:pPr>
              <w:ind w:left="100"/>
              <w:spacing w:after="0"/>
              <w:rPr>
                <w:sz w:val="20"/>
                <w:szCs w:val="20"/>
                <w:color w:val="auto"/>
              </w:rPr>
            </w:pPr>
            <w:r>
              <w:rPr>
                <w:rFonts w:ascii="Arial" w:cs="Arial" w:eastAsia="Arial" w:hAnsi="Arial"/>
                <w:sz w:val="15"/>
                <w:szCs w:val="15"/>
                <w:color w:val="auto"/>
              </w:rPr>
              <w:t>Item 2.</w:t>
            </w:r>
          </w:p>
        </w:tc>
        <w:tc>
          <w:tcPr>
            <w:tcW w:w="4640" w:type="dxa"/>
            <w:vAlign w:val="bottom"/>
          </w:tcPr>
          <w:p>
            <w:pPr>
              <w:ind w:left="300"/>
              <w:spacing w:after="0"/>
              <w:rPr>
                <w:sz w:val="20"/>
                <w:szCs w:val="20"/>
                <w:color w:val="auto"/>
              </w:rPr>
            </w:pPr>
            <w:r>
              <w:rPr>
                <w:rFonts w:ascii="Arial" w:cs="Arial" w:eastAsia="Arial" w:hAnsi="Arial"/>
                <w:sz w:val="15"/>
                <w:szCs w:val="15"/>
                <w:color w:val="auto"/>
              </w:rPr>
              <w:t>Management’s Discussion and Analysis of Financial Condition</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640" w:type="dxa"/>
            <w:vAlign w:val="bottom"/>
          </w:tcPr>
          <w:p>
            <w:pPr>
              <w:ind w:left="300"/>
              <w:spacing w:after="0"/>
              <w:rPr>
                <w:sz w:val="20"/>
                <w:szCs w:val="20"/>
                <w:color w:val="auto"/>
              </w:rPr>
            </w:pPr>
            <w:r>
              <w:rPr>
                <w:rFonts w:ascii="Arial" w:cs="Arial" w:eastAsia="Arial" w:hAnsi="Arial"/>
                <w:sz w:val="15"/>
                <w:szCs w:val="15"/>
                <w:color w:val="auto"/>
              </w:rPr>
              <w:t>and Results of Operations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70</w:t>
            </w:r>
          </w:p>
        </w:tc>
        <w:tc>
          <w:tcPr>
            <w:tcW w:w="0" w:type="dxa"/>
            <w:vAlign w:val="bottom"/>
          </w:tcPr>
          <w:p>
            <w:pPr>
              <w:spacing w:after="0"/>
              <w:rPr>
                <w:sz w:val="1"/>
                <w:szCs w:val="1"/>
                <w:color w:val="auto"/>
              </w:rPr>
            </w:pPr>
          </w:p>
        </w:tc>
      </w:tr>
      <w:tr>
        <w:trPr>
          <w:trHeight w:val="183"/>
        </w:trPr>
        <w:tc>
          <w:tcPr>
            <w:tcW w:w="1100" w:type="dxa"/>
            <w:vAlign w:val="bottom"/>
          </w:tcPr>
          <w:p>
            <w:pPr>
              <w:ind w:left="100"/>
              <w:spacing w:after="0"/>
              <w:rPr>
                <w:sz w:val="20"/>
                <w:szCs w:val="20"/>
                <w:color w:val="auto"/>
              </w:rPr>
            </w:pPr>
            <w:r>
              <w:rPr>
                <w:rFonts w:ascii="Arial" w:cs="Arial" w:eastAsia="Arial" w:hAnsi="Arial"/>
                <w:sz w:val="15"/>
                <w:szCs w:val="15"/>
                <w:color w:val="auto"/>
              </w:rPr>
              <w:t>Item 3.</w:t>
            </w:r>
          </w:p>
        </w:tc>
        <w:tc>
          <w:tcPr>
            <w:tcW w:w="4640" w:type="dxa"/>
            <w:vAlign w:val="bottom"/>
          </w:tcPr>
          <w:p>
            <w:pPr>
              <w:ind w:left="300"/>
              <w:spacing w:after="0"/>
              <w:rPr>
                <w:sz w:val="20"/>
                <w:szCs w:val="20"/>
                <w:color w:val="auto"/>
              </w:rPr>
            </w:pPr>
            <w:r>
              <w:rPr>
                <w:rFonts w:ascii="Arial" w:cs="Arial" w:eastAsia="Arial" w:hAnsi="Arial"/>
                <w:sz w:val="15"/>
                <w:szCs w:val="15"/>
                <w:color w:val="auto"/>
              </w:rPr>
              <w:t>Quantitative and Qualitative Disclosures About Market Risk</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96</w:t>
            </w:r>
          </w:p>
        </w:tc>
        <w:tc>
          <w:tcPr>
            <w:tcW w:w="0" w:type="dxa"/>
            <w:vAlign w:val="bottom"/>
          </w:tcPr>
          <w:p>
            <w:pPr>
              <w:spacing w:after="0"/>
              <w:rPr>
                <w:sz w:val="1"/>
                <w:szCs w:val="1"/>
                <w:color w:val="auto"/>
              </w:rPr>
            </w:pPr>
          </w:p>
        </w:tc>
      </w:tr>
      <w:tr>
        <w:trPr>
          <w:trHeight w:val="183"/>
        </w:trPr>
        <w:tc>
          <w:tcPr>
            <w:tcW w:w="1100" w:type="dxa"/>
            <w:vAlign w:val="bottom"/>
          </w:tcPr>
          <w:p>
            <w:pPr>
              <w:ind w:left="100"/>
              <w:spacing w:after="0"/>
              <w:rPr>
                <w:sz w:val="20"/>
                <w:szCs w:val="20"/>
                <w:color w:val="auto"/>
              </w:rPr>
            </w:pPr>
            <w:r>
              <w:rPr>
                <w:rFonts w:ascii="Arial" w:cs="Arial" w:eastAsia="Arial" w:hAnsi="Arial"/>
                <w:sz w:val="15"/>
                <w:szCs w:val="15"/>
                <w:color w:val="auto"/>
              </w:rPr>
              <w:t>Item 4.</w:t>
            </w:r>
          </w:p>
        </w:tc>
        <w:tc>
          <w:tcPr>
            <w:tcW w:w="4640" w:type="dxa"/>
            <w:vAlign w:val="bottom"/>
          </w:tcPr>
          <w:p>
            <w:pPr>
              <w:ind w:left="300"/>
              <w:spacing w:after="0"/>
              <w:rPr>
                <w:sz w:val="20"/>
                <w:szCs w:val="20"/>
                <w:color w:val="auto"/>
              </w:rPr>
            </w:pPr>
            <w:r>
              <w:rPr>
                <w:rFonts w:ascii="Arial" w:cs="Arial" w:eastAsia="Arial" w:hAnsi="Arial"/>
                <w:sz w:val="15"/>
                <w:szCs w:val="15"/>
                <w:color w:val="auto"/>
              </w:rPr>
              <w:t>Controls and Procedures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97</w:t>
            </w:r>
          </w:p>
        </w:tc>
        <w:tc>
          <w:tcPr>
            <w:tcW w:w="0" w:type="dxa"/>
            <w:vAlign w:val="bottom"/>
          </w:tcPr>
          <w:p>
            <w:pPr>
              <w:spacing w:after="0"/>
              <w:rPr>
                <w:sz w:val="1"/>
                <w:szCs w:val="1"/>
                <w:color w:val="auto"/>
              </w:rPr>
            </w:pPr>
          </w:p>
        </w:tc>
      </w:tr>
      <w:tr>
        <w:trPr>
          <w:trHeight w:val="224"/>
        </w:trPr>
        <w:tc>
          <w:tcPr>
            <w:tcW w:w="574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740" w:type="dxa"/>
            <w:vAlign w:val="bottom"/>
            <w:gridSpan w:val="2"/>
          </w:tcPr>
          <w:p>
            <w:pPr>
              <w:ind w:left="100"/>
              <w:spacing w:after="0"/>
              <w:rPr>
                <w:sz w:val="20"/>
                <w:szCs w:val="20"/>
                <w:color w:val="auto"/>
              </w:rPr>
            </w:pPr>
            <w:r>
              <w:rPr>
                <w:rFonts w:ascii="Arial" w:cs="Arial" w:eastAsia="Arial" w:hAnsi="Arial"/>
                <w:sz w:val="15"/>
                <w:szCs w:val="15"/>
                <w:b w:val="1"/>
                <w:bCs w:val="1"/>
                <w:color w:val="auto"/>
              </w:rPr>
              <w:t>PART II – OTHER INFORMATION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00" w:type="dxa"/>
            <w:vAlign w:val="bottom"/>
          </w:tcPr>
          <w:p>
            <w:pPr>
              <w:ind w:left="100"/>
              <w:spacing w:after="0"/>
              <w:rPr>
                <w:sz w:val="20"/>
                <w:szCs w:val="20"/>
                <w:color w:val="auto"/>
              </w:rPr>
            </w:pPr>
            <w:r>
              <w:rPr>
                <w:rFonts w:ascii="Arial" w:cs="Arial" w:eastAsia="Arial" w:hAnsi="Arial"/>
                <w:sz w:val="15"/>
                <w:szCs w:val="15"/>
                <w:color w:val="auto"/>
              </w:rPr>
              <w:t>Item 1.</w:t>
            </w:r>
          </w:p>
        </w:tc>
        <w:tc>
          <w:tcPr>
            <w:tcW w:w="4640" w:type="dxa"/>
            <w:vAlign w:val="bottom"/>
          </w:tcPr>
          <w:p>
            <w:pPr>
              <w:ind w:left="300"/>
              <w:spacing w:after="0"/>
              <w:rPr>
                <w:sz w:val="20"/>
                <w:szCs w:val="20"/>
                <w:color w:val="auto"/>
              </w:rPr>
            </w:pPr>
            <w:r>
              <w:rPr>
                <w:rFonts w:ascii="Arial" w:cs="Arial" w:eastAsia="Arial" w:hAnsi="Arial"/>
                <w:sz w:val="15"/>
                <w:szCs w:val="15"/>
                <w:color w:val="auto"/>
              </w:rPr>
              <w:t>Legal Proceedings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98</w:t>
            </w:r>
          </w:p>
        </w:tc>
        <w:tc>
          <w:tcPr>
            <w:tcW w:w="0" w:type="dxa"/>
            <w:vAlign w:val="bottom"/>
          </w:tcPr>
          <w:p>
            <w:pPr>
              <w:spacing w:after="0"/>
              <w:rPr>
                <w:sz w:val="1"/>
                <w:szCs w:val="1"/>
                <w:color w:val="auto"/>
              </w:rPr>
            </w:pPr>
          </w:p>
        </w:tc>
      </w:tr>
      <w:tr>
        <w:trPr>
          <w:trHeight w:val="234"/>
        </w:trPr>
        <w:tc>
          <w:tcPr>
            <w:tcW w:w="1100" w:type="dxa"/>
            <w:vAlign w:val="bottom"/>
          </w:tcPr>
          <w:p>
            <w:pPr>
              <w:ind w:left="100"/>
              <w:spacing w:after="0"/>
              <w:rPr>
                <w:sz w:val="20"/>
                <w:szCs w:val="20"/>
                <w:color w:val="auto"/>
              </w:rPr>
            </w:pPr>
            <w:r>
              <w:rPr>
                <w:rFonts w:ascii="Arial" w:cs="Arial" w:eastAsia="Arial" w:hAnsi="Arial"/>
                <w:sz w:val="19"/>
                <w:szCs w:val="19"/>
                <w:color w:val="auto"/>
              </w:rPr>
              <w:t>Item 1A.</w:t>
            </w:r>
          </w:p>
        </w:tc>
        <w:tc>
          <w:tcPr>
            <w:tcW w:w="4640" w:type="dxa"/>
            <w:vAlign w:val="bottom"/>
          </w:tcPr>
          <w:p>
            <w:pPr>
              <w:ind w:left="300"/>
              <w:spacing w:after="0"/>
              <w:rPr>
                <w:sz w:val="20"/>
                <w:szCs w:val="20"/>
                <w:color w:val="auto"/>
              </w:rPr>
            </w:pPr>
            <w:r>
              <w:rPr>
                <w:rFonts w:ascii="Arial" w:cs="Arial" w:eastAsia="Arial" w:hAnsi="Arial"/>
                <w:sz w:val="15"/>
                <w:szCs w:val="15"/>
                <w:color w:val="auto"/>
              </w:rPr>
              <w:t>Risk Factors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98</w:t>
            </w:r>
          </w:p>
        </w:tc>
        <w:tc>
          <w:tcPr>
            <w:tcW w:w="0" w:type="dxa"/>
            <w:vAlign w:val="bottom"/>
          </w:tcPr>
          <w:p>
            <w:pPr>
              <w:spacing w:after="0"/>
              <w:rPr>
                <w:sz w:val="1"/>
                <w:szCs w:val="1"/>
                <w:color w:val="auto"/>
              </w:rPr>
            </w:pPr>
          </w:p>
        </w:tc>
      </w:tr>
      <w:tr>
        <w:trPr>
          <w:trHeight w:val="181"/>
        </w:trPr>
        <w:tc>
          <w:tcPr>
            <w:tcW w:w="1100" w:type="dxa"/>
            <w:vAlign w:val="bottom"/>
          </w:tcPr>
          <w:p>
            <w:pPr>
              <w:ind w:left="100"/>
              <w:spacing w:after="0"/>
              <w:rPr>
                <w:sz w:val="20"/>
                <w:szCs w:val="20"/>
                <w:color w:val="auto"/>
              </w:rPr>
            </w:pPr>
            <w:r>
              <w:rPr>
                <w:rFonts w:ascii="Arial" w:cs="Arial" w:eastAsia="Arial" w:hAnsi="Arial"/>
                <w:sz w:val="15"/>
                <w:szCs w:val="15"/>
                <w:color w:val="auto"/>
              </w:rPr>
              <w:t>Item 6.</w:t>
            </w:r>
          </w:p>
        </w:tc>
        <w:tc>
          <w:tcPr>
            <w:tcW w:w="4640" w:type="dxa"/>
            <w:vAlign w:val="bottom"/>
          </w:tcPr>
          <w:p>
            <w:pPr>
              <w:ind w:left="300"/>
              <w:spacing w:after="0"/>
              <w:rPr>
                <w:sz w:val="20"/>
                <w:szCs w:val="20"/>
                <w:color w:val="auto"/>
              </w:rPr>
            </w:pPr>
            <w:r>
              <w:rPr>
                <w:rFonts w:ascii="Arial" w:cs="Arial" w:eastAsia="Arial" w:hAnsi="Arial"/>
                <w:sz w:val="15"/>
                <w:szCs w:val="15"/>
                <w:color w:val="auto"/>
              </w:rPr>
              <w:t>Exhibits</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99</w:t>
            </w:r>
          </w:p>
        </w:tc>
        <w:tc>
          <w:tcPr>
            <w:tcW w:w="0" w:type="dxa"/>
            <w:vAlign w:val="bottom"/>
          </w:tcPr>
          <w:p>
            <w:pPr>
              <w:spacing w:after="0"/>
              <w:rPr>
                <w:sz w:val="1"/>
                <w:szCs w:val="1"/>
                <w:color w:val="auto"/>
              </w:rPr>
            </w:pPr>
          </w:p>
        </w:tc>
      </w:tr>
      <w:tr>
        <w:trPr>
          <w:trHeight w:val="407"/>
        </w:trPr>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Signatures</w:t>
            </w:r>
          </w:p>
        </w:tc>
        <w:tc>
          <w:tcPr>
            <w:tcW w:w="4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00"/>
        <w:spacing w:after="0" w:line="332" w:lineRule="auto"/>
        <w:rPr>
          <w:sz w:val="20"/>
          <w:szCs w:val="20"/>
          <w:color w:val="auto"/>
        </w:rPr>
      </w:pPr>
      <w:r>
        <w:rPr>
          <w:rFonts w:ascii="Arial" w:cs="Arial" w:eastAsia="Arial" w:hAnsi="Arial"/>
          <w:sz w:val="11"/>
          <w:szCs w:val="11"/>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provides information only as to itself and its consolidated entities and not as to any other company.</w:t>
      </w:r>
    </w:p>
    <w:p>
      <w:pPr>
        <w:spacing w:after="0" w:line="52" w:lineRule="exact"/>
        <w:rPr>
          <w:sz w:val="20"/>
          <w:szCs w:val="20"/>
          <w:color w:val="auto"/>
        </w:rPr>
      </w:pPr>
    </w:p>
    <w:p>
      <w:pPr>
        <w:ind w:left="300" w:right="100"/>
        <w:spacing w:after="0" w:line="233"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 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462915</wp:posOffset>
            </wp:positionV>
            <wp:extent cx="72599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FORWARD-LOOKING STATEMENTS</w:t>
      </w:r>
    </w:p>
    <w:p>
      <w:pPr>
        <w:spacing w:after="0" w:line="9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 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7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41" w:lineRule="exact"/>
        <w:rPr>
          <w:sz w:val="20"/>
          <w:szCs w:val="20"/>
          <w:color w:val="auto"/>
        </w:rPr>
      </w:pPr>
    </w:p>
    <w:p>
      <w:pPr>
        <w:ind w:left="140" w:right="1520" w:hanging="151"/>
        <w:spacing w:after="0" w:line="338" w:lineRule="auto"/>
        <w:rPr>
          <w:sz w:val="20"/>
          <w:szCs w:val="20"/>
          <w:color w:val="auto"/>
        </w:rPr>
      </w:pPr>
      <w:r>
        <w:rPr>
          <w:rFonts w:ascii="Arial" w:cs="Arial" w:eastAsia="Arial" w:hAnsi="Arial"/>
          <w:sz w:val="15"/>
          <w:szCs w:val="15"/>
          <w:color w:val="auto"/>
        </w:rPr>
        <w:t>Factors, among others, that could cause our actual results and future actions to differ materially from those described in forward-looking statements include §local, regional, national a nd international economic, competitive, political, legislative and regulatory conditions and developments;</w:t>
      </w:r>
    </w:p>
    <w:p>
      <w:pPr>
        <w:spacing w:after="0" w:line="1" w:lineRule="exact"/>
        <w:rPr>
          <w:sz w:val="20"/>
          <w:szCs w:val="20"/>
          <w:color w:val="auto"/>
        </w:rPr>
      </w:pPr>
    </w:p>
    <w:p>
      <w:pPr>
        <w:ind w:left="140" w:right="1380"/>
        <w:spacing w:after="0" w:line="265" w:lineRule="auto"/>
        <w:rPr>
          <w:sz w:val="20"/>
          <w:szCs w:val="20"/>
          <w:color w:val="auto"/>
        </w:rPr>
      </w:pPr>
      <w:r>
        <w:rPr>
          <w:rFonts w:ascii="Arial" w:cs="Arial" w:eastAsia="Arial" w:hAnsi="Arial"/>
          <w:sz w:val="16"/>
          <w:szCs w:val="16"/>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and other countries in which we operate;</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markets conditions and inflation, interest and exchange rates;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§energy and trading markets, including the timing and extent of changes and volatility in commodity prices;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availability of electric power, natural gas and liquefied natural gas;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§weather conditions and conservation efforts;</w:t>
      </w:r>
    </w:p>
    <w:p>
      <w:pPr>
        <w:sectPr>
          <w:pgSz w:w="11900" w:h="16867" w:orient="portrait"/>
          <w:cols w:equalWidth="0" w:num="1">
            <w:col w:w="11360"/>
          </w:cols>
          <w:pgMar w:left="240" w:top="131" w:right="299" w:bottom="0" w:gutter="0" w:footer="0" w:header="0"/>
        </w:sectPr>
      </w:pPr>
    </w:p>
    <w:bookmarkStart w:id="2" w:name="page3"/>
    <w:bookmarkEnd w:id="2"/>
    <w:p>
      <w:pPr>
        <w:spacing w:after="0" w:line="69" w:lineRule="exact"/>
        <w:rPr>
          <w:sz w:val="20"/>
          <w:szCs w:val="20"/>
          <w:color w:val="auto"/>
        </w:rPr>
      </w:pPr>
    </w:p>
    <w:p>
      <w:pPr>
        <w:ind w:left="143"/>
        <w:spacing w:after="0"/>
        <w:rPr>
          <w:sz w:val="20"/>
          <w:szCs w:val="20"/>
          <w:color w:val="auto"/>
        </w:rPr>
      </w:pPr>
      <w:r>
        <w:rPr>
          <w:rFonts w:ascii="Arial" w:cs="Arial" w:eastAsia="Arial" w:hAnsi="Arial"/>
          <w:sz w:val="16"/>
          <w:szCs w:val="16"/>
          <w:color w:val="auto"/>
        </w:rPr>
        <w:t>§war and terrorist attacks;</w:t>
      </w:r>
    </w:p>
    <w:p>
      <w:pPr>
        <w:spacing w:after="0" w:line="60" w:lineRule="exact"/>
        <w:rPr>
          <w:sz w:val="20"/>
          <w:szCs w:val="20"/>
          <w:color w:val="auto"/>
        </w:rPr>
      </w:pPr>
    </w:p>
    <w:p>
      <w:pPr>
        <w:ind w:left="143"/>
        <w:spacing w:after="0"/>
        <w:rPr>
          <w:sz w:val="20"/>
          <w:szCs w:val="20"/>
          <w:color w:val="auto"/>
        </w:rPr>
      </w:pPr>
      <w:r>
        <w:rPr>
          <w:rFonts w:ascii="Arial" w:cs="Arial" w:eastAsia="Arial" w:hAnsi="Arial"/>
          <w:sz w:val="16"/>
          <w:szCs w:val="16"/>
          <w:color w:val="auto"/>
        </w:rPr>
        <w:t>§business, regulatory, environmental and legal decisions and requirements;</w:t>
      </w:r>
    </w:p>
    <w:p>
      <w:pPr>
        <w:spacing w:after="0" w:line="60" w:lineRule="exact"/>
        <w:rPr>
          <w:sz w:val="20"/>
          <w:szCs w:val="20"/>
          <w:color w:val="auto"/>
        </w:rPr>
      </w:pPr>
    </w:p>
    <w:p>
      <w:pPr>
        <w:ind w:left="143"/>
        <w:spacing w:after="0"/>
        <w:rPr>
          <w:sz w:val="20"/>
          <w:szCs w:val="20"/>
          <w:color w:val="auto"/>
        </w:rPr>
      </w:pPr>
      <w:r>
        <w:rPr>
          <w:rFonts w:ascii="Arial" w:cs="Arial" w:eastAsia="Arial" w:hAnsi="Arial"/>
          <w:sz w:val="16"/>
          <w:szCs w:val="16"/>
          <w:color w:val="auto"/>
        </w:rPr>
        <w:t>§the status of deregulation of retail natural gas and electricity delivery;</w:t>
      </w:r>
    </w:p>
    <w:p>
      <w:pPr>
        <w:spacing w:after="0" w:line="60" w:lineRule="exact"/>
        <w:rPr>
          <w:sz w:val="20"/>
          <w:szCs w:val="20"/>
          <w:color w:val="auto"/>
        </w:rPr>
      </w:pPr>
    </w:p>
    <w:p>
      <w:pPr>
        <w:ind w:left="143"/>
        <w:spacing w:after="0"/>
        <w:rPr>
          <w:sz w:val="20"/>
          <w:szCs w:val="20"/>
          <w:color w:val="auto"/>
        </w:rPr>
      </w:pPr>
      <w:r>
        <w:rPr>
          <w:rFonts w:ascii="Arial" w:cs="Arial" w:eastAsia="Arial" w:hAnsi="Arial"/>
          <w:sz w:val="16"/>
          <w:szCs w:val="16"/>
          <w:color w:val="auto"/>
        </w:rPr>
        <w:t>§th e timing and success of business development efforts;</w:t>
      </w:r>
    </w:p>
    <w:p>
      <w:pPr>
        <w:spacing w:after="0" w:line="60" w:lineRule="exact"/>
        <w:rPr>
          <w:sz w:val="20"/>
          <w:szCs w:val="20"/>
          <w:color w:val="auto"/>
        </w:rPr>
      </w:pPr>
    </w:p>
    <w:p>
      <w:pPr>
        <w:ind w:left="143"/>
        <w:spacing w:after="0"/>
        <w:rPr>
          <w:sz w:val="20"/>
          <w:szCs w:val="20"/>
          <w:color w:val="auto"/>
        </w:rPr>
      </w:pPr>
      <w:r>
        <w:rPr>
          <w:rFonts w:ascii="Arial" w:cs="Arial" w:eastAsia="Arial" w:hAnsi="Arial"/>
          <w:sz w:val="16"/>
          <w:szCs w:val="16"/>
          <w:color w:val="auto"/>
        </w:rPr>
        <w:t>§the resolution of litigation; and</w:t>
      </w:r>
    </w:p>
    <w:p>
      <w:pPr>
        <w:spacing w:after="0" w:line="60" w:lineRule="exact"/>
        <w:rPr>
          <w:sz w:val="20"/>
          <w:szCs w:val="20"/>
          <w:color w:val="auto"/>
        </w:rPr>
      </w:pPr>
    </w:p>
    <w:p>
      <w:pPr>
        <w:ind w:left="143"/>
        <w:spacing w:after="0"/>
        <w:rPr>
          <w:sz w:val="20"/>
          <w:szCs w:val="20"/>
          <w:color w:val="auto"/>
        </w:rPr>
      </w:pPr>
      <w:r>
        <w:rPr>
          <w:rFonts w:ascii="Arial" w:cs="Arial" w:eastAsia="Arial" w:hAnsi="Arial"/>
          <w:sz w:val="16"/>
          <w:szCs w:val="16"/>
          <w:color w:val="auto"/>
        </w:rPr>
        <w:t>§other uncertainties, all of which are difficult to predict and many of which are beyond our control.</w:t>
      </w:r>
    </w:p>
    <w:p>
      <w:pPr>
        <w:spacing w:after="0" w:line="157" w:lineRule="exact"/>
        <w:rPr>
          <w:sz w:val="20"/>
          <w:szCs w:val="20"/>
          <w:color w:val="auto"/>
        </w:rPr>
      </w:pPr>
    </w:p>
    <w:p>
      <w:pPr>
        <w:ind w:left="3"/>
        <w:spacing w:after="0" w:line="276"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
        <w:spacing w:after="0"/>
        <w:rPr>
          <w:sz w:val="20"/>
          <w:szCs w:val="20"/>
          <w:color w:val="auto"/>
        </w:rPr>
      </w:pPr>
      <w:r>
        <w:rPr>
          <w:rFonts w:ascii="Arial" w:cs="Arial" w:eastAsia="Arial" w:hAnsi="Arial"/>
          <w:sz w:val="22"/>
          <w:szCs w:val="22"/>
          <w:color w:val="auto"/>
        </w:rPr>
        <w:t>PART I – FINANCIAL INFORM ATION</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21"/>
          <w:szCs w:val="2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 w:right="780" w:hanging="3"/>
        <w:spacing w:after="0" w:line="301" w:lineRule="auto"/>
        <w:tabs>
          <w:tab w:leader="none" w:pos="1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BORDER-BOTTOM:0px;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456045" cy="440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6045" cy="440690"/>
                    </a:xfrm>
                    <a:prstGeom prst="rect">
                      <a:avLst/>
                    </a:prstGeom>
                    <a:noFill/>
                  </pic:spPr>
                </pic:pic>
              </a:graphicData>
            </a:graphic>
          </wp:anchor>
        </w:drawing>
      </w:r>
    </w:p>
    <w:p>
      <w:pPr>
        <w:spacing w:after="0" w:line="182"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SEMPRA ENERGY</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0"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(Dollars in millions, except per share amounts)</w:t>
      </w:r>
    </w:p>
    <w:p>
      <w:pPr>
        <w:spacing w:after="0" w:line="76"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Three months ended June 30,</w:t>
            </w:r>
          </w:p>
        </w:tc>
        <w:tc>
          <w:tcPr>
            <w:tcW w:w="276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3"/>
                <w:szCs w:val="13"/>
                <w:color w:val="auto"/>
              </w:rPr>
              <w:t>Six months ended June 30,</w:t>
            </w:r>
          </w:p>
        </w:tc>
      </w:tr>
      <w:tr>
        <w:trPr>
          <w:trHeight w:val="199"/>
        </w:trPr>
        <w:tc>
          <w:tcPr>
            <w:tcW w:w="64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3"/>
                <w:szCs w:val="13"/>
                <w:color w:val="auto"/>
              </w:rPr>
              <w:t>2010</w:t>
            </w: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2009</w:t>
            </w:r>
          </w:p>
        </w:tc>
        <w:tc>
          <w:tcPr>
            <w:tcW w:w="140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color w:val="auto"/>
              </w:rPr>
              <w:t>2010</w:t>
            </w: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color w:val="auto"/>
              </w:rPr>
              <w:t>2009</w:t>
            </w:r>
          </w:p>
        </w:tc>
      </w:tr>
      <w:tr>
        <w:trPr>
          <w:trHeight w:val="225"/>
        </w:trPr>
        <w:tc>
          <w:tcPr>
            <w:tcW w:w="5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tcPr>
          <w:p>
            <w:pPr>
              <w:jc w:val="right"/>
              <w:ind w:right="615"/>
              <w:spacing w:after="0"/>
              <w:rPr>
                <w:sz w:val="20"/>
                <w:szCs w:val="20"/>
                <w:color w:val="auto"/>
              </w:rPr>
            </w:pPr>
            <w:r>
              <w:rPr>
                <w:rFonts w:ascii="Arial" w:cs="Arial" w:eastAsia="Arial" w:hAnsi="Arial"/>
                <w:sz w:val="13"/>
                <w:szCs w:val="13"/>
                <w:color w:val="auto"/>
              </w:rPr>
              <w:t>(unaudited)</w:t>
            </w:r>
          </w:p>
        </w:tc>
        <w:tc>
          <w:tcPr>
            <w:tcW w:w="1360" w:type="dxa"/>
            <w:vAlign w:val="bottom"/>
          </w:tcPr>
          <w:p>
            <w:pPr>
              <w:spacing w:after="0"/>
              <w:rPr>
                <w:sz w:val="19"/>
                <w:szCs w:val="19"/>
                <w:color w:val="auto"/>
              </w:rPr>
            </w:pPr>
          </w:p>
        </w:tc>
      </w:tr>
    </w:tbl>
    <w:p>
      <w:pPr>
        <w:spacing w:after="0" w:line="37" w:lineRule="exact"/>
        <w:rPr>
          <w:sz w:val="20"/>
          <w:szCs w:val="20"/>
          <w:color w:val="auto"/>
        </w:rPr>
      </w:pPr>
    </w:p>
    <w:p>
      <w:pPr>
        <w:sectPr>
          <w:pgSz w:w="11900" w:h="16907" w:orient="portrait"/>
          <w:cols w:equalWidth="0" w:num="1">
            <w:col w:w="11363"/>
          </w:cols>
          <w:pgMar w:left="237" w:top="131" w:right="299" w:bottom="0" w:gutter="0" w:footer="0" w:header="0"/>
        </w:sectPr>
      </w:pPr>
    </w:p>
    <w:p>
      <w:pPr>
        <w:ind w:left="103"/>
        <w:spacing w:after="0"/>
        <w:rPr>
          <w:sz w:val="20"/>
          <w:szCs w:val="20"/>
          <w:color w:val="auto"/>
        </w:rPr>
      </w:pPr>
      <w:r>
        <w:rPr>
          <w:rFonts w:ascii="Arial" w:cs="Arial" w:eastAsia="Arial" w:hAnsi="Arial"/>
          <w:sz w:val="15"/>
          <w:szCs w:val="15"/>
          <w:color w:val="auto"/>
        </w:rPr>
        <w:t>REVENUES</w:t>
      </w:r>
    </w:p>
    <w:p>
      <w:pPr>
        <w:spacing w:after="0" w:line="22" w:lineRule="exact"/>
        <w:rPr>
          <w:sz w:val="20"/>
          <w:szCs w:val="20"/>
          <w:color w:val="auto"/>
        </w:rPr>
      </w:pPr>
    </w:p>
    <w:p>
      <w:pPr>
        <w:ind w:left="103"/>
        <w:spacing w:after="0"/>
        <w:rPr>
          <w:sz w:val="20"/>
          <w:szCs w:val="20"/>
          <w:color w:val="auto"/>
        </w:rPr>
      </w:pPr>
      <w:r>
        <w:rPr>
          <w:rFonts w:ascii="Arial" w:cs="Arial" w:eastAsia="Arial" w:hAnsi="Arial"/>
          <w:sz w:val="15"/>
          <w:szCs w:val="15"/>
          <w:color w:val="auto"/>
        </w:rPr>
        <w:t>Sempra Utilities</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Sempra Global and parent</w:t>
      </w:r>
    </w:p>
    <w:p>
      <w:pPr>
        <w:spacing w:after="0" w:line="71" w:lineRule="exact"/>
        <w:rPr>
          <w:sz w:val="20"/>
          <w:szCs w:val="20"/>
          <w:color w:val="auto"/>
        </w:rPr>
      </w:pPr>
    </w:p>
    <w:p>
      <w:pPr>
        <w:ind w:left="263"/>
        <w:spacing w:after="0"/>
        <w:rPr>
          <w:sz w:val="20"/>
          <w:szCs w:val="20"/>
          <w:color w:val="auto"/>
        </w:rPr>
      </w:pPr>
      <w:r>
        <w:rPr>
          <w:rFonts w:ascii="Arial" w:cs="Arial" w:eastAsia="Arial" w:hAnsi="Arial"/>
          <w:sz w:val="15"/>
          <w:szCs w:val="15"/>
          <w:color w:val="auto"/>
        </w:rPr>
        <w:t>Total revenues</w:t>
      </w:r>
    </w:p>
    <w:p>
      <w:pPr>
        <w:spacing w:after="0" w:line="71" w:lineRule="exact"/>
        <w:rPr>
          <w:sz w:val="20"/>
          <w:szCs w:val="20"/>
          <w:color w:val="auto"/>
        </w:rPr>
      </w:pPr>
    </w:p>
    <w:p>
      <w:pPr>
        <w:ind w:left="103"/>
        <w:spacing w:after="0"/>
        <w:rPr>
          <w:sz w:val="20"/>
          <w:szCs w:val="20"/>
          <w:color w:val="auto"/>
        </w:rPr>
      </w:pPr>
      <w:r>
        <w:rPr>
          <w:rFonts w:ascii="Arial" w:cs="Arial" w:eastAsia="Arial" w:hAnsi="Arial"/>
          <w:sz w:val="15"/>
          <w:szCs w:val="15"/>
          <w:color w:val="auto"/>
        </w:rPr>
        <w:t>EXPENSES AND OTHER INCOME</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Sempra Utilities:</w:t>
      </w:r>
    </w:p>
    <w:p>
      <w:pPr>
        <w:spacing w:after="0" w:line="47" w:lineRule="exact"/>
        <w:rPr>
          <w:sz w:val="20"/>
          <w:szCs w:val="20"/>
          <w:color w:val="auto"/>
        </w:rPr>
      </w:pPr>
    </w:p>
    <w:p>
      <w:pPr>
        <w:ind w:left="263"/>
        <w:spacing w:after="0"/>
        <w:rPr>
          <w:sz w:val="20"/>
          <w:szCs w:val="20"/>
          <w:color w:val="auto"/>
        </w:rPr>
      </w:pPr>
      <w:r>
        <w:rPr>
          <w:rFonts w:ascii="Arial" w:cs="Arial" w:eastAsia="Arial" w:hAnsi="Arial"/>
          <w:sz w:val="15"/>
          <w:szCs w:val="15"/>
          <w:color w:val="auto"/>
        </w:rPr>
        <w:t>Cost of natural gas</w:t>
      </w:r>
    </w:p>
    <w:p>
      <w:pPr>
        <w:spacing w:after="0" w:line="47" w:lineRule="exact"/>
        <w:rPr>
          <w:sz w:val="20"/>
          <w:szCs w:val="20"/>
          <w:color w:val="auto"/>
        </w:rPr>
      </w:pPr>
    </w:p>
    <w:p>
      <w:pPr>
        <w:ind w:left="163"/>
        <w:spacing w:after="0"/>
        <w:rPr>
          <w:sz w:val="20"/>
          <w:szCs w:val="20"/>
          <w:color w:val="auto"/>
        </w:rPr>
      </w:pPr>
      <w:r>
        <w:rPr>
          <w:rFonts w:ascii="Arial" w:cs="Arial" w:eastAsia="Arial" w:hAnsi="Arial"/>
          <w:sz w:val="15"/>
          <w:szCs w:val="15"/>
          <w:color w:val="auto"/>
        </w:rPr>
        <w:t>Cost of electric fuel and purchased power</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Sempra Global and parent:</w:t>
      </w:r>
    </w:p>
    <w:p>
      <w:pPr>
        <w:spacing w:after="0" w:line="47" w:lineRule="exact"/>
        <w:rPr>
          <w:sz w:val="20"/>
          <w:szCs w:val="20"/>
          <w:color w:val="auto"/>
        </w:rPr>
      </w:pPr>
    </w:p>
    <w:p>
      <w:pPr>
        <w:ind w:left="263" w:right="940"/>
        <w:spacing w:after="0" w:line="304" w:lineRule="auto"/>
        <w:rPr>
          <w:sz w:val="20"/>
          <w:szCs w:val="20"/>
          <w:color w:val="auto"/>
        </w:rPr>
      </w:pPr>
      <w:r>
        <w:rPr>
          <w:rFonts w:ascii="Arial" w:cs="Arial" w:eastAsia="Arial" w:hAnsi="Arial"/>
          <w:sz w:val="15"/>
          <w:szCs w:val="15"/>
          <w:color w:val="auto"/>
        </w:rPr>
        <w:t>Cost of natural gas, electric fuel and purchased power Other cost of sales</w:t>
      </w:r>
    </w:p>
    <w:p>
      <w:pPr>
        <w:spacing w:after="0" w:line="1" w:lineRule="exact"/>
        <w:rPr>
          <w:sz w:val="20"/>
          <w:szCs w:val="20"/>
          <w:color w:val="auto"/>
        </w:rPr>
      </w:pPr>
    </w:p>
    <w:p>
      <w:pPr>
        <w:ind w:left="103"/>
        <w:spacing w:after="0"/>
        <w:rPr>
          <w:sz w:val="20"/>
          <w:szCs w:val="20"/>
          <w:color w:val="auto"/>
        </w:rPr>
      </w:pPr>
      <w:r>
        <w:rPr>
          <w:rFonts w:ascii="Arial" w:cs="Arial" w:eastAsia="Arial" w:hAnsi="Arial"/>
          <w:sz w:val="15"/>
          <w:szCs w:val="15"/>
          <w:color w:val="auto"/>
        </w:rPr>
        <w:t>Litigation expense</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Other operation and maintenance</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Depreciation and amortization</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Franchise fees and other taxes</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Write-off of long-lived assets</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Equity earnings (losses):</w:t>
      </w:r>
    </w:p>
    <w:p>
      <w:pPr>
        <w:spacing w:after="0" w:line="47" w:lineRule="exact"/>
        <w:rPr>
          <w:sz w:val="20"/>
          <w:szCs w:val="20"/>
          <w:color w:val="auto"/>
        </w:rPr>
      </w:pPr>
    </w:p>
    <w:p>
      <w:pPr>
        <w:ind w:left="263"/>
        <w:spacing w:after="0"/>
        <w:rPr>
          <w:sz w:val="20"/>
          <w:szCs w:val="20"/>
          <w:color w:val="auto"/>
        </w:rPr>
      </w:pPr>
      <w:r>
        <w:rPr>
          <w:rFonts w:ascii="Arial" w:cs="Arial" w:eastAsia="Arial" w:hAnsi="Arial"/>
          <w:sz w:val="15"/>
          <w:szCs w:val="15"/>
          <w:color w:val="auto"/>
        </w:rPr>
        <w:t>RBS Sempra Commodities LLP</w:t>
      </w:r>
    </w:p>
    <w:p>
      <w:pPr>
        <w:spacing w:after="0" w:line="47" w:lineRule="exact"/>
        <w:rPr>
          <w:sz w:val="20"/>
          <w:szCs w:val="20"/>
          <w:color w:val="auto"/>
        </w:rPr>
      </w:pPr>
    </w:p>
    <w:p>
      <w:pPr>
        <w:ind w:left="263"/>
        <w:spacing w:after="0"/>
        <w:rPr>
          <w:sz w:val="20"/>
          <w:szCs w:val="20"/>
          <w:color w:val="auto"/>
        </w:rPr>
      </w:pPr>
      <w:r>
        <w:rPr>
          <w:rFonts w:ascii="Arial" w:cs="Arial" w:eastAsia="Arial" w:hAnsi="Arial"/>
          <w:sz w:val="15"/>
          <w:szCs w:val="15"/>
          <w:color w:val="auto"/>
        </w:rPr>
        <w:t>Other</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Other income, net</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Interest income</w:t>
      </w:r>
    </w:p>
    <w:p>
      <w:pPr>
        <w:spacing w:after="0" w:line="4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Interest expense</w:t>
      </w:r>
    </w:p>
    <w:p>
      <w:pPr>
        <w:spacing w:after="0" w:line="71" w:lineRule="exact"/>
        <w:rPr>
          <w:sz w:val="20"/>
          <w:szCs w:val="20"/>
          <w:color w:val="auto"/>
        </w:rPr>
      </w:pPr>
    </w:p>
    <w:p>
      <w:pPr>
        <w:ind w:left="263" w:right="1440" w:hanging="162"/>
        <w:spacing w:after="0" w:line="284" w:lineRule="auto"/>
        <w:rPr>
          <w:sz w:val="20"/>
          <w:szCs w:val="20"/>
          <w:color w:val="auto"/>
        </w:rPr>
      </w:pPr>
      <w:r>
        <w:rPr>
          <w:rFonts w:ascii="Arial" w:cs="Arial" w:eastAsia="Arial" w:hAnsi="Arial"/>
          <w:sz w:val="14"/>
          <w:szCs w:val="14"/>
          <w:color w:val="auto"/>
        </w:rPr>
        <w:t>Income before income taxes and equity earnings of certain unconsolidated subsidiaries</w:t>
      </w:r>
    </w:p>
    <w:p>
      <w:pPr>
        <w:spacing w:after="0" w:line="1" w:lineRule="exact"/>
        <w:rPr>
          <w:sz w:val="20"/>
          <w:szCs w:val="20"/>
          <w:color w:val="auto"/>
        </w:rPr>
      </w:pPr>
    </w:p>
    <w:p>
      <w:pPr>
        <w:ind w:left="103"/>
        <w:spacing w:after="0"/>
        <w:rPr>
          <w:sz w:val="20"/>
          <w:szCs w:val="20"/>
          <w:color w:val="auto"/>
        </w:rPr>
      </w:pPr>
      <w:r>
        <w:rPr>
          <w:rFonts w:ascii="Arial" w:cs="Arial" w:eastAsia="Arial" w:hAnsi="Arial"/>
          <w:sz w:val="19"/>
          <w:szCs w:val="19"/>
          <w:color w:val="auto"/>
        </w:rPr>
        <w:t>Income tax expense</w:t>
      </w:r>
    </w:p>
    <w:p>
      <w:pPr>
        <w:spacing w:after="0" w:line="57" w:lineRule="exact"/>
        <w:rPr>
          <w:sz w:val="20"/>
          <w:szCs w:val="20"/>
          <w:color w:val="auto"/>
        </w:rPr>
      </w:pPr>
    </w:p>
    <w:p>
      <w:pPr>
        <w:ind w:left="103"/>
        <w:spacing w:after="0"/>
        <w:rPr>
          <w:sz w:val="20"/>
          <w:szCs w:val="20"/>
          <w:color w:val="auto"/>
        </w:rPr>
      </w:pPr>
      <w:r>
        <w:rPr>
          <w:rFonts w:ascii="Arial" w:cs="Arial" w:eastAsia="Arial" w:hAnsi="Arial"/>
          <w:sz w:val="15"/>
          <w:szCs w:val="15"/>
          <w:color w:val="auto"/>
        </w:rPr>
        <w:t>Equity earnings, net of i ncome tax</w:t>
      </w:r>
    </w:p>
    <w:p>
      <w:pPr>
        <w:spacing w:after="0" w:line="49" w:lineRule="exact"/>
        <w:rPr>
          <w:sz w:val="20"/>
          <w:szCs w:val="20"/>
          <w:color w:val="auto"/>
        </w:rPr>
      </w:pPr>
    </w:p>
    <w:p>
      <w:pPr>
        <w:ind w:left="103"/>
        <w:spacing w:after="0"/>
        <w:rPr>
          <w:sz w:val="20"/>
          <w:szCs w:val="20"/>
          <w:color w:val="auto"/>
        </w:rPr>
      </w:pPr>
      <w:r>
        <w:rPr>
          <w:rFonts w:ascii="Arial" w:cs="Arial" w:eastAsia="Arial" w:hAnsi="Arial"/>
          <w:sz w:val="15"/>
          <w:szCs w:val="15"/>
          <w:color w:val="auto"/>
        </w:rPr>
        <w:t>Net income</w:t>
      </w:r>
    </w:p>
    <w:p>
      <w:pPr>
        <w:spacing w:after="0" w:line="69" w:lineRule="exact"/>
        <w:rPr>
          <w:sz w:val="20"/>
          <w:szCs w:val="20"/>
          <w:color w:val="auto"/>
        </w:rPr>
      </w:pPr>
    </w:p>
    <w:p>
      <w:pPr>
        <w:ind w:left="103" w:right="1620"/>
        <w:spacing w:after="0" w:line="324" w:lineRule="auto"/>
        <w:rPr>
          <w:sz w:val="20"/>
          <w:szCs w:val="20"/>
          <w:color w:val="auto"/>
        </w:rPr>
      </w:pPr>
      <w:r>
        <w:rPr>
          <w:rFonts w:ascii="Arial" w:cs="Arial" w:eastAsia="Arial" w:hAnsi="Arial"/>
          <w:sz w:val="15"/>
          <w:szCs w:val="15"/>
          <w:color w:val="auto"/>
        </w:rPr>
        <w:t>Losses attributable to noncontrolling int erests Preferred dividends of subsidiaries Earnings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1,512</w:t>
            </w:r>
          </w:p>
        </w:tc>
        <w:tc>
          <w:tcPr>
            <w:tcW w:w="34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1,316</w:t>
            </w:r>
          </w:p>
        </w:tc>
        <w:tc>
          <w:tcPr>
            <w:tcW w:w="460" w:type="dxa"/>
            <w:vAlign w:val="bottom"/>
          </w:tcPr>
          <w:p>
            <w:pPr>
              <w:jc w:val="center"/>
              <w:ind w:right="27"/>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3,424</w:t>
            </w:r>
          </w:p>
        </w:tc>
        <w:tc>
          <w:tcPr>
            <w:tcW w:w="420" w:type="dxa"/>
            <w:vAlign w:val="bottom"/>
          </w:tcPr>
          <w:p>
            <w:pPr>
              <w:jc w:val="right"/>
              <w:ind w:right="5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2,958</w:t>
            </w:r>
          </w:p>
        </w:tc>
      </w:tr>
      <w:tr>
        <w:trPr>
          <w:trHeight w:val="212"/>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496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373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839</w:t>
            </w:r>
          </w:p>
        </w:tc>
      </w:tr>
      <w:tr>
        <w:trPr>
          <w:trHeight w:val="231"/>
        </w:trPr>
        <w:tc>
          <w:tcPr>
            <w:tcW w:w="380" w:type="dxa"/>
            <w:vAlign w:val="bottom"/>
          </w:tcPr>
          <w:p>
            <w:pPr>
              <w:spacing w:after="0"/>
              <w:rPr>
                <w:sz w:val="20"/>
                <w:szCs w:val="20"/>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2,008</w:t>
            </w:r>
          </w:p>
        </w:tc>
        <w:tc>
          <w:tcPr>
            <w:tcW w:w="340" w:type="dxa"/>
            <w:vAlign w:val="bottom"/>
          </w:tcPr>
          <w:p>
            <w:pPr>
              <w:spacing w:after="0"/>
              <w:rPr>
                <w:sz w:val="20"/>
                <w:szCs w:val="20"/>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1,689</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4,542</w:t>
            </w:r>
          </w:p>
        </w:tc>
        <w:tc>
          <w:tcPr>
            <w:tcW w:w="4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3,797</w:t>
            </w:r>
          </w:p>
        </w:tc>
      </w:tr>
      <w:tr>
        <w:trPr>
          <w:trHeight w:val="682"/>
        </w:trPr>
        <w:tc>
          <w:tcPr>
            <w:tcW w:w="380" w:type="dxa"/>
            <w:vAlign w:val="bottom"/>
          </w:tcPr>
          <w:p>
            <w:pPr>
              <w:spacing w:after="0"/>
              <w:rPr>
                <w:sz w:val="24"/>
                <w:szCs w:val="24"/>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(359)</w:t>
            </w:r>
          </w:p>
        </w:tc>
        <w:tc>
          <w:tcPr>
            <w:tcW w:w="34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(249)</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(1,117)</w:t>
            </w:r>
          </w:p>
        </w:tc>
        <w:tc>
          <w:tcPr>
            <w:tcW w:w="4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(789)</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(129)</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(129)</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(277)</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(300)</w:t>
            </w:r>
          </w:p>
        </w:tc>
      </w:tr>
      <w:tr>
        <w:trPr>
          <w:trHeight w:val="438"/>
        </w:trPr>
        <w:tc>
          <w:tcPr>
            <w:tcW w:w="380" w:type="dxa"/>
            <w:vAlign w:val="bottom"/>
          </w:tcPr>
          <w:p>
            <w:pPr>
              <w:spacing w:after="0"/>
              <w:rPr>
                <w:sz w:val="24"/>
                <w:szCs w:val="24"/>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(257)</w:t>
            </w:r>
          </w:p>
        </w:tc>
        <w:tc>
          <w:tcPr>
            <w:tcW w:w="34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(187)</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(595)</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(455)</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(20)</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(16)</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(33)</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(167)</w:t>
            </w:r>
          </w:p>
        </w:tc>
        <w:tc>
          <w:tcPr>
            <w:tcW w:w="4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(616)</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(582)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(1,192)</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(1,105)</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(215)</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(189)</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(425)</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(372)</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(77)</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(69)</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(167)</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&amp;n bsp;(151)</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(132)</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ind w:right="315"/>
              <w:spacing w:after="0"/>
              <w:rPr>
                <w:sz w:val="20"/>
                <w:szCs w:val="20"/>
                <w:color w:val="auto"/>
              </w:rPr>
            </w:pPr>
            <w:r>
              <w:rPr>
                <w:rFonts w:ascii="Arial" w:cs="Arial" w:eastAsia="Arial" w:hAnsi="Arial"/>
                <w:sz w:val="8"/>
                <w:szCs w:val="8"/>
                <w:color w:val="auto"/>
                <w:w w:val="73"/>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(132)</w:t>
            </w:r>
          </w:p>
        </w:tc>
      </w:tr>
      <w:tr>
        <w:trPr>
          <w:trHeight w:val="438"/>
        </w:trPr>
        <w:tc>
          <w:tcPr>
            <w:tcW w:w="380" w:type="dxa"/>
            <w:vAlign w:val="bottom"/>
          </w:tcPr>
          <w:p>
            <w:pPr>
              <w:spacing w:after="0"/>
              <w:rPr>
                <w:sz w:val="24"/>
                <w:szCs w:val="24"/>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(16)</w:t>
            </w:r>
          </w:p>
        </w:tc>
        <w:tc>
          <w:tcPr>
            <w:tcW w:w="34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126</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w:t>
            </w:r>
          </w:p>
        </w:tc>
        <w:tc>
          <w:tcPr>
            <w:tcW w:w="420" w:type="dxa"/>
            <w:vAlign w:val="bottom"/>
          </w:tcPr>
          <w:p>
            <w:pPr>
              <w:spacing w:after="0"/>
              <w:rPr>
                <w:sz w:val="24"/>
                <w:szCs w:val="24"/>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279</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9"/>
                <w:szCs w:val="19"/>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w:t>
            </w:r>
          </w:p>
        </w:tc>
        <w:tc>
          <w:tcPr>
            <w:tcW w:w="4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9</w:t>
            </w:r>
          </w:p>
        </w:tc>
      </w:tr>
      <w:tr>
        <w:trPr>
          <w:trHeight w:val="219"/>
        </w:trPr>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9"/>
                <w:szCs w:val="19"/>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70</w:t>
            </w:r>
          </w:p>
        </w:tc>
        <w:tc>
          <w:tcPr>
            <w:tcW w:w="460" w:type="dxa"/>
            <w:vAlign w:val="bottom"/>
          </w:tcPr>
          <w:p>
            <w:pPr>
              <w:jc w:val="center"/>
              <w:ind w:right="7"/>
              <w:spacing w:after="0"/>
              <w:rPr>
                <w:sz w:val="20"/>
                <w:szCs w:val="20"/>
                <w:color w:val="auto"/>
              </w:rPr>
            </w:pPr>
            <w:r>
              <w:rPr>
                <w:rFonts w:ascii="Arial" w:cs="Arial" w:eastAsia="Arial" w:hAnsi="Arial"/>
                <w:sz w:val="15"/>
                <w:szCs w:val="15"/>
                <w:color w:val="auto"/>
              </w:rPr>
              <w:t>16</w:t>
            </w:r>
          </w:p>
        </w:tc>
        <w:tc>
          <w:tcPr>
            <w:tcW w:w="660" w:type="dxa"/>
            <w:vAlign w:val="bottom"/>
          </w:tcPr>
          <w:p>
            <w:pPr>
              <w:spacing w:after="0"/>
              <w:rPr>
                <w:sz w:val="19"/>
                <w:szCs w:val="19"/>
                <w:color w:val="auto"/>
              </w:rPr>
            </w:pPr>
          </w:p>
        </w:tc>
        <w:tc>
          <w:tcPr>
            <w:tcW w:w="420" w:type="dxa"/>
            <w:vAlign w:val="bottom"/>
          </w:tcPr>
          <w:p>
            <w:pPr>
              <w:jc w:val="right"/>
              <w:ind w:right="55"/>
              <w:spacing w:after="0"/>
              <w:rPr>
                <w:sz w:val="20"/>
                <w:szCs w:val="20"/>
                <w:color w:val="auto"/>
              </w:rPr>
            </w:pPr>
            <w:r>
              <w:rPr>
                <w:rFonts w:ascii="Arial" w:cs="Arial" w:eastAsia="Arial" w:hAnsi="Arial"/>
                <w:sz w:val="15"/>
                <w:szCs w:val="15"/>
                <w:color w:val="auto"/>
              </w:rPr>
              <w:t>73</w:t>
            </w:r>
          </w:p>
        </w:tc>
        <w:tc>
          <w:tcPr>
            <w:tcW w:w="104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19"/>
                <w:szCs w:val="19"/>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5</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w:t>
            </w:r>
          </w:p>
        </w:tc>
        <w:tc>
          <w:tcPr>
            <w:tcW w:w="4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11</w:t>
            </w:r>
          </w:p>
        </w:tc>
      </w:tr>
      <w:tr>
        <w:trPr>
          <w:trHeight w:val="212"/>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(103)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(79)</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(161)</w:t>
            </w:r>
          </w:p>
        </w:tc>
      </w:tr>
      <w:tr>
        <w:trPr>
          <w:trHeight w:val="450"/>
        </w:trPr>
        <w:tc>
          <w:tcPr>
            <w:tcW w:w="38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237</w:t>
            </w:r>
          </w:p>
        </w:tc>
        <w:tc>
          <w:tcPr>
            <w:tcW w:w="34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256</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376</w:t>
            </w:r>
          </w:p>
        </w:tc>
        <w:tc>
          <w:tcPr>
            <w:tcW w:w="420" w:type="dxa"/>
            <w:vAlign w:val="bottom"/>
          </w:tcPr>
          <w:p>
            <w:pPr>
              <w:spacing w:after="0"/>
              <w:rPr>
                <w:sz w:val="24"/>
                <w:szCs w:val="24"/>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674</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(59)</w:t>
            </w:r>
          </w:p>
        </w:tc>
        <w:tc>
          <w:tcPr>
            <w:tcW w:w="34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(90)</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(117)</w:t>
            </w:r>
          </w:p>
        </w:tc>
        <w:tc>
          <w:tcPr>
            <w:tcW w:w="42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(199)</w:t>
            </w:r>
          </w:p>
        </w:tc>
      </w:tr>
      <w:tr>
        <w:trPr>
          <w:trHeight w:val="212"/>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39</w:t>
            </w:r>
          </w:p>
        </w:tc>
      </w:tr>
      <w:tr>
        <w:trPr>
          <w:trHeight w:val="231"/>
        </w:trPr>
        <w:tc>
          <w:tcPr>
            <w:tcW w:w="380" w:type="dxa"/>
            <w:vAlign w:val="bottom"/>
          </w:tcPr>
          <w:p>
            <w:pPr>
              <w:spacing w:after="0"/>
              <w:rPr>
                <w:sz w:val="20"/>
                <w:szCs w:val="20"/>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205</w:t>
            </w:r>
          </w:p>
        </w:tc>
        <w:tc>
          <w:tcPr>
            <w:tcW w:w="340" w:type="dxa"/>
            <w:vAlign w:val="bottom"/>
          </w:tcPr>
          <w:p>
            <w:pPr>
              <w:spacing w:after="0"/>
              <w:rPr>
                <w:sz w:val="20"/>
                <w:szCs w:val="20"/>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189</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305</w:t>
            </w:r>
          </w:p>
        </w:tc>
        <w:tc>
          <w:tcPr>
            <w:tcW w:w="4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514</w:t>
            </w:r>
          </w:p>
        </w:tc>
      </w:tr>
      <w:tr>
        <w:trPr>
          <w:trHeight w:val="219"/>
        </w:trPr>
        <w:tc>
          <w:tcPr>
            <w:tcW w:w="38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20</w:t>
            </w:r>
          </w:p>
        </w:tc>
        <w:tc>
          <w:tcPr>
            <w:tcW w:w="340" w:type="dxa"/>
            <w:vAlign w:val="bottom"/>
          </w:tcPr>
          <w:p>
            <w:pPr>
              <w:spacing w:after="0"/>
              <w:rPr>
                <w:sz w:val="19"/>
                <w:szCs w:val="19"/>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c>
          <w:tcPr>
            <w:tcW w:w="4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5</w:t>
            </w:r>
          </w:p>
        </w:tc>
      </w:tr>
      <w:tr>
        <w:trPr>
          <w:trHeight w:val="212"/>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w:t>
            </w:r>
          </w:p>
        </w:tc>
      </w:tr>
      <w:tr>
        <w:trPr>
          <w:trHeight w:val="228"/>
        </w:trPr>
        <w:tc>
          <w:tcPr>
            <w:tcW w:w="3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222</w:t>
            </w:r>
          </w:p>
        </w:tc>
        <w:tc>
          <w:tcPr>
            <w:tcW w:w="3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198</w:t>
            </w:r>
          </w:p>
        </w:tc>
        <w:tc>
          <w:tcPr>
            <w:tcW w:w="46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514</w:t>
            </w:r>
          </w:p>
        </w:tc>
      </w:tr>
    </w:tbl>
    <w:p>
      <w:pPr>
        <w:spacing w:after="0" w:line="242" w:lineRule="exact"/>
        <w:rPr>
          <w:sz w:val="20"/>
          <w:szCs w:val="20"/>
          <w:color w:val="auto"/>
        </w:rPr>
      </w:pPr>
    </w:p>
    <w:p>
      <w:pPr>
        <w:sectPr>
          <w:pgSz w:w="11900" w:h="16907" w:orient="portrait"/>
          <w:cols w:equalWidth="0" w:num="2">
            <w:col w:w="4683" w:space="720"/>
            <w:col w:w="5960"/>
          </w:cols>
          <w:pgMar w:left="237" w:top="131" w:right="299" w:bottom="0" w:gutter="0" w:footer="0" w:header="0"/>
          <w:type w:val="continuous"/>
        </w:sectPr>
      </w:pPr>
    </w:p>
    <w:p>
      <w:pPr>
        <w:spacing w:after="0" w:line="35" w:lineRule="exact"/>
        <w:rPr>
          <w:sz w:val="20"/>
          <w:szCs w:val="20"/>
          <w:color w:val="auto"/>
        </w:rPr>
      </w:pPr>
    </w:p>
    <w:tbl>
      <w:tblPr>
        <w:tblLayout w:type="fixed"/>
        <w:tblInd w:w="3" w:type="dxa"/>
        <w:tblCellMar>
          <w:top w:w="0" w:type="dxa"/>
          <w:left w:w="0" w:type="dxa"/>
          <w:bottom w:w="0" w:type="dxa"/>
          <w:right w:w="0" w:type="dxa"/>
        </w:tblCellMar>
      </w:tblPr>
      <w:tr>
        <w:trPr>
          <w:trHeight w:val="189"/>
        </w:trPr>
        <w:tc>
          <w:tcPr>
            <w:tcW w:w="5400" w:type="dxa"/>
            <w:vAlign w:val="bottom"/>
          </w:tcPr>
          <w:p>
            <w:pPr>
              <w:ind w:left="100"/>
              <w:spacing w:after="0"/>
              <w:rPr>
                <w:sz w:val="20"/>
                <w:szCs w:val="20"/>
                <w:color w:val="auto"/>
              </w:rPr>
            </w:pPr>
            <w:r>
              <w:rPr>
                <w:rFonts w:ascii="Arial" w:cs="Arial" w:eastAsia="Arial" w:hAnsi="Arial"/>
                <w:sz w:val="15"/>
                <w:szCs w:val="15"/>
                <w:color w:val="auto"/>
              </w:rPr>
              <w:t>Basic earnings per common share</w:t>
            </w: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0.90</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0.82</w:t>
            </w:r>
          </w:p>
        </w:tc>
        <w:tc>
          <w:tcPr>
            <w:tcW w:w="4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1.33</w:t>
            </w:r>
          </w:p>
        </w:tc>
        <w:tc>
          <w:tcPr>
            <w:tcW w:w="4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2.12</w:t>
            </w:r>
          </w:p>
        </w:tc>
      </w:tr>
      <w:tr>
        <w:trPr>
          <w:trHeight w:val="236"/>
        </w:trPr>
        <w:tc>
          <w:tcPr>
            <w:tcW w:w="5400" w:type="dxa"/>
            <w:vAlign w:val="bottom"/>
          </w:tcPr>
          <w:p>
            <w:pPr>
              <w:ind w:left="100"/>
              <w:spacing w:after="0"/>
              <w:rPr>
                <w:sz w:val="20"/>
                <w:szCs w:val="20"/>
                <w:color w:val="auto"/>
              </w:rPr>
            </w:pPr>
            <w:r>
              <w:rPr>
                <w:rFonts w:ascii="Arial" w:cs="Arial" w:eastAsia="Arial" w:hAnsi="Arial"/>
                <w:sz w:val="19"/>
                <w:szCs w:val="19"/>
                <w:color w:val="auto"/>
                <w:w w:val="92"/>
              </w:rPr>
              <w:t>Weighted-average number of shares outstanding, basic (thousands)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246,784</w:t>
            </w: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242,718</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246,435</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242,245</w:t>
            </w:r>
          </w:p>
        </w:tc>
      </w:tr>
      <w:tr>
        <w:trPr>
          <w:trHeight w:val="467"/>
        </w:trPr>
        <w:tc>
          <w:tcPr>
            <w:tcW w:w="5400" w:type="dxa"/>
            <w:vAlign w:val="bottom"/>
          </w:tcPr>
          <w:p>
            <w:pPr>
              <w:ind w:left="100"/>
              <w:spacing w:after="0"/>
              <w:rPr>
                <w:sz w:val="20"/>
                <w:szCs w:val="20"/>
                <w:color w:val="auto"/>
              </w:rPr>
            </w:pPr>
            <w:r>
              <w:rPr>
                <w:rFonts w:ascii="Arial" w:cs="Arial" w:eastAsia="Arial" w:hAnsi="Arial"/>
                <w:sz w:val="15"/>
                <w:szCs w:val="15"/>
                <w:color w:val="auto"/>
              </w:rPr>
              <w:t>Diluted earnings per common share</w:t>
            </w: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0.89</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0.80</w:t>
            </w:r>
          </w:p>
        </w:tc>
        <w:tc>
          <w:tcPr>
            <w:tcW w:w="4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1.31</w:t>
            </w:r>
          </w:p>
        </w:tc>
        <w:tc>
          <w:tcPr>
            <w:tcW w:w="4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2.09</w:t>
            </w:r>
          </w:p>
        </w:tc>
      </w:tr>
      <w:tr>
        <w:trPr>
          <w:trHeight w:val="236"/>
        </w:trPr>
        <w:tc>
          <w:tcPr>
            <w:tcW w:w="5400" w:type="dxa"/>
            <w:vAlign w:val="bottom"/>
          </w:tcPr>
          <w:p>
            <w:pPr>
              <w:ind w:left="100"/>
              <w:spacing w:after="0"/>
              <w:rPr>
                <w:sz w:val="20"/>
                <w:szCs w:val="20"/>
                <w:color w:val="auto"/>
              </w:rPr>
            </w:pPr>
            <w:r>
              <w:rPr>
                <w:rFonts w:ascii="Arial" w:cs="Arial" w:eastAsia="Arial" w:hAnsi="Arial"/>
                <w:sz w:val="15"/>
                <w:szCs w:val="15"/>
                <w:color w:val="auto"/>
              </w:rPr>
              <w:t>Weighted-average number of shares outstanding, diluted ( thousands)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249,727</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247,090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249,835</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246,039</w:t>
            </w:r>
          </w:p>
        </w:tc>
      </w:tr>
      <w:tr>
        <w:trPr>
          <w:trHeight w:val="224"/>
        </w:trPr>
        <w:tc>
          <w:tcPr>
            <w:tcW w:w="54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Dividends declared per share of common stock</w:t>
            </w: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0.39</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0.39</w:t>
            </w:r>
          </w:p>
        </w:tc>
        <w:tc>
          <w:tcPr>
            <w:tcW w:w="4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0.78</w:t>
            </w:r>
          </w:p>
        </w:tc>
        <w:tc>
          <w:tcPr>
            <w:tcW w:w="4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0.78</w:t>
            </w:r>
          </w:p>
        </w:tc>
      </w:tr>
    </w:tbl>
    <w:p>
      <w:pPr>
        <w:spacing w:after="0" w:line="15"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92" w:lineRule="exact"/>
        <w:rPr>
          <w:sz w:val="20"/>
          <w:szCs w:val="20"/>
          <w:color w:val="auto"/>
        </w:rPr>
      </w:pPr>
    </w:p>
    <w:p>
      <w:pPr>
        <w:ind w:left="3" w:right="780" w:hanging="3"/>
        <w:spacing w:after="0" w:line="266"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BORDER-BOTTOM:0px; HEIGHT:12pt" valign=bottom&gt;</w:t>
      </w:r>
    </w:p>
    <w:p>
      <w:pPr>
        <w:ind w:left="163"/>
        <w:spacing w:after="0"/>
        <w:rPr>
          <w:sz w:val="20"/>
          <w:szCs w:val="20"/>
          <w:color w:val="auto"/>
        </w:rPr>
      </w:pPr>
      <w:r>
        <w:rPr>
          <w:rFonts w:ascii="Arial" w:cs="Arial" w:eastAsia="Arial" w:hAnsi="Arial"/>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033645" cy="440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33645" cy="440690"/>
                    </a:xfrm>
                    <a:prstGeom prst="rect">
                      <a:avLst/>
                    </a:prstGeom>
                    <a:noFill/>
                  </pic:spPr>
                </pic:pic>
              </a:graphicData>
            </a:graphic>
          </wp:anchor>
        </w:drawing>
      </w:r>
    </w:p>
    <w:p>
      <w:pPr>
        <w:spacing w:after="0" w:line="21"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SEMPRA ENERGY</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6"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(Dollars in millions)</w:t>
      </w:r>
    </w:p>
    <w:p>
      <w:pPr>
        <w:spacing w:after="0" w:line="78" w:lineRule="exact"/>
        <w:rPr>
          <w:sz w:val="20"/>
          <w:szCs w:val="20"/>
          <w:color w:val="auto"/>
        </w:rPr>
      </w:pPr>
    </w:p>
    <w:p>
      <w:pPr>
        <w:ind w:left="5603"/>
        <w:spacing w:after="0"/>
        <w:tabs>
          <w:tab w:leader="none" w:pos="6742" w:val="left"/>
        </w:tabs>
        <w:rPr>
          <w:sz w:val="20"/>
          <w:szCs w:val="20"/>
          <w:color w:val="auto"/>
        </w:rPr>
      </w:pPr>
      <w:r>
        <w:rPr>
          <w:rFonts w:ascii="Arial" w:cs="Arial" w:eastAsia="Arial" w:hAnsi="Arial"/>
          <w:sz w:val="13"/>
          <w:szCs w:val="13"/>
          <w:color w:val="auto"/>
        </w:rPr>
        <w:t>June 30,</w:t>
      </w:r>
      <w:r>
        <w:rPr>
          <w:sz w:val="20"/>
          <w:szCs w:val="20"/>
          <w:color w:val="auto"/>
        </w:rPr>
        <w:tab/>
      </w:r>
      <w:r>
        <w:rPr>
          <w:rFonts w:ascii="Arial" w:cs="Arial" w:eastAsia="Arial" w:hAnsi="Arial"/>
          <w:sz w:val="13"/>
          <w:szCs w:val="13"/>
          <w:color w:val="auto"/>
        </w:rPr>
        <w:t>December 31,</w:t>
      </w:r>
    </w:p>
    <w:p>
      <w:pPr>
        <w:sectPr>
          <w:pgSz w:w="11900" w:h="16907" w:orient="portrait"/>
          <w:cols w:equalWidth="0" w:num="1">
            <w:col w:w="11363"/>
          </w:cols>
          <w:pgMar w:left="237" w:top="131" w:right="299" w:bottom="0" w:gutter="0" w:footer="0" w:header="0"/>
          <w:type w:val="continuous"/>
        </w:sectPr>
      </w:pPr>
    </w:p>
    <w:bookmarkStart w:id="3" w:name="page4"/>
    <w:bookmarkEnd w:id="3"/>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68"/>
              <w:spacing w:after="0"/>
              <w:rPr>
                <w:sz w:val="20"/>
                <w:szCs w:val="20"/>
                <w:color w:val="auto"/>
              </w:rPr>
            </w:pPr>
            <w:r>
              <w:rPr>
                <w:rFonts w:ascii="Arial" w:cs="Arial" w:eastAsia="Arial" w:hAnsi="Arial"/>
                <w:sz w:val="13"/>
                <w:szCs w:val="13"/>
                <w:color w:val="auto"/>
              </w:rPr>
              <w:t>2010</w:t>
            </w:r>
          </w:p>
        </w:tc>
        <w:tc>
          <w:tcPr>
            <w:tcW w:w="320" w:type="dxa"/>
            <w:vAlign w:val="bottom"/>
          </w:tcPr>
          <w:p>
            <w:pPr>
              <w:spacing w:after="0"/>
              <w:rPr>
                <w:sz w:val="13"/>
                <w:szCs w:val="13"/>
                <w:color w:val="auto"/>
              </w:rPr>
            </w:pPr>
          </w:p>
        </w:tc>
        <w:tc>
          <w:tcPr>
            <w:tcW w:w="1180" w:type="dxa"/>
            <w:vAlign w:val="bottom"/>
          </w:tcPr>
          <w:p>
            <w:pPr>
              <w:jc w:val="right"/>
              <w:ind w:right="527"/>
              <w:spacing w:after="0"/>
              <w:rPr>
                <w:sz w:val="20"/>
                <w:szCs w:val="20"/>
                <w:color w:val="auto"/>
              </w:rPr>
            </w:pPr>
            <w:r>
              <w:rPr>
                <w:rFonts w:ascii="Arial" w:cs="Arial" w:eastAsia="Arial" w:hAnsi="Arial"/>
                <w:sz w:val="13"/>
                <w:szCs w:val="13"/>
                <w:color w:val="auto"/>
              </w:rPr>
              <w:t>2009</w:t>
            </w:r>
          </w:p>
        </w:tc>
      </w:tr>
      <w:tr>
        <w:trPr>
          <w:trHeight w:val="64"/>
        </w:trPr>
        <w:tc>
          <w:tcPr>
            <w:tcW w:w="68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21"/>
        </w:trPr>
        <w:tc>
          <w:tcPr>
            <w:tcW w:w="6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68"/>
              <w:spacing w:after="0"/>
              <w:rPr>
                <w:sz w:val="20"/>
                <w:szCs w:val="20"/>
                <w:color w:val="auto"/>
              </w:rPr>
            </w:pPr>
            <w:r>
              <w:rPr>
                <w:rFonts w:ascii="Arial" w:cs="Arial" w:eastAsia="Arial" w:hAnsi="Arial"/>
                <w:sz w:val="13"/>
                <w:szCs w:val="13"/>
                <w:color w:val="auto"/>
              </w:rPr>
              <w:t>(unaudited)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3"/>
        </w:trPr>
        <w:tc>
          <w:tcPr>
            <w:tcW w:w="680" w:type="dxa"/>
            <w:vAlign w:val="bottom"/>
          </w:tcPr>
          <w:p>
            <w:pPr>
              <w:ind w:left="100"/>
              <w:spacing w:after="0"/>
              <w:rPr>
                <w:sz w:val="20"/>
                <w:szCs w:val="20"/>
                <w:color w:val="auto"/>
              </w:rPr>
            </w:pPr>
            <w:r>
              <w:rPr>
                <w:rFonts w:ascii="Arial" w:cs="Arial" w:eastAsia="Arial" w:hAnsi="Arial"/>
                <w:sz w:val="15"/>
                <w:szCs w:val="15"/>
                <w:color w:val="auto"/>
                <w:w w:val="94"/>
              </w:rPr>
              <w:t>ASSETS</w:t>
            </w: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188</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110</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35</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Trade accounts receivable</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687</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971</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Other accounts and notes receivable</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131</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159</w:t>
            </w:r>
          </w:p>
        </w:tc>
      </w:tr>
      <w:tr>
        <w:trPr>
          <w:trHeight w:val="219"/>
        </w:trPr>
        <w:tc>
          <w:tcPr>
            <w:tcW w:w="680" w:type="dxa"/>
            <w:vAlign w:val="bottom"/>
          </w:tcPr>
          <w:p>
            <w:pPr>
              <w:ind w:left="140"/>
              <w:spacing w:after="0"/>
              <w:rPr>
                <w:sz w:val="20"/>
                <w:szCs w:val="20"/>
                <w:color w:val="auto"/>
              </w:rPr>
            </w:pPr>
            <w:r>
              <w:rPr>
                <w:rFonts w:ascii="Arial" w:cs="Arial" w:eastAsia="Arial" w:hAnsi="Arial"/>
                <w:sz w:val="15"/>
                <w:szCs w:val="15"/>
                <w:color w:val="auto"/>
              </w:rPr>
              <w:t>&amp;nb sp;</w:t>
            </w:r>
          </w:p>
        </w:tc>
        <w:tc>
          <w:tcPr>
            <w:tcW w:w="4580" w:type="dxa"/>
            <w:vAlign w:val="bottom"/>
          </w:tcPr>
          <w:p>
            <w:pPr>
              <w:ind w:left="20"/>
              <w:spacing w:after="0"/>
              <w:rPr>
                <w:sz w:val="20"/>
                <w:szCs w:val="20"/>
                <w:color w:val="auto"/>
              </w:rPr>
            </w:pPr>
            <w:r>
              <w:rPr>
                <w:rFonts w:ascii="Arial" w:cs="Arial" w:eastAsia="Arial" w:hAnsi="Arial"/>
                <w:sz w:val="15"/>
                <w:szCs w:val="15"/>
                <w:color w:val="auto"/>
              </w:rPr>
              <w:t>Due from unconsolidated affiliates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41</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196</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221</w:t>
            </w:r>
          </w:p>
        </w:tc>
      </w:tr>
      <w:tr>
        <w:trPr>
          <w:trHeight w:val="219"/>
        </w:trPr>
        <w:tc>
          <w:tcPr>
            <w:tcW w:w="5260" w:type="dxa"/>
            <w:vAlign w:val="bottom"/>
            <w:gridSpan w:val="2"/>
          </w:tcPr>
          <w:p>
            <w:pPr>
              <w:ind w:left="16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10</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Inventories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151</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197</w:t>
            </w:r>
          </w:p>
        </w:tc>
      </w:tr>
      <w:tr>
        <w:trPr>
          <w:trHeight w:val="206"/>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Regulatory assets</w:t>
            </w:r>
          </w:p>
        </w:tc>
        <w:tc>
          <w:tcPr>
            <w:tcW w:w="2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82</w:t>
            </w:r>
          </w:p>
        </w:tc>
        <w:tc>
          <w:tcPr>
            <w:tcW w:w="32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54</w:t>
            </w:r>
          </w:p>
        </w:tc>
      </w:tr>
      <w:tr>
        <w:trPr>
          <w:trHeight w:val="206"/>
        </w:trPr>
        <w:tc>
          <w:tcPr>
            <w:tcW w:w="5260" w:type="dxa"/>
            <w:vAlign w:val="bottom"/>
            <w:gridSpan w:val="2"/>
          </w:tcPr>
          <w:p>
            <w:pPr>
              <w:ind w:left="300"/>
              <w:spacing w:after="0" w:line="206" w:lineRule="exact"/>
              <w:rPr>
                <w:sz w:val="20"/>
                <w:szCs w:val="20"/>
                <w:color w:val="auto"/>
              </w:rPr>
            </w:pPr>
            <w:r>
              <w:rPr>
                <w:rFonts w:ascii="Arial" w:cs="Arial" w:eastAsia="Arial" w:hAnsi="Arial"/>
                <w:sz w:val="19"/>
                <w:szCs w:val="19"/>
                <w:color w:val="auto"/>
              </w:rPr>
              <w:t>Fixed-price contracts and other derivatives</w:t>
            </w:r>
          </w:p>
        </w:tc>
        <w:tc>
          <w:tcPr>
            <w:tcW w:w="2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77</w:t>
            </w:r>
          </w:p>
        </w:tc>
        <w:tc>
          <w:tcPr>
            <w:tcW w:w="32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77</w:t>
            </w:r>
          </w:p>
        </w:tc>
      </w:tr>
      <w:tr>
        <w:trPr>
          <w:trHeight w:val="248"/>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Insurance receivable related to wildfire litigation (Note 10)</w:t>
            </w:r>
          </w:p>
        </w:tc>
        <w:tc>
          <w:tcPr>
            <w:tcW w:w="2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150</w:t>
            </w:r>
          </w:p>
        </w:tc>
        <w:tc>
          <w:tcPr>
            <w:tcW w:w="320" w:type="dxa"/>
            <w:vAlign w:val="bottom"/>
          </w:tcPr>
          <w:p>
            <w:pPr>
              <w:spacing w:after="0"/>
              <w:rPr>
                <w:sz w:val="21"/>
                <w:szCs w:val="21"/>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 xml:space="preserve">273 </w:t>
            </w:r>
            <w:r>
              <w:rPr>
                <w:rFonts w:ascii="Arial" w:cs="Arial" w:eastAsia="Arial" w:hAnsi="Arial"/>
                <w:sz w:val="19"/>
                <w:szCs w:val="19"/>
                <w:color w:val="auto"/>
              </w:rPr>
              <w:t>&lt; /p&gt;</w:t>
            </w:r>
          </w:p>
        </w:tc>
      </w:tr>
      <w:tr>
        <w:trPr>
          <w:trHeight w:val="210"/>
        </w:trPr>
        <w:tc>
          <w:tcPr>
            <w:tcW w:w="680" w:type="dxa"/>
            <w:vAlign w:val="bottom"/>
          </w:tcPr>
          <w:p>
            <w:pPr>
              <w:ind w:left="260"/>
              <w:spacing w:after="0"/>
              <w:rPr>
                <w:sz w:val="20"/>
                <w:szCs w:val="20"/>
                <w:color w:val="auto"/>
              </w:rPr>
            </w:pPr>
            <w:r>
              <w:rPr>
                <w:rFonts w:ascii="Arial" w:cs="Arial" w:eastAsia="Arial" w:hAnsi="Arial"/>
                <w:sz w:val="15"/>
                <w:szCs w:val="15"/>
                <w:color w:val="auto"/>
              </w:rPr>
              <w:t>Other</w:t>
            </w:r>
          </w:p>
        </w:tc>
        <w:tc>
          <w:tcPr>
            <w:tcW w:w="4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176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147</w:t>
            </w:r>
          </w:p>
        </w:tc>
      </w:tr>
      <w:tr>
        <w:trPr>
          <w:trHeight w:val="211"/>
        </w:trPr>
        <w:tc>
          <w:tcPr>
            <w:tcW w:w="680" w:type="dxa"/>
            <w:vAlign w:val="bottom"/>
          </w:tcPr>
          <w:p>
            <w:pPr>
              <w:ind w:left="180"/>
              <w:spacing w:after="0"/>
              <w:rPr>
                <w:sz w:val="20"/>
                <w:szCs w:val="20"/>
                <w:color w:val="auto"/>
              </w:rPr>
            </w:pPr>
            <w:r>
              <w:rPr>
                <w:rFonts w:ascii="Arial" w:cs="Arial" w:eastAsia="Arial" w:hAnsi="Arial"/>
                <w:sz w:val="15"/>
                <w:szCs w:val="15"/>
                <w:color w:val="auto"/>
                <w:w w:val="94"/>
              </w:rPr>
              <w:t>&amp;n bsp;</w:t>
            </w:r>
          </w:p>
        </w:tc>
        <w:tc>
          <w:tcPr>
            <w:tcW w:w="4580" w:type="dxa"/>
            <w:vAlign w:val="bottom"/>
          </w:tcPr>
          <w:p>
            <w:pPr>
              <w:ind w:left="20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1,873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2,295</w:t>
            </w:r>
          </w:p>
        </w:tc>
      </w:tr>
      <w:tr>
        <w:trPr>
          <w:trHeight w:val="43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Investments and other assets: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9"/>
        </w:trPr>
        <w:tc>
          <w:tcPr>
            <w:tcW w:w="6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160" w:type="dxa"/>
            <w:vAlign w:val="bottom"/>
            <w:gridSpan w:val="2"/>
          </w:tcPr>
          <w:p>
            <w:pPr>
              <w:jc w:val="right"/>
              <w:ind w:right="768"/>
              <w:spacing w:after="0"/>
              <w:rPr>
                <w:sz w:val="20"/>
                <w:szCs w:val="20"/>
                <w:color w:val="auto"/>
              </w:rPr>
            </w:pPr>
            <w:r>
              <w:rPr>
                <w:rFonts w:ascii="Arial" w:cs="Arial" w:eastAsia="Arial" w:hAnsi="Arial"/>
                <w:sz w:val="15"/>
                <w:szCs w:val="15"/>
                <w:color w:val="auto"/>
              </w:rPr>
              <w:t>27</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9"/>
                <w:szCs w:val="19"/>
                <w:color w:val="auto"/>
              </w:rPr>
            </w:pP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Regulatory assets arising from fixed-price contracts and other derivatives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243</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241</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Regulatory assets arising from pension and other postretirement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680" w:type="dxa"/>
            <w:vAlign w:val="bottom"/>
          </w:tcPr>
          <w:p>
            <w:pPr>
              <w:ind w:left="140"/>
              <w:spacing w:after="0"/>
              <w:rPr>
                <w:sz w:val="20"/>
                <w:szCs w:val="20"/>
                <w:color w:val="auto"/>
              </w:rPr>
            </w:pPr>
            <w:r>
              <w:rPr>
                <w:rFonts w:ascii="Arial" w:cs="Arial" w:eastAsia="Arial" w:hAnsi="Arial"/>
                <w:sz w:val="15"/>
                <w:szCs w:val="15"/>
                <w:color w:val="auto"/>
              </w:rPr>
              <w:t>&amp; nbsp;</w:t>
            </w:r>
          </w:p>
        </w:tc>
        <w:tc>
          <w:tcPr>
            <w:tcW w:w="4580" w:type="dxa"/>
            <w:vAlign w:val="bottom"/>
          </w:tcPr>
          <w:p>
            <w:pPr>
              <w:ind w:left="200"/>
              <w:spacing w:after="0"/>
              <w:rPr>
                <w:sz w:val="20"/>
                <w:szCs w:val="20"/>
                <w:color w:val="auto"/>
              </w:rPr>
            </w:pPr>
            <w:r>
              <w:rPr>
                <w:rFonts w:ascii="Arial" w:cs="Arial" w:eastAsia="Arial" w:hAnsi="Arial"/>
                <w:sz w:val="15"/>
                <w:szCs w:val="15"/>
                <w:color w:val="auto"/>
              </w:rPr>
              <w:t>benefit obligations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967</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959</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Other regulatory assets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836</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603</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Nuclear decommissioning trusts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675</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678</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Investment in RBS Sempra Commodities LLP</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1,956</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2,172</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Other investments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2,451</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2,151</w:t>
            </w: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Goodwill and other intangible assets</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538</w:t>
            </w:r>
          </w:p>
        </w:tc>
        <w:tc>
          <w:tcPr>
            <w:tcW w:w="320" w:type="dxa"/>
            <w:vAlign w:val="bottom"/>
          </w:tcPr>
          <w:p>
            <w:pPr>
              <w:spacing w:after="0"/>
              <w:rPr>
                <w:sz w:val="19"/>
                <w:szCs w:val="19"/>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524</w:t>
            </w:r>
          </w:p>
        </w:tc>
      </w:tr>
      <w:tr>
        <w:trPr>
          <w:trHeight w:val="212"/>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Sundry</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596</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608</w:t>
            </w:r>
          </w:p>
        </w:tc>
      </w:tr>
      <w:tr>
        <w:trPr>
          <w:trHeight w:val="211"/>
        </w:trPr>
        <w:tc>
          <w:tcPr>
            <w:tcW w:w="5260" w:type="dxa"/>
            <w:vAlign w:val="bottom"/>
            <w:gridSpan w:val="2"/>
          </w:tcPr>
          <w:p>
            <w:pPr>
              <w:ind w:left="420"/>
              <w:spacing w:after="0"/>
              <w:rPr>
                <w:sz w:val="20"/>
                <w:szCs w:val="20"/>
                <w:color w:val="auto"/>
              </w:rPr>
            </w:pPr>
            <w:r>
              <w:rPr>
                <w:rFonts w:ascii="Arial" w:cs="Arial" w:eastAsia="Arial" w:hAnsi="Arial"/>
                <w:sz w:val="15"/>
                <w:szCs w:val="15"/>
                <w:color w:val="auto"/>
              </w:rPr>
              <w:t>Total investments and other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8,289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7,936</w:t>
            </w:r>
          </w:p>
        </w:tc>
      </w:tr>
      <w:tr>
        <w:trPr>
          <w:trHeight w:val="43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Property, plant and equipment: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9"/>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Property, plant and equipment</w:t>
            </w:r>
          </w:p>
        </w:tc>
        <w:tc>
          <w:tcPr>
            <w:tcW w:w="2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25,873</w:t>
            </w:r>
          </w:p>
        </w:tc>
        <w:tc>
          <w:tcPr>
            <w:tcW w:w="320" w:type="dxa"/>
            <w:vAlign w:val="bottom"/>
          </w:tcPr>
          <w:p>
            <w:pPr>
              <w:spacing w:after="0"/>
              <w:rPr>
                <w:sz w:val="19"/>
                <w:szCs w:val="19"/>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25,034&amp;n bsp;</w:t>
            </w:r>
          </w:p>
        </w:tc>
      </w:tr>
      <w:tr>
        <w:trPr>
          <w:trHeight w:val="212"/>
        </w:trPr>
        <w:tc>
          <w:tcPr>
            <w:tcW w:w="5260" w:type="dxa"/>
            <w:vAlign w:val="bottom"/>
            <w:gridSpan w:val="2"/>
          </w:tcPr>
          <w:p>
            <w:pPr>
              <w:ind w:left="26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(6,949)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(6,753)</w:t>
            </w:r>
          </w:p>
        </w:tc>
      </w:tr>
      <w:tr>
        <w:trPr>
          <w:trHeight w:val="211"/>
        </w:trPr>
        <w:tc>
          <w:tcPr>
            <w:tcW w:w="5260" w:type="dxa"/>
            <w:vAlign w:val="bottom"/>
            <w:gridSpan w:val="2"/>
          </w:tcPr>
          <w:p>
            <w:pPr>
              <w:ind w:left="420"/>
              <w:spacing w:after="0"/>
              <w:rPr>
                <w:sz w:val="20"/>
                <w:szCs w:val="20"/>
                <w:color w:val="auto"/>
              </w:rPr>
            </w:pPr>
            <w:r>
              <w:rPr>
                <w:rFonts w:ascii="Arial" w:cs="Arial" w:eastAsia="Arial" w:hAnsi="Arial"/>
                <w:sz w:val="15"/>
                <w:szCs w:val="15"/>
                <w:color w:val="auto"/>
                <w:w w:val="98"/>
              </w:rPr>
              <w:t>Property, plant and equipment, net ($528 at June 30, 2010 related to VIE)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18,924</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18,281</w:t>
            </w:r>
          </w:p>
        </w:tc>
      </w:tr>
      <w:tr>
        <w:trPr>
          <w:trHeight w:val="179"/>
        </w:trPr>
        <w:tc>
          <w:tcPr>
            <w:tcW w:w="5260" w:type="dxa"/>
            <w:vAlign w:val="bottom"/>
            <w:tcBorders>
              <w:bottom w:val="single" w:sz="8" w:color="auto"/>
            </w:tcBorders>
            <w:gridSpan w:val="2"/>
          </w:tcPr>
          <w:p>
            <w:pPr>
              <w:ind w:left="100"/>
              <w:spacing w:after="0" w:line="163" w:lineRule="exact"/>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8"/>
              <w:spacing w:after="0" w:line="163" w:lineRule="exact"/>
              <w:rPr>
                <w:sz w:val="20"/>
                <w:szCs w:val="20"/>
                <w:color w:val="auto"/>
              </w:rPr>
            </w:pPr>
            <w:r>
              <w:rPr>
                <w:rFonts w:ascii="Arial" w:cs="Arial" w:eastAsia="Arial" w:hAnsi="Arial"/>
                <w:sz w:val="15"/>
                <w:szCs w:val="15"/>
                <w:color w:val="auto"/>
              </w:rPr>
              <w:t>29,086</w:t>
            </w:r>
          </w:p>
        </w:tc>
        <w:tc>
          <w:tcPr>
            <w:tcW w:w="32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28,512</w:t>
            </w: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614680</wp:posOffset>
            </wp:positionV>
            <wp:extent cx="5265420" cy="440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542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9"/>
        </w:trPr>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107"/>
              <w:spacing w:after="0"/>
              <w:rPr>
                <w:sz w:val="20"/>
                <w:szCs w:val="20"/>
                <w:color w:val="auto"/>
              </w:rPr>
            </w:pPr>
            <w:r>
              <w:rPr>
                <w:rFonts w:ascii="Arial" w:cs="Arial" w:eastAsia="Arial" w:hAnsi="Arial"/>
                <w:sz w:val="13"/>
                <w:szCs w:val="13"/>
                <w:color w:val="auto"/>
              </w:rPr>
              <w:t>June 30,</w:t>
            </w:r>
          </w:p>
        </w:tc>
        <w:tc>
          <w:tcPr>
            <w:tcW w:w="260" w:type="dxa"/>
            <w:vAlign w:val="bottom"/>
          </w:tcPr>
          <w:p>
            <w:pPr>
              <w:spacing w:after="0"/>
              <w:rPr>
                <w:sz w:val="19"/>
                <w:szCs w:val="19"/>
                <w:color w:val="auto"/>
              </w:rPr>
            </w:pPr>
          </w:p>
        </w:tc>
        <w:tc>
          <w:tcPr>
            <w:tcW w:w="1160" w:type="dxa"/>
            <w:vAlign w:val="bottom"/>
          </w:tcPr>
          <w:p>
            <w:pPr>
              <w:jc w:val="right"/>
              <w:ind w:right="208"/>
              <w:spacing w:after="0"/>
              <w:rPr>
                <w:sz w:val="20"/>
                <w:szCs w:val="20"/>
                <w:color w:val="auto"/>
              </w:rPr>
            </w:pPr>
            <w:r>
              <w:rPr>
                <w:rFonts w:ascii="Arial" w:cs="Arial" w:eastAsia="Arial" w:hAnsi="Arial"/>
                <w:sz w:val="13"/>
                <w:szCs w:val="13"/>
                <w:color w:val="auto"/>
              </w:rPr>
              <w:t>December 31,</w:t>
            </w:r>
          </w:p>
        </w:tc>
      </w:tr>
      <w:tr>
        <w:trPr>
          <w:trHeight w:val="206"/>
        </w:trPr>
        <w:tc>
          <w:tcPr>
            <w:tcW w:w="5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color w:val="auto"/>
                <w:w w:val="96"/>
              </w:rPr>
              <w:t>2010</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color w:val="auto"/>
              </w:rPr>
              <w:t>2009</w:t>
            </w:r>
          </w:p>
        </w:tc>
      </w:tr>
      <w:tr>
        <w:trPr>
          <w:trHeight w:val="225"/>
        </w:trPr>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107"/>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5800" w:type="dxa"/>
            <w:vAlign w:val="bottom"/>
          </w:tcPr>
          <w:p>
            <w:pPr>
              <w:ind w:left="100"/>
              <w:spacing w:after="0"/>
              <w:rPr>
                <w:sz w:val="20"/>
                <w:szCs w:val="20"/>
                <w:color w:val="auto"/>
              </w:rPr>
            </w:pPr>
            <w:r>
              <w:rPr>
                <w:rFonts w:ascii="Arial" w:cs="Arial" w:eastAsia="Arial" w:hAnsi="Arial"/>
                <w:sz w:val="15"/>
                <w:szCs w:val="15"/>
                <w:color w:val="auto"/>
              </w:rPr>
              <w:t>LIABILITIES AND EQUITY</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800" w:type="dxa"/>
            <w:vAlign w:val="bottom"/>
          </w:tcPr>
          <w:p>
            <w:pPr>
              <w:ind w:left="10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5800" w:type="dxa"/>
            <w:vAlign w:val="bottom"/>
          </w:tcPr>
          <w:p>
            <w:pPr>
              <w:ind w:left="260"/>
              <w:spacing w:after="0"/>
              <w:rPr>
                <w:sz w:val="20"/>
                <w:szCs w:val="20"/>
                <w:color w:val="auto"/>
              </w:rPr>
            </w:pPr>
            <w:r>
              <w:rPr>
                <w:rFonts w:ascii="Arial" w:cs="Arial" w:eastAsia="Arial" w:hAnsi="Arial"/>
                <w:sz w:val="15"/>
                <w:szCs w:val="15"/>
                <w:color w:val="auto"/>
              </w:rPr>
              <w:t>Short-term debt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923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618</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Accounts payable - trade</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524</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522</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Accounts payable - other</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125</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171</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Due to unconsolidated affiliates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29</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Dividends and interest payable</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181</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&amp;n bsp;190</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220</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264</w:t>
            </w:r>
          </w:p>
        </w:tc>
      </w:tr>
      <w:tr>
        <w:trPr>
          <w:trHeight w:val="219"/>
        </w:trPr>
        <w:tc>
          <w:tcPr>
            <w:tcW w:w="5800" w:type="dxa"/>
            <w:vAlign w:val="bottom"/>
          </w:tcPr>
          <w:p>
            <w:pPr>
              <w:ind w:left="180"/>
              <w:spacing w:after="0"/>
              <w:rPr>
                <w:sz w:val="20"/>
                <w:szCs w:val="20"/>
                <w:color w:val="auto"/>
              </w:rPr>
            </w:pPr>
            <w:r>
              <w:rPr>
                <w:rFonts w:ascii="Arial" w:cs="Arial" w:eastAsia="Arial" w:hAnsi="Arial"/>
                <w:sz w:val="15"/>
                <w:szCs w:val="15"/>
                <w:color w:val="auto"/>
              </w:rPr>
              <w:t>&amp; nbsp; Regulatory balancing accounts, net</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525</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382</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Current portion of long-term debt</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307</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573</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Fixed-price contracts and other derivatives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99</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95</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Customer deposits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138</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145</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Reserve for wildfire litigation (Note 10)</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241</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270</w:t>
            </w:r>
          </w:p>
        </w:tc>
      </w:tr>
      <w:tr>
        <w:trPr>
          <w:trHeight w:val="212"/>
        </w:trPr>
        <w:tc>
          <w:tcPr>
            <w:tcW w:w="5800" w:type="dxa"/>
            <w:vAlign w:val="bottom"/>
          </w:tcPr>
          <w:p>
            <w:pPr>
              <w:ind w:left="26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629</w:t>
            </w:r>
          </w:p>
        </w:tc>
      </w:tr>
      <w:tr>
        <w:trPr>
          <w:trHeight w:val="211"/>
        </w:trPr>
        <w:tc>
          <w:tcPr>
            <w:tcW w:w="580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4,051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3,888</w:t>
            </w:r>
          </w:p>
        </w:tc>
      </w:tr>
      <w:tr>
        <w:trPr>
          <w:trHeight w:val="211"/>
        </w:trPr>
        <w:tc>
          <w:tcPr>
            <w:tcW w:w="5800" w:type="dxa"/>
            <w:vAlign w:val="bottom"/>
          </w:tcPr>
          <w:p>
            <w:pPr>
              <w:ind w:left="100"/>
              <w:spacing w:after="0"/>
              <w:rPr>
                <w:sz w:val="20"/>
                <w:szCs w:val="20"/>
                <w:color w:val="auto"/>
              </w:rPr>
            </w:pPr>
            <w:r>
              <w:rPr>
                <w:rFonts w:ascii="Arial" w:cs="Arial" w:eastAsia="Arial" w:hAnsi="Arial"/>
                <w:sz w:val="15"/>
                <w:szCs w:val="15"/>
                <w:color w:val="auto"/>
              </w:rPr>
              <w:t>Long-term debt ($360 at June 30, 2010 related to VIE)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7,562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7,460</w:t>
            </w:r>
          </w:p>
        </w:tc>
      </w:tr>
      <w:tr>
        <w:trPr>
          <w:trHeight w:val="438"/>
        </w:trPr>
        <w:tc>
          <w:tcPr>
            <w:tcW w:w="5800" w:type="dxa"/>
            <w:vAlign w:val="bottom"/>
          </w:tcPr>
          <w:p>
            <w:pPr>
              <w:ind w:left="100"/>
              <w:spacing w:after="0"/>
              <w:rPr>
                <w:sz w:val="20"/>
                <w:szCs w:val="20"/>
                <w:color w:val="auto"/>
              </w:rPr>
            </w:pPr>
            <w:r>
              <w:rPr>
                <w:rFonts w:ascii="Arial" w:cs="Arial" w:eastAsia="Arial" w:hAnsi="Arial"/>
                <w:sz w:val="15"/>
                <w:szCs w:val="15"/>
                <w:color w:val="auto"/>
              </w:rPr>
              <w:t>Deferred credits and other liabilities: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6"/>
        </w:trPr>
        <w:tc>
          <w:tcPr>
            <w:tcW w:w="5800" w:type="dxa"/>
            <w:vAlign w:val="bottom"/>
          </w:tcPr>
          <w:p>
            <w:pPr>
              <w:ind w:left="260"/>
              <w:spacing w:after="0"/>
              <w:rPr>
                <w:sz w:val="20"/>
                <w:szCs w:val="20"/>
                <w:color w:val="auto"/>
              </w:rPr>
            </w:pPr>
            <w:r>
              <w:rPr>
                <w:rFonts w:ascii="Arial" w:cs="Arial" w:eastAsia="Arial" w:hAnsi="Arial"/>
                <w:sz w:val="15"/>
                <w:szCs w:val="15"/>
                <w:color w:val="auto"/>
              </w:rPr>
              <w:t>Due to unconsolidated affiliate</w:t>
            </w:r>
          </w:p>
        </w:tc>
        <w:tc>
          <w:tcPr>
            <w:tcW w:w="180" w:type="dxa"/>
            <w:vAlign w:val="bottom"/>
          </w:tcPr>
          <w:p>
            <w:pPr>
              <w:spacing w:after="0"/>
              <w:rPr>
                <w:sz w:val="17"/>
                <w:szCs w:val="17"/>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w:t>
            </w:r>
          </w:p>
        </w:tc>
      </w:tr>
      <w:tr>
        <w:trPr>
          <w:trHeight w:val="234"/>
        </w:trPr>
        <w:tc>
          <w:tcPr>
            <w:tcW w:w="5800" w:type="dxa"/>
            <w:vAlign w:val="bottom"/>
          </w:tcPr>
          <w:p>
            <w:pPr>
              <w:ind w:left="260"/>
              <w:spacing w:after="0"/>
              <w:rPr>
                <w:sz w:val="20"/>
                <w:szCs w:val="20"/>
                <w:color w:val="auto"/>
              </w:rPr>
            </w:pPr>
            <w:r>
              <w:rPr>
                <w:rFonts w:ascii="Arial" w:cs="Arial" w:eastAsia="Arial" w:hAnsi="Arial"/>
                <w:sz w:val="15"/>
                <w:szCs w:val="15"/>
                <w:color w:val="auto"/>
              </w:rPr>
              <w:t>Customer advances for construction</w:t>
            </w:r>
          </w:p>
        </w:tc>
        <w:tc>
          <w:tcPr>
            <w:tcW w:w="180" w:type="dxa"/>
            <w:vAlign w:val="bottom"/>
          </w:tcPr>
          <w:p>
            <w:pPr>
              <w:spacing w:after="0"/>
              <w:rPr>
                <w:sz w:val="20"/>
                <w:szCs w:val="20"/>
                <w:color w:val="auto"/>
              </w:rPr>
            </w:pPr>
          </w:p>
        </w:tc>
        <w:tc>
          <w:tcPr>
            <w:tcW w:w="880" w:type="dxa"/>
            <w:vAlign w:val="bottom"/>
          </w:tcPr>
          <w:p>
            <w:pPr>
              <w:jc w:val="right"/>
              <w:ind w:right="67"/>
              <w:spacing w:after="0"/>
              <w:rPr>
                <w:sz w:val="20"/>
                <w:szCs w:val="20"/>
                <w:color w:val="auto"/>
              </w:rPr>
            </w:pPr>
            <w:r>
              <w:rPr>
                <w:rFonts w:ascii="Arial" w:cs="Arial" w:eastAsia="Arial" w:hAnsi="Arial"/>
                <w:sz w:val="19"/>
                <w:szCs w:val="19"/>
                <w:color w:val="auto"/>
              </w:rPr>
              <w:t>147</w:t>
            </w:r>
          </w:p>
        </w:tc>
        <w:tc>
          <w:tcPr>
            <w:tcW w:w="26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146</w:t>
            </w:r>
          </w:p>
        </w:tc>
      </w:tr>
      <w:tr>
        <w:trPr>
          <w:trHeight w:val="217"/>
        </w:trPr>
        <w:tc>
          <w:tcPr>
            <w:tcW w:w="5800" w:type="dxa"/>
            <w:vAlign w:val="bottom"/>
          </w:tcPr>
          <w:p>
            <w:pPr>
              <w:ind w:left="260"/>
              <w:spacing w:after="0"/>
              <w:rPr>
                <w:sz w:val="20"/>
                <w:szCs w:val="20"/>
                <w:color w:val="auto"/>
              </w:rPr>
            </w:pPr>
            <w:r>
              <w:rPr>
                <w:rFonts w:ascii="Arial" w:cs="Arial" w:eastAsia="Arial" w:hAnsi="Arial"/>
                <w:sz w:val="15"/>
                <w:szCs w:val="15"/>
                <w:color w:val="auto"/>
              </w:rPr>
              <w:t>Pension and other postretirement benefit obligations, net of plan assets</w:t>
            </w:r>
          </w:p>
        </w:tc>
        <w:tc>
          <w:tcPr>
            <w:tcW w:w="18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1,242</w:t>
            </w:r>
          </w:p>
        </w:tc>
        <w:tc>
          <w:tcPr>
            <w:tcW w:w="26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1,252</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1,466</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1,318</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Deferred investment tax credits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53</w:t>
            </w:r>
          </w:p>
        </w:tc>
        <w:tc>
          <w:tcPr>
            <w:tcW w:w="1420" w:type="dxa"/>
            <w:vAlign w:val="bottom"/>
            <w:gridSpan w:val="2"/>
          </w:tcPr>
          <w:p>
            <w:pPr>
              <w:jc w:val="right"/>
              <w:ind w:right="1028"/>
              <w:spacing w:after="0"/>
              <w:rPr>
                <w:sz w:val="20"/>
                <w:szCs w:val="20"/>
                <w:color w:val="auto"/>
              </w:rPr>
            </w:pPr>
            <w:r>
              <w:rPr>
                <w:rFonts w:ascii="Arial" w:cs="Arial" w:eastAsia="Arial" w:hAnsi="Arial"/>
                <w:sz w:val="15"/>
                <w:szCs w:val="15"/>
                <w:color w:val="auto"/>
              </w:rPr>
              <w:t>54</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Regulatory liabilities arising from remo val obligations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2,588</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2,557</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Asset retirement obligations</w:t>
            </w:r>
          </w:p>
        </w:tc>
        <w:tc>
          <w:tcPr>
            <w:tcW w:w="18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1,319</w:t>
            </w:r>
          </w:p>
        </w:tc>
        <w:tc>
          <w:tcPr>
            <w:tcW w:w="26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1,277</w:t>
            </w:r>
          </w:p>
        </w:tc>
      </w:tr>
      <w:tr>
        <w:trPr>
          <w:trHeight w:val="213"/>
        </w:trPr>
        <w:tc>
          <w:tcPr>
            <w:tcW w:w="5800" w:type="dxa"/>
            <w:vAlign w:val="bottom"/>
          </w:tcPr>
          <w:p>
            <w:pPr>
              <w:ind w:left="260"/>
              <w:spacing w:after="0"/>
              <w:rPr>
                <w:sz w:val="20"/>
                <w:szCs w:val="20"/>
                <w:color w:val="auto"/>
              </w:rPr>
            </w:pPr>
            <w:r>
              <w:rPr>
                <w:rFonts w:ascii="Arial" w:cs="Arial" w:eastAsia="Arial" w:hAnsi="Arial"/>
                <w:sz w:val="15"/>
                <w:szCs w:val="15"/>
                <w:color w:val="auto"/>
              </w:rPr>
              <w:t>Other regulatory liabilities</w:t>
            </w:r>
          </w:p>
        </w:tc>
        <w:tc>
          <w:tcPr>
            <w:tcW w:w="18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156</w:t>
            </w:r>
          </w:p>
        </w:tc>
        <w:tc>
          <w:tcPr>
            <w:tcW w:w="26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181</w:t>
            </w:r>
          </w:p>
        </w:tc>
      </w:tr>
      <w:tr>
        <w:trPr>
          <w:trHeight w:val="176"/>
        </w:trPr>
        <w:tc>
          <w:tcPr>
            <w:tcW w:w="5800" w:type="dxa"/>
            <w:vAlign w:val="bottom"/>
          </w:tcPr>
          <w:p>
            <w:pPr>
              <w:ind w:left="260"/>
              <w:spacing w:after="0"/>
              <w:rPr>
                <w:sz w:val="20"/>
                <w:szCs w:val="20"/>
                <w:color w:val="auto"/>
              </w:rPr>
            </w:pPr>
            <w:r>
              <w:rPr>
                <w:rFonts w:ascii="Arial" w:cs="Arial" w:eastAsia="Arial" w:hAnsi="Arial"/>
                <w:sz w:val="15"/>
                <w:szCs w:val="15"/>
                <w:color w:val="auto"/>
              </w:rPr>
              <w:t>Fixed-price contracts and other derivatives</w:t>
            </w:r>
          </w:p>
        </w:tc>
        <w:tc>
          <w:tcPr>
            <w:tcW w:w="180" w:type="dxa"/>
            <w:vAlign w:val="bottom"/>
          </w:tcPr>
          <w:p>
            <w:pPr>
              <w:spacing w:after="0"/>
              <w:rPr>
                <w:sz w:val="15"/>
                <w:szCs w:val="15"/>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326</w:t>
            </w:r>
          </w:p>
        </w:tc>
        <w:tc>
          <w:tcPr>
            <w:tcW w:w="26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312</w:t>
            </w:r>
          </w:p>
        </w:tc>
      </w:tr>
    </w:tbl>
    <w:p>
      <w:pPr>
        <w:sectPr>
          <w:pgSz w:w="11900" w:h="16907" w:orient="portrait"/>
          <w:cols w:equalWidth="0" w:num="1">
            <w:col w:w="10219"/>
          </w:cols>
          <w:pgMar w:left="240" w:top="144" w:right="1440" w:bottom="0" w:gutter="0" w:footer="0" w:header="0"/>
        </w:sectPr>
      </w:pPr>
    </w:p>
    <w:bookmarkStart w:id="4" w:name="page5"/>
    <w:bookmarkEnd w:id="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ind w:left="260"/>
              <w:spacing w:after="0"/>
              <w:rPr>
                <w:sz w:val="20"/>
                <w:szCs w:val="20"/>
                <w:color w:val="auto"/>
              </w:rPr>
            </w:pPr>
            <w:r>
              <w:rPr>
                <w:rFonts w:ascii="Arial" w:cs="Arial" w:eastAsia="Arial" w:hAnsi="Arial"/>
                <w:sz w:val="15"/>
                <w:szCs w:val="15"/>
                <w:color w:val="auto"/>
              </w:rPr>
              <w:t>Deferred credits and other</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687</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735</w:t>
            </w:r>
          </w:p>
        </w:tc>
      </w:tr>
      <w:tr>
        <w:trPr>
          <w:trHeight w:val="211"/>
        </w:trPr>
        <w:tc>
          <w:tcPr>
            <w:tcW w:w="5800" w:type="dxa"/>
            <w:vAlign w:val="bottom"/>
          </w:tcPr>
          <w:p>
            <w:pPr>
              <w:ind w:left="420"/>
              <w:spacing w:after="0"/>
              <w:rPr>
                <w:sz w:val="20"/>
                <w:szCs w:val="20"/>
                <w:color w:val="auto"/>
              </w:rPr>
            </w:pPr>
            <w:r>
              <w:rPr>
                <w:rFonts w:ascii="Arial" w:cs="Arial" w:eastAsia="Arial" w:hAnsi="Arial"/>
                <w:sz w:val="15"/>
                <w:szCs w:val="15"/>
                <w:color w:val="auto"/>
              </w:rPr>
              <w:t>Total deferred credits and other liabilities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7,984</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7,834</w:t>
            </w:r>
          </w:p>
        </w:tc>
      </w:tr>
      <w:tr>
        <w:trPr>
          <w:trHeight w:val="211"/>
        </w:trPr>
        <w:tc>
          <w:tcPr>
            <w:tcW w:w="5800" w:type="dxa"/>
            <w:vAlign w:val="bottom"/>
          </w:tcPr>
          <w:p>
            <w:pPr>
              <w:ind w:left="100"/>
              <w:spacing w:after="0"/>
              <w:rPr>
                <w:sz w:val="20"/>
                <w:szCs w:val="20"/>
                <w:color w:val="auto"/>
              </w:rPr>
            </w:pPr>
            <w:r>
              <w:rPr>
                <w:rFonts w:ascii="Arial" w:cs="Arial" w:eastAsia="Arial" w:hAnsi="Arial"/>
                <w:sz w:val="15"/>
                <w:szCs w:val="15"/>
                <w:color w:val="auto"/>
              </w:rPr>
              <w:t>Contingently redeemable preferred stock of subsidiary</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79</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79</w:t>
            </w:r>
          </w:p>
        </w:tc>
      </w:tr>
      <w:tr>
        <w:trPr>
          <w:trHeight w:val="438"/>
        </w:trPr>
        <w:tc>
          <w:tcPr>
            <w:tcW w:w="5800" w:type="dxa"/>
            <w:vAlign w:val="bottom"/>
          </w:tcPr>
          <w:p>
            <w:pPr>
              <w:ind w:left="100"/>
              <w:spacing w:after="0"/>
              <w:rPr>
                <w:sz w:val="20"/>
                <w:szCs w:val="20"/>
                <w:color w:val="auto"/>
              </w:rPr>
            </w:pPr>
            <w:r>
              <w:rPr>
                <w:rFonts w:ascii="Arial" w:cs="Arial" w:eastAsia="Arial" w:hAnsi="Arial"/>
                <w:sz w:val="15"/>
                <w:szCs w:val="15"/>
                <w:color w:val="auto"/>
              </w:rPr>
              <w:t>Commitments and contingencies (Note 10)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8"/>
        </w:trPr>
        <w:tc>
          <w:tcPr>
            <w:tcW w:w="5800" w:type="dxa"/>
            <w:vAlign w:val="bottom"/>
          </w:tcPr>
          <w:p>
            <w:pPr>
              <w:ind w:left="100"/>
              <w:spacing w:after="0"/>
              <w:rPr>
                <w:sz w:val="20"/>
                <w:szCs w:val="20"/>
                <w:color w:val="auto"/>
              </w:rPr>
            </w:pPr>
            <w:r>
              <w:rPr>
                <w:rFonts w:ascii="Arial" w:cs="Arial" w:eastAsia="Arial" w:hAnsi="Arial"/>
                <w:sz w:val="15"/>
                <w:szCs w:val="15"/>
                <w:color w:val="auto"/>
              </w:rPr>
              <w:t>Equity: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5800" w:type="dxa"/>
            <w:vAlign w:val="bottom"/>
          </w:tcPr>
          <w:p>
            <w:pPr>
              <w:ind w:left="260"/>
              <w:spacing w:after="0"/>
              <w:rPr>
                <w:sz w:val="20"/>
                <w:szCs w:val="20"/>
                <w:color w:val="auto"/>
              </w:rPr>
            </w:pPr>
            <w:r>
              <w:rPr>
                <w:rFonts w:ascii="Arial" w:cs="Arial" w:eastAsia="Arial" w:hAnsi="Arial"/>
                <w:sz w:val="15"/>
                <w:szCs w:val="15"/>
                <w:color w:val="auto"/>
              </w:rPr>
              <w:t>Preferred stock (50 million shares authorized; none issued)</w:t>
            </w:r>
          </w:p>
        </w:tc>
        <w:tc>
          <w:tcPr>
            <w:tcW w:w="260" w:type="dxa"/>
            <w:vAlign w:val="bottom"/>
          </w:tcPr>
          <w:p>
            <w:pPr>
              <w:spacing w:after="0"/>
              <w:rPr>
                <w:sz w:val="16"/>
                <w:szCs w:val="16"/>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w:t>
            </w:r>
          </w:p>
        </w:tc>
      </w:tr>
      <w:tr>
        <w:trPr>
          <w:trHeight w:val="248"/>
        </w:trPr>
        <w:tc>
          <w:tcPr>
            <w:tcW w:w="5800" w:type="dxa"/>
            <w:vAlign w:val="bottom"/>
          </w:tcPr>
          <w:p>
            <w:pPr>
              <w:ind w:left="260"/>
              <w:spacing w:after="0"/>
              <w:rPr>
                <w:sz w:val="20"/>
                <w:szCs w:val="20"/>
                <w:color w:val="auto"/>
              </w:rPr>
            </w:pPr>
            <w:r>
              <w:rPr>
                <w:rFonts w:ascii="Arial" w:cs="Arial" w:eastAsia="Arial" w:hAnsi="Arial"/>
                <w:sz w:val="15"/>
                <w:szCs w:val="15"/>
                <w:color w:val="auto"/>
              </w:rPr>
              <w:t>Common stock (750 million shares authorized; 248 million and 247 million shares</w:t>
            </w:r>
          </w:p>
        </w:tc>
        <w:tc>
          <w:tcPr>
            <w:tcW w:w="260" w:type="dxa"/>
            <w:vAlign w:val="bottom"/>
          </w:tcPr>
          <w:p>
            <w:pPr>
              <w:spacing w:after="0"/>
              <w:rPr>
                <w:sz w:val="21"/>
                <w:szCs w:val="21"/>
                <w:color w:val="auto"/>
              </w:rPr>
            </w:pPr>
          </w:p>
        </w:tc>
        <w:tc>
          <w:tcPr>
            <w:tcW w:w="820" w:type="dxa"/>
            <w:vAlign w:val="bottom"/>
          </w:tcPr>
          <w:p>
            <w:pPr>
              <w:jc w:val="right"/>
              <w:ind w:right="25"/>
              <w:spacing w:after="0"/>
              <w:rPr>
                <w:sz w:val="20"/>
                <w:szCs w:val="20"/>
                <w:color w:val="auto"/>
              </w:rPr>
            </w:pPr>
            <w:r>
              <w:rPr>
                <w:rFonts w:ascii="Arial" w:cs="Arial" w:eastAsia="Arial" w:hAnsi="Arial"/>
                <w:sz w:val="19"/>
                <w:szCs w:val="19"/>
                <w:color w:val="auto"/>
              </w:rPr>
              <w:t>&amp;n bsp;</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5800" w:type="dxa"/>
            <w:vAlign w:val="bottom"/>
          </w:tcPr>
          <w:p>
            <w:pPr>
              <w:ind w:left="420"/>
              <w:spacing w:after="0"/>
              <w:rPr>
                <w:sz w:val="20"/>
                <w:szCs w:val="20"/>
                <w:color w:val="auto"/>
              </w:rPr>
            </w:pPr>
            <w:r>
              <w:rPr>
                <w:rFonts w:ascii="Arial" w:cs="Arial" w:eastAsia="Arial" w:hAnsi="Arial"/>
                <w:sz w:val="15"/>
                <w:szCs w:val="15"/>
                <w:color w:val="auto"/>
                <w:w w:val="98"/>
              </w:rPr>
              <w:t>outstanding at June 30, 2010 and December 31, 2009, respectively; no par value)</w:t>
            </w:r>
          </w:p>
        </w:tc>
        <w:tc>
          <w:tcPr>
            <w:tcW w:w="260" w:type="dxa"/>
            <w:vAlign w:val="bottom"/>
          </w:tcPr>
          <w:p>
            <w:pPr>
              <w:spacing w:after="0"/>
              <w:rPr>
                <w:sz w:val="18"/>
                <w:szCs w:val="18"/>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2,493</w:t>
            </w:r>
          </w:p>
        </w:tc>
        <w:tc>
          <w:tcPr>
            <w:tcW w:w="50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2,418</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260" w:type="dxa"/>
            <w:vAlign w:val="bottom"/>
          </w:tcPr>
          <w:p>
            <w:pPr>
              <w:spacing w:after="0"/>
              <w:rPr>
                <w:sz w:val="19"/>
                <w:szCs w:val="19"/>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7,106</w:t>
            </w:r>
          </w:p>
        </w:tc>
        <w:tc>
          <w:tcPr>
            <w:tcW w:w="50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6,971</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Deferred compensation</w:t>
            </w:r>
          </w:p>
        </w:tc>
        <w:tc>
          <w:tcPr>
            <w:tcW w:w="260" w:type="dxa"/>
            <w:vAlign w:val="bottom"/>
          </w:tcPr>
          <w:p>
            <w:pPr>
              <w:spacing w:after="0"/>
              <w:rPr>
                <w:sz w:val="19"/>
                <w:szCs w:val="19"/>
                <w:color w:val="auto"/>
              </w:rPr>
            </w:pP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500" w:type="dxa"/>
            <w:vAlign w:val="bottom"/>
          </w:tcPr>
          <w:p>
            <w:pPr>
              <w:spacing w:after="0"/>
              <w:rPr>
                <w:sz w:val="19"/>
                <w:szCs w:val="19"/>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(13)</w:t>
            </w:r>
          </w:p>
        </w:tc>
      </w:tr>
      <w:tr>
        <w:trPr>
          <w:trHeight w:val="212"/>
        </w:trPr>
        <w:tc>
          <w:tcPr>
            <w:tcW w:w="5800" w:type="dxa"/>
            <w:vAlign w:val="bottom"/>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(399)</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(369)</w:t>
            </w:r>
          </w:p>
        </w:tc>
      </w:tr>
      <w:tr>
        <w:trPr>
          <w:trHeight w:val="219"/>
        </w:trPr>
        <w:tc>
          <w:tcPr>
            <w:tcW w:w="5800" w:type="dxa"/>
            <w:vAlign w:val="bottom"/>
          </w:tcPr>
          <w:p>
            <w:pPr>
              <w:ind w:left="420"/>
              <w:spacing w:after="0"/>
              <w:rPr>
                <w:sz w:val="20"/>
                <w:szCs w:val="20"/>
                <w:color w:val="auto"/>
              </w:rPr>
            </w:pPr>
            <w:r>
              <w:rPr>
                <w:rFonts w:ascii="Arial" w:cs="Arial" w:eastAsia="Arial" w:hAnsi="Arial"/>
                <w:sz w:val="15"/>
                <w:szCs w:val="15"/>
                <w:color w:val="auto"/>
              </w:rPr>
              <w:t>Total Sempra Energy shareholders' equity</w:t>
            </w:r>
          </w:p>
        </w:tc>
        <w:tc>
          <w:tcPr>
            <w:tcW w:w="260" w:type="dxa"/>
            <w:vAlign w:val="bottom"/>
          </w:tcPr>
          <w:p>
            <w:pPr>
              <w:spacing w:after="0"/>
              <w:rPr>
                <w:sz w:val="19"/>
                <w:szCs w:val="19"/>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9,190</w:t>
            </w:r>
          </w:p>
        </w:tc>
        <w:tc>
          <w:tcPr>
            <w:tcW w:w="50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9,007</w:t>
            </w:r>
          </w:p>
        </w:tc>
      </w:tr>
      <w:tr>
        <w:trPr>
          <w:trHeight w:val="219"/>
        </w:trPr>
        <w:tc>
          <w:tcPr>
            <w:tcW w:w="5800" w:type="dxa"/>
            <w:vAlign w:val="bottom"/>
          </w:tcPr>
          <w:p>
            <w:pPr>
              <w:ind w:left="260"/>
              <w:spacing w:after="0"/>
              <w:rPr>
                <w:sz w:val="20"/>
                <w:szCs w:val="20"/>
                <w:color w:val="auto"/>
              </w:rPr>
            </w:pPr>
            <w:r>
              <w:rPr>
                <w:rFonts w:ascii="Arial" w:cs="Arial" w:eastAsia="Arial" w:hAnsi="Arial"/>
                <w:sz w:val="15"/>
                <w:szCs w:val="15"/>
                <w:color w:val="auto"/>
              </w:rPr>
              <w:t>Preferred stock of subsidiaries</w:t>
            </w:r>
          </w:p>
        </w:tc>
        <w:tc>
          <w:tcPr>
            <w:tcW w:w="260" w:type="dxa"/>
            <w:vAlign w:val="bottom"/>
          </w:tcPr>
          <w:p>
            <w:pPr>
              <w:spacing w:after="0"/>
              <w:rPr>
                <w:sz w:val="19"/>
                <w:szCs w:val="19"/>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100</w:t>
            </w:r>
          </w:p>
        </w:tc>
        <w:tc>
          <w:tcPr>
            <w:tcW w:w="50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100</w:t>
            </w:r>
          </w:p>
        </w:tc>
      </w:tr>
      <w:tr>
        <w:trPr>
          <w:trHeight w:val="212"/>
        </w:trPr>
        <w:tc>
          <w:tcPr>
            <w:tcW w:w="5800" w:type="dxa"/>
            <w:vAlign w:val="bottom"/>
          </w:tcPr>
          <w:p>
            <w:pPr>
              <w:ind w:left="260"/>
              <w:spacing w:after="0"/>
              <w:rPr>
                <w:sz w:val="20"/>
                <w:szCs w:val="20"/>
                <w:color w:val="auto"/>
              </w:rPr>
            </w:pPr>
            <w:r>
              <w:rPr>
                <w:rFonts w:ascii="Arial" w:cs="Arial" w:eastAsia="Arial" w:hAnsi="Arial"/>
                <w:sz w:val="15"/>
                <w:szCs w:val="15"/>
                <w:color w:val="auto"/>
              </w:rPr>
              <w:t>Other noncontrolling interests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120</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144</w:t>
            </w:r>
          </w:p>
        </w:tc>
      </w:tr>
      <w:tr>
        <w:trPr>
          <w:trHeight w:val="211"/>
        </w:trPr>
        <w:tc>
          <w:tcPr>
            <w:tcW w:w="5800" w:type="dxa"/>
            <w:vAlign w:val="bottom"/>
          </w:tcPr>
          <w:p>
            <w:pPr>
              <w:ind w:left="420"/>
              <w:spacing w:after="0"/>
              <w:rPr>
                <w:sz w:val="20"/>
                <w:szCs w:val="20"/>
                <w:color w:val="auto"/>
              </w:rPr>
            </w:pPr>
            <w:r>
              <w:rPr>
                <w:rFonts w:ascii="Arial" w:cs="Arial" w:eastAsia="Arial" w:hAnsi="Arial"/>
                <w:sz w:val="15"/>
                <w:szCs w:val="15"/>
                <w:color w:val="auto"/>
              </w:rPr>
              <w:t>Total equity</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9,410</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9,251</w:t>
            </w:r>
          </w:p>
        </w:tc>
      </w:tr>
      <w:tr>
        <w:trPr>
          <w:trHeight w:val="179"/>
        </w:trPr>
        <w:tc>
          <w:tcPr>
            <w:tcW w:w="580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liabilities and equity</w:t>
            </w:r>
          </w:p>
        </w:tc>
        <w:tc>
          <w:tcPr>
            <w:tcW w:w="26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5"/>
              <w:spacing w:after="0" w:line="163" w:lineRule="exact"/>
              <w:rPr>
                <w:sz w:val="20"/>
                <w:szCs w:val="20"/>
                <w:color w:val="auto"/>
              </w:rPr>
            </w:pPr>
            <w:r>
              <w:rPr>
                <w:rFonts w:ascii="Arial" w:cs="Arial" w:eastAsia="Arial" w:hAnsi="Arial"/>
                <w:sz w:val="15"/>
                <w:szCs w:val="15"/>
                <w:color w:val="auto"/>
              </w:rPr>
              <w:t>29,086</w:t>
            </w:r>
          </w:p>
        </w:tc>
        <w:tc>
          <w:tcPr>
            <w:tcW w:w="500" w:type="dxa"/>
            <w:vAlign w:val="bottom"/>
            <w:tcBorders>
              <w:bottom w:val="single" w:sz="8" w:color="auto"/>
            </w:tcBorders>
          </w:tcPr>
          <w:p>
            <w:pPr>
              <w:jc w:val="right"/>
              <w:ind w:right="247"/>
              <w:spacing w:after="0" w:line="163"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28,512</w:t>
            </w:r>
          </w:p>
        </w:tc>
      </w:tr>
    </w:tbl>
    <w:p>
      <w:pPr>
        <w:spacing w:after="0" w:line="15"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4708525" cy="440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8525" cy="440690"/>
                    </a:xfrm>
                    <a:prstGeom prst="rect">
                      <a:avLst/>
                    </a:prstGeom>
                    <a:noFill/>
                  </pic:spPr>
                </pic:pic>
              </a:graphicData>
            </a:graphic>
          </wp:anchor>
        </w:drawing>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STATEMENTS OF CONSOLIDATED 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8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18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99"/>
        </w:trPr>
        <w:tc>
          <w:tcPr>
            <w:tcW w:w="5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color w:val="auto"/>
              </w:rPr>
              <w:t>2010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25"/>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527"/>
              <w:spacing w:after="0"/>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213"/>
        </w:trPr>
        <w:tc>
          <w:tcPr>
            <w:tcW w:w="5580" w:type="dxa"/>
            <w:vAlign w:val="bottom"/>
          </w:tcPr>
          <w:p>
            <w:pPr>
              <w:ind w:left="10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240" w:type="dxa"/>
            <w:vAlign w:val="bottom"/>
            <w:vMerge w:val="continue"/>
          </w:tcPr>
          <w:p>
            <w:pPr>
              <w:spacing w:after="0"/>
              <w:rPr>
                <w:sz w:val="16"/>
                <w:szCs w:val="16"/>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305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514</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Adjustments to reconcile net income to net cash provided</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80" w:type="dxa"/>
            <w:vAlign w:val="bottom"/>
          </w:tcPr>
          <w:p>
            <w:pPr>
              <w:ind w:left="420"/>
              <w:spacing w:after="0"/>
              <w:rPr>
                <w:sz w:val="20"/>
                <w:szCs w:val="20"/>
                <w:color w:val="auto"/>
              </w:rPr>
            </w:pPr>
            <w:r>
              <w:rPr>
                <w:rFonts w:ascii="Arial" w:cs="Arial" w:eastAsia="Arial" w:hAnsi="Arial"/>
                <w:sz w:val="15"/>
                <w:szCs w:val="15"/>
                <w:color w:val="auto"/>
              </w:rPr>
              <w:t>by operating activities: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80" w:type="dxa"/>
            <w:vAlign w:val="bottom"/>
          </w:tcPr>
          <w:p>
            <w:pPr>
              <w:ind w:left="48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425</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19"/>
        </w:trPr>
        <w:tc>
          <w:tcPr>
            <w:tcW w:w="5580" w:type="dxa"/>
            <w:vAlign w:val="bottom"/>
          </w:tcPr>
          <w:p>
            <w:pPr>
              <w:ind w:left="580"/>
              <w:spacing w:after="0"/>
              <w:rPr>
                <w:sz w:val="20"/>
                <w:szCs w:val="20"/>
                <w:color w:val="auto"/>
              </w:rPr>
            </w:pPr>
            <w:r>
              <w:rPr>
                <w:rFonts w:ascii="Arial" w:cs="Arial" w:eastAsia="Arial" w:hAnsi="Arial"/>
                <w:sz w:val="15"/>
                <w:szCs w:val="15"/>
                <w:color w:val="auto"/>
              </w:rPr>
              <w:t>Deferred income taxes and investment tax cred its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96</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19"/>
        </w:trPr>
        <w:tc>
          <w:tcPr>
            <w:tcW w:w="5580" w:type="dxa"/>
            <w:vAlign w:val="bottom"/>
          </w:tcPr>
          <w:p>
            <w:pPr>
              <w:ind w:left="580"/>
              <w:spacing w:after="0"/>
              <w:rPr>
                <w:sz w:val="20"/>
                <w:szCs w:val="20"/>
                <w:color w:val="auto"/>
              </w:rPr>
            </w:pPr>
            <w:r>
              <w:rPr>
                <w:rFonts w:ascii="Arial" w:cs="Arial" w:eastAsia="Arial" w:hAnsi="Arial"/>
                <w:sz w:val="15"/>
                <w:szCs w:val="15"/>
                <w:color w:val="auto"/>
              </w:rPr>
              <w:t>Equity earnings</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(53)</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219"/>
        </w:trPr>
        <w:tc>
          <w:tcPr>
            <w:tcW w:w="5580" w:type="dxa"/>
            <w:vAlign w:val="bottom"/>
          </w:tcPr>
          <w:p>
            <w:pPr>
              <w:ind w:left="480"/>
              <w:spacing w:after="0"/>
              <w:rPr>
                <w:sz w:val="20"/>
                <w:szCs w:val="20"/>
                <w:color w:val="auto"/>
              </w:rPr>
            </w:pPr>
            <w:r>
              <w:rPr>
                <w:rFonts w:ascii="Arial" w:cs="Arial" w:eastAsia="Arial" w:hAnsi="Arial"/>
                <w:sz w:val="15"/>
                <w:szCs w:val="15"/>
                <w:color w:val="auto"/>
              </w:rPr>
              <w:t>Write-off of long-lived assets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19"/>
        </w:trPr>
        <w:tc>
          <w:tcPr>
            <w:tcW w:w="5580" w:type="dxa"/>
            <w:vAlign w:val="bottom"/>
          </w:tcPr>
          <w:p>
            <w:pPr>
              <w:ind w:left="580"/>
              <w:spacing w:after="0"/>
              <w:rPr>
                <w:sz w:val="20"/>
                <w:szCs w:val="20"/>
                <w:color w:val="auto"/>
              </w:rPr>
            </w:pPr>
            <w:r>
              <w:rPr>
                <w:rFonts w:ascii="Arial" w:cs="Arial" w:eastAsia="Arial" w:hAnsi="Arial"/>
                <w:sz w:val="15"/>
                <w:szCs w:val="15"/>
                <w:color w:val="auto"/>
              </w:rPr>
              <w:t>Fixed-price contracts and other derivatives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19"/>
        </w:trPr>
        <w:tc>
          <w:tcPr>
            <w:tcW w:w="5580" w:type="dxa"/>
            <w:vAlign w:val="bottom"/>
          </w:tcPr>
          <w:p>
            <w:pPr>
              <w:ind w:left="58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Net change in other working capital components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294</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Distributions from RBS Sempra Commodities LLP</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198</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Changes in other assets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53</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12"/>
        </w:trPr>
        <w:tc>
          <w:tcPr>
            <w:tcW w:w="5580" w:type="dxa"/>
            <w:vAlign w:val="bottom"/>
          </w:tcPr>
          <w:p>
            <w:pPr>
              <w:ind w:left="260"/>
              <w:spacing w:after="0"/>
              <w:rPr>
                <w:sz w:val="20"/>
                <w:szCs w:val="20"/>
                <w:color w:val="auto"/>
              </w:rPr>
            </w:pPr>
            <w:r>
              <w:rPr>
                <w:rFonts w:ascii="Arial" w:cs="Arial" w:eastAsia="Arial" w:hAnsi="Arial"/>
                <w:sz w:val="15"/>
                <w:szCs w:val="15"/>
                <w:color w:val="auto"/>
              </w:rPr>
              <w:t>Changes in other liabilities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(19)</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1"/>
        </w:trPr>
        <w:tc>
          <w:tcPr>
            <w:tcW w:w="5580" w:type="dxa"/>
            <w:vAlign w:val="bottom"/>
          </w:tcPr>
          <w:p>
            <w:pPr>
              <w:ind w:left="4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1,307</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1,525</w:t>
            </w:r>
          </w:p>
        </w:tc>
        <w:tc>
          <w:tcPr>
            <w:tcW w:w="0" w:type="dxa"/>
            <w:vAlign w:val="bottom"/>
          </w:tcPr>
          <w:p>
            <w:pPr>
              <w:spacing w:after="0"/>
              <w:rPr>
                <w:sz w:val="1"/>
                <w:szCs w:val="1"/>
                <w:color w:val="auto"/>
              </w:rPr>
            </w:pPr>
          </w:p>
        </w:tc>
      </w:tr>
      <w:tr>
        <w:trPr>
          <w:trHeight w:val="438"/>
        </w:trPr>
        <w:tc>
          <w:tcPr>
            <w:tcW w:w="5580" w:type="dxa"/>
            <w:vAlign w:val="bottom"/>
          </w:tcPr>
          <w:p>
            <w:pPr>
              <w:ind w:left="10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Expenditures for property, plant and equipment</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(839)</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(938)</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sale of assets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w w:val="98"/>
              </w:rPr>
              <w:t>Expenditures for investments and acquisition of businesses, net of cash acquired</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(370)</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19"/>
        </w:trPr>
        <w:tc>
          <w:tcPr>
            <w:tcW w:w="5580" w:type="dxa"/>
            <w:vAlign w:val="bottom"/>
          </w:tcPr>
          <w:p>
            <w:pPr>
              <w:ind w:left="240"/>
              <w:spacing w:after="0"/>
              <w:rPr>
                <w:sz w:val="20"/>
                <w:szCs w:val="20"/>
                <w:color w:val="auto"/>
              </w:rPr>
            </w:pPr>
            <w:r>
              <w:rPr>
                <w:rFonts w:ascii="Arial" w:cs="Arial" w:eastAsia="Arial" w:hAnsi="Arial"/>
                <w:sz w:val="15"/>
                <w:szCs w:val="15"/>
                <w:color w:val="auto"/>
              </w:rPr>
              <w:t>Distributions from investments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Purchases of nuclear decommissioning and other trust assets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sales by nuclear decommissioning and other trusts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12"/>
        </w:trPr>
        <w:tc>
          <w:tcPr>
            <w:tcW w:w="558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11"/>
        </w:trPr>
        <w:tc>
          <w:tcPr>
            <w:tcW w:w="5580" w:type="dxa"/>
            <w:vAlign w:val="bottom"/>
          </w:tcPr>
          <w:p>
            <w:pPr>
              <w:ind w:left="42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(1,167)</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(987)</w:t>
            </w:r>
          </w:p>
        </w:tc>
        <w:tc>
          <w:tcPr>
            <w:tcW w:w="0" w:type="dxa"/>
            <w:vAlign w:val="bottom"/>
          </w:tcPr>
          <w:p>
            <w:pPr>
              <w:spacing w:after="0"/>
              <w:rPr>
                <w:sz w:val="1"/>
                <w:szCs w:val="1"/>
                <w:color w:val="auto"/>
              </w:rPr>
            </w:pPr>
          </w:p>
        </w:tc>
      </w:tr>
      <w:tr>
        <w:trPr>
          <w:trHeight w:val="438"/>
        </w:trPr>
        <w:tc>
          <w:tcPr>
            <w:tcW w:w="5580" w:type="dxa"/>
            <w:vAlign w:val="bottom"/>
          </w:tcPr>
          <w:p>
            <w:pPr>
              <w:ind w:left="10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Common dividends paid</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(172)</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Preferred dividends paid by subsidiaries</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Issuances of common stock</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Repurchases of common stock</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Increase (decrease) in short-term debt, net</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534</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Issuances of debt (maturities greater than 90 days)</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Payments on debt (maturities greater than 90 days)</w:t>
            </w:r>
          </w:p>
        </w:tc>
        <w:tc>
          <w:tcPr>
            <w:tcW w:w="24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(710)</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5"/>
                <w:szCs w:val="15"/>
                <w:color w:val="auto"/>
              </w:rPr>
              <w:t>Purchase of noncontrolling interest</w:t>
            </w:r>
          </w:p>
        </w:tc>
        <w:tc>
          <w:tcPr>
            <w:tcW w:w="240" w:type="dxa"/>
            <w:vAlign w:val="bottom"/>
          </w:tcPr>
          <w:p>
            <w:pPr>
              <w:spacing w:after="0"/>
              <w:rPr>
                <w:sz w:val="19"/>
                <w:szCs w:val="19"/>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12"/>
        </w:trPr>
        <w:tc>
          <w:tcPr>
            <w:tcW w:w="558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1"/>
        </w:trPr>
        <w:tc>
          <w:tcPr>
            <w:tcW w:w="5580" w:type="dxa"/>
            <w:vAlign w:val="bottom"/>
          </w:tcPr>
          <w:p>
            <w:pPr>
              <w:ind w:left="420"/>
              <w:spacing w:after="0"/>
              <w:rPr>
                <w:sz w:val="20"/>
                <w:szCs w:val="20"/>
                <w:color w:val="auto"/>
              </w:rPr>
            </w:pPr>
            <w:r>
              <w:rPr>
                <w:rFonts w:ascii="Arial" w:cs="Arial" w:eastAsia="Arial" w:hAnsi="Arial"/>
                <w:sz w:val="15"/>
                <w:szCs w:val="15"/>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438"/>
        </w:trPr>
        <w:tc>
          <w:tcPr>
            <w:tcW w:w="5580" w:type="dxa"/>
            <w:vAlign w:val="bottom"/>
          </w:tcPr>
          <w:p>
            <w:pPr>
              <w:ind w:left="100"/>
              <w:spacing w:after="0"/>
              <w:rPr>
                <w:sz w:val="20"/>
                <w:szCs w:val="20"/>
                <w:color w:val="auto"/>
              </w:rPr>
            </w:pPr>
            <w:r>
              <w:rPr>
                <w:rFonts w:ascii="Arial" w:cs="Arial" w:eastAsia="Arial" w:hAnsi="Arial"/>
                <w:sz w:val="15"/>
                <w:szCs w:val="15"/>
                <w:color w:val="auto"/>
              </w:rPr>
              <w:t>Increase in cash and cash equivalents</w:t>
            </w:r>
          </w:p>
        </w:tc>
        <w:tc>
          <w:tcPr>
            <w:tcW w:w="240" w:type="dxa"/>
            <w:vAlign w:val="bottom"/>
          </w:tcPr>
          <w:p>
            <w:pPr>
              <w:spacing w:after="0"/>
              <w:rPr>
                <w:sz w:val="24"/>
                <w:szCs w:val="24"/>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78</w:t>
            </w:r>
          </w:p>
        </w:tc>
        <w:tc>
          <w:tcPr>
            <w:tcW w:w="200" w:type="dxa"/>
            <w:vAlign w:val="bottom"/>
          </w:tcPr>
          <w:p>
            <w:pPr>
              <w:spacing w:after="0"/>
              <w:rPr>
                <w:sz w:val="24"/>
                <w:szCs w:val="24"/>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487</w:t>
            </w:r>
          </w:p>
        </w:tc>
        <w:tc>
          <w:tcPr>
            <w:tcW w:w="0" w:type="dxa"/>
            <w:vAlign w:val="bottom"/>
          </w:tcPr>
          <w:p>
            <w:pPr>
              <w:spacing w:after="0"/>
              <w:rPr>
                <w:sz w:val="1"/>
                <w:szCs w:val="1"/>
                <w:color w:val="auto"/>
              </w:rPr>
            </w:pPr>
          </w:p>
        </w:tc>
      </w:tr>
      <w:tr>
        <w:trPr>
          <w:trHeight w:val="212"/>
        </w:trPr>
        <w:tc>
          <w:tcPr>
            <w:tcW w:w="5580" w:type="dxa"/>
            <w:vAlign w:val="bottom"/>
          </w:tcPr>
          <w:p>
            <w:pPr>
              <w:ind w:left="100"/>
              <w:spacing w:after="0"/>
              <w:rPr>
                <w:sz w:val="20"/>
                <w:szCs w:val="20"/>
                <w:color w:val="auto"/>
              </w:rPr>
            </w:pPr>
            <w:r>
              <w:rPr>
                <w:rFonts w:ascii="Arial" w:cs="Arial" w:eastAsia="Arial" w:hAnsi="Arial"/>
                <w:sz w:val="15"/>
                <w:szCs w:val="15"/>
                <w:color w:val="auto"/>
              </w:rPr>
              <w:t>Cash and cash equivalents, January 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110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Cash and cash equivalents, June 30</w:t>
            </w:r>
          </w:p>
        </w:tc>
        <w:tc>
          <w:tcPr>
            <w:tcW w:w="2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7"/>
              <w:spacing w:after="0" w:line="163" w:lineRule="exact"/>
              <w:rPr>
                <w:sz w:val="20"/>
                <w:szCs w:val="20"/>
                <w:color w:val="auto"/>
              </w:rPr>
            </w:pPr>
            <w:r>
              <w:rPr>
                <w:rFonts w:ascii="Arial" w:cs="Arial" w:eastAsia="Arial" w:hAnsi="Arial"/>
                <w:sz w:val="15"/>
                <w:szCs w:val="15"/>
                <w:color w:val="auto"/>
              </w:rPr>
              <w:t>188</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584200</wp:posOffset>
            </wp:positionV>
            <wp:extent cx="4747260" cy="255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47260" cy="25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STATEMENTS OF CONSOLIDATED CASH FLOWS</w:t>
      </w:r>
    </w:p>
    <w:p>
      <w:pPr>
        <w:sectPr>
          <w:pgSz w:w="11900" w:h="16866" w:orient="portrait"/>
          <w:cols w:equalWidth="0" w:num="1">
            <w:col w:w="10219"/>
          </w:cols>
          <w:pgMar w:left="240" w:top="405" w:right="1440" w:bottom="0" w:gutter="0" w:footer="0" w:header="0"/>
        </w:sectPr>
      </w:pPr>
    </w:p>
    <w:bookmarkStart w:id="5" w:name="page6"/>
    <w:bookmarkEnd w:id="5"/>
    <w:p>
      <w:pPr>
        <w:spacing w:after="0" w:line="80" w:lineRule="exact"/>
        <w:rPr>
          <w:sz w:val="20"/>
          <w:szCs w:val="20"/>
          <w:color w:val="auto"/>
        </w:rPr>
      </w:pPr>
    </w:p>
    <w:tbl>
      <w:tblPr>
        <w:tblLayout w:type="fixed"/>
        <w:tblInd w:w="3" w:type="dxa"/>
        <w:tblCellMar>
          <w:top w:w="0" w:type="dxa"/>
          <w:left w:w="0" w:type="dxa"/>
          <w:bottom w:w="0" w:type="dxa"/>
          <w:right w:w="0" w:type="dxa"/>
        </w:tblCellMar>
      </w:tblPr>
      <w:tr>
        <w:trPr>
          <w:trHeight w:val="231"/>
        </w:trPr>
        <w:tc>
          <w:tcPr>
            <w:tcW w:w="3820" w:type="dxa"/>
            <w:vAlign w:val="bottom"/>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1"/>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jc w:val="right"/>
              <w:ind w:right="960"/>
              <w:spacing w:after="0"/>
              <w:rPr>
                <w:sz w:val="20"/>
                <w:szCs w:val="20"/>
                <w:color w:val="auto"/>
              </w:rPr>
            </w:pPr>
            <w:r>
              <w:rPr>
                <w:rFonts w:ascii="Arial" w:cs="Arial" w:eastAsia="Arial" w:hAnsi="Arial"/>
                <w:sz w:val="13"/>
                <w:szCs w:val="13"/>
                <w:color w:val="auto"/>
                <w:w w:val="98"/>
              </w:rPr>
              <w:t>Six months ended June 30,</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9"/>
        </w:trPr>
        <w:tc>
          <w:tcPr>
            <w:tcW w:w="3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3"/>
                <w:szCs w:val="13"/>
                <w:color w:val="auto"/>
              </w:rPr>
              <w:t>2010</w:t>
            </w: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3"/>
                <w:szCs w:val="13"/>
                <w:color w:val="auto"/>
              </w:rPr>
              <w:t>2009</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2"/>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420"/>
              <w:spacing w:after="0"/>
              <w:rPr>
                <w:sz w:val="20"/>
                <w:szCs w:val="20"/>
                <w:color w:val="auto"/>
              </w:rPr>
            </w:pPr>
            <w:r>
              <w:rPr>
                <w:rFonts w:ascii="Arial" w:cs="Arial" w:eastAsia="Arial" w:hAnsi="Arial"/>
                <w:sz w:val="13"/>
                <w:szCs w:val="13"/>
                <w:color w:val="auto"/>
              </w:rPr>
              <w:t>(unaudited)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8"/>
        </w:trPr>
        <w:tc>
          <w:tcPr>
            <w:tcW w:w="4780" w:type="dxa"/>
            <w:vAlign w:val="bottom"/>
            <w:gridSpan w:val="4"/>
          </w:tcPr>
          <w:p>
            <w:pPr>
              <w:ind w:left="100"/>
              <w:spacing w:after="0"/>
              <w:rPr>
                <w:sz w:val="20"/>
                <w:szCs w:val="20"/>
                <w:color w:val="auto"/>
              </w:rPr>
            </w:pPr>
            <w:r>
              <w:rPr>
                <w:rFonts w:ascii="Arial" w:cs="Arial" w:eastAsia="Arial" w:hAnsi="Arial"/>
                <w:sz w:val="15"/>
                <w:szCs w:val="15"/>
                <w:color w:val="auto"/>
              </w:rPr>
              <w:t>SUPPLEMENTAL DISCLOSURE OF CASH FLOW INFORMATION</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9"/>
                <w:szCs w:val="19"/>
                <w:color w:val="auto"/>
              </w:rPr>
              <w:t>&amp;n bsp;</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93"/>
        </w:trPr>
        <w:tc>
          <w:tcPr>
            <w:tcW w:w="3820" w:type="dxa"/>
            <w:vAlign w:val="bottom"/>
          </w:tcPr>
          <w:p>
            <w:pPr>
              <w:ind w:left="260"/>
              <w:spacing w:after="0"/>
              <w:rPr>
                <w:sz w:val="20"/>
                <w:szCs w:val="20"/>
                <w:color w:val="auto"/>
              </w:rPr>
            </w:pPr>
            <w:r>
              <w:rPr>
                <w:rFonts w:ascii="Arial" w:cs="Arial" w:eastAsia="Arial" w:hAnsi="Arial"/>
                <w:sz w:val="15"/>
                <w:szCs w:val="15"/>
                <w:color w:val="auto"/>
              </w:rPr>
              <w:t>Interest payments, net of amounts capitalized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212</w:t>
            </w:r>
          </w:p>
        </w:tc>
        <w:tc>
          <w:tcPr>
            <w:tcW w:w="360" w:type="dxa"/>
            <w:vAlign w:val="bottom"/>
          </w:tcPr>
          <w:p>
            <w:pPr>
              <w:ind w:left="18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141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3820" w:type="dxa"/>
            <w:vAlign w:val="bottom"/>
          </w:tcPr>
          <w:p>
            <w:pPr>
              <w:ind w:left="260"/>
              <w:spacing w:after="0"/>
              <w:rPr>
                <w:sz w:val="20"/>
                <w:szCs w:val="20"/>
                <w:color w:val="auto"/>
              </w:rPr>
            </w:pPr>
            <w:r>
              <w:rPr>
                <w:rFonts w:ascii="Arial" w:cs="Arial" w:eastAsia="Arial" w:hAnsi="Arial"/>
                <w:sz w:val="15"/>
                <w:szCs w:val="15"/>
                <w:color w:val="auto"/>
              </w:rPr>
              <w:t>Income tax payments, net of refunds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w:t>
            </w:r>
          </w:p>
        </w:tc>
        <w:tc>
          <w:tcPr>
            <w:tcW w:w="360" w:type="dxa"/>
            <w:vAlign w:val="bottom"/>
          </w:tcPr>
          <w:p>
            <w:pPr>
              <w:spacing w:after="0"/>
              <w:rPr>
                <w:sz w:val="19"/>
                <w:szCs w:val="19"/>
                <w:color w:val="auto"/>
              </w:rPr>
            </w:pP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36</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8"/>
        </w:trPr>
        <w:tc>
          <w:tcPr>
            <w:tcW w:w="4120" w:type="dxa"/>
            <w:vAlign w:val="bottom"/>
            <w:gridSpan w:val="2"/>
          </w:tcPr>
          <w:p>
            <w:pPr>
              <w:ind w:left="100"/>
              <w:spacing w:after="0"/>
              <w:rPr>
                <w:sz w:val="20"/>
                <w:szCs w:val="20"/>
                <w:color w:val="auto"/>
              </w:rPr>
            </w:pPr>
            <w:r>
              <w:rPr>
                <w:rFonts w:ascii="Arial" w:cs="Arial" w:eastAsia="Arial" w:hAnsi="Arial"/>
                <w:sz w:val="15"/>
                <w:szCs w:val="15"/>
                <w:color w:val="auto"/>
                <w:w w:val="97"/>
              </w:rPr>
              <w:t>SUPPLEMENTAL DISCLOSURE OF NONCASH ACTIVITIES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9"/>
        </w:trPr>
        <w:tc>
          <w:tcPr>
            <w:tcW w:w="3820" w:type="dxa"/>
            <w:vAlign w:val="bottom"/>
          </w:tcPr>
          <w:p>
            <w:pPr>
              <w:ind w:left="260"/>
              <w:spacing w:after="0"/>
              <w:rPr>
                <w:sz w:val="20"/>
                <w:szCs w:val="20"/>
                <w:color w:val="auto"/>
              </w:rPr>
            </w:pPr>
            <w:r>
              <w:rPr>
                <w:rFonts w:ascii="Arial" w:cs="Arial" w:eastAsia="Arial" w:hAnsi="Arial"/>
                <w:sz w:val="15"/>
                <w:szCs w:val="15"/>
                <w:color w:val="auto"/>
              </w:rPr>
              <w:t>Acquisition of business: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5"/>
        </w:trPr>
        <w:tc>
          <w:tcPr>
            <w:tcW w:w="3820" w:type="dxa"/>
            <w:vAlign w:val="bottom"/>
          </w:tcPr>
          <w:p>
            <w:pPr>
              <w:ind w:left="420"/>
              <w:spacing w:after="0"/>
              <w:rPr>
                <w:sz w:val="20"/>
                <w:szCs w:val="20"/>
                <w:color w:val="auto"/>
              </w:rPr>
            </w:pPr>
            <w:r>
              <w:rPr>
                <w:rFonts w:ascii="Arial" w:cs="Arial" w:eastAsia="Arial" w:hAnsi="Arial"/>
                <w:sz w:val="15"/>
                <w:szCs w:val="15"/>
                <w:color w:val="auto"/>
              </w:rPr>
              <w:t>Assets acquired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303</w:t>
            </w:r>
          </w:p>
        </w:tc>
        <w:tc>
          <w:tcPr>
            <w:tcW w:w="360" w:type="dxa"/>
            <w:vAlign w:val="bottom"/>
          </w:tcPr>
          <w:p>
            <w:pPr>
              <w:ind w:left="18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3820" w:type="dxa"/>
            <w:vAlign w:val="bottom"/>
          </w:tcPr>
          <w:p>
            <w:pPr>
              <w:ind w:left="420"/>
              <w:spacing w:after="0"/>
              <w:rPr>
                <w:sz w:val="20"/>
                <w:szCs w:val="20"/>
                <w:color w:val="auto"/>
              </w:rPr>
            </w:pPr>
            <w:r>
              <w:rPr>
                <w:rFonts w:ascii="Arial" w:cs="Arial" w:eastAsia="Arial" w:hAnsi="Arial"/>
                <w:sz w:val="15"/>
                <w:szCs w:val="15"/>
                <w:color w:val="auto"/>
              </w:rPr>
              <w:t>Cash paid, net of cash acquired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(285)</w:t>
            </w:r>
          </w:p>
        </w:tc>
        <w:tc>
          <w:tcPr>
            <w:tcW w:w="360" w:type="dxa"/>
            <w:vAlign w:val="bottom"/>
          </w:tcPr>
          <w:p>
            <w:pPr>
              <w:spacing w:after="0"/>
              <w:rPr>
                <w:sz w:val="19"/>
                <w:szCs w:val="19"/>
                <w:color w:val="auto"/>
              </w:rPr>
            </w:pP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2"/>
        </w:trPr>
        <w:tc>
          <w:tcPr>
            <w:tcW w:w="3820" w:type="dxa"/>
            <w:vAlign w:val="bottom"/>
          </w:tcPr>
          <w:p>
            <w:pPr>
              <w:ind w:left="420"/>
              <w:spacing w:after="0"/>
              <w:rPr>
                <w:sz w:val="20"/>
                <w:szCs w:val="20"/>
                <w:color w:val="auto"/>
              </w:rPr>
            </w:pPr>
            <w:r>
              <w:rPr>
                <w:rFonts w:ascii="Arial" w:cs="Arial" w:eastAsia="Arial" w:hAnsi="Arial"/>
                <w:sz w:val="15"/>
                <w:szCs w:val="15"/>
                <w:color w:val="auto"/>
              </w:rPr>
              <w:t>Additional consideration accrued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1"/>
        </w:trPr>
        <w:tc>
          <w:tcPr>
            <w:tcW w:w="3820" w:type="dxa"/>
            <w:vAlign w:val="bottom"/>
          </w:tcPr>
          <w:p>
            <w:pPr>
              <w:ind w:left="420"/>
              <w:spacing w:after="0"/>
              <w:rPr>
                <w:sz w:val="20"/>
                <w:szCs w:val="20"/>
                <w:color w:val="auto"/>
              </w:rPr>
            </w:pPr>
            <w:r>
              <w:rPr>
                <w:rFonts w:ascii="Arial" w:cs="Arial" w:eastAsia="Arial" w:hAnsi="Arial"/>
                <w:sz w:val="15"/>
                <w:szCs w:val="15"/>
                <w:color w:val="auto"/>
              </w:rPr>
              <w:t>Liabilities assumed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446"/>
        </w:trPr>
        <w:tc>
          <w:tcPr>
            <w:tcW w:w="5720" w:type="dxa"/>
            <w:vAlign w:val="bottom"/>
            <w:gridSpan w:val="7"/>
          </w:tcPr>
          <w:p>
            <w:pPr>
              <w:ind w:left="100"/>
              <w:spacing w:after="0"/>
              <w:rPr>
                <w:sz w:val="20"/>
                <w:szCs w:val="20"/>
                <w:color w:val="auto"/>
              </w:rPr>
            </w:pPr>
            <w:r>
              <w:rPr>
                <w:rFonts w:ascii="Arial" w:cs="Arial" w:eastAsia="Arial" w:hAnsi="Arial"/>
                <w:sz w:val="15"/>
                <w:szCs w:val="15"/>
                <w:color w:val="auto"/>
              </w:rPr>
              <w:t>&amp; nbsp;  Increase in capital lease obligations for investments in property, plant and</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5"/>
        </w:trPr>
        <w:tc>
          <w:tcPr>
            <w:tcW w:w="3820" w:type="dxa"/>
            <w:vAlign w:val="bottom"/>
          </w:tcPr>
          <w:p>
            <w:pPr>
              <w:ind w:left="420"/>
              <w:spacing w:after="0"/>
              <w:rPr>
                <w:sz w:val="20"/>
                <w:szCs w:val="20"/>
                <w:color w:val="auto"/>
              </w:rPr>
            </w:pPr>
            <w:r>
              <w:rPr>
                <w:rFonts w:ascii="Arial" w:cs="Arial" w:eastAsia="Arial" w:hAnsi="Arial"/>
                <w:sz w:val="15"/>
                <w:szCs w:val="15"/>
                <w:color w:val="auto"/>
              </w:rPr>
              <w:t>equipment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183</w:t>
            </w:r>
          </w:p>
        </w:tc>
        <w:tc>
          <w:tcPr>
            <w:tcW w:w="360" w:type="dxa"/>
            <w:vAlign w:val="bottom"/>
          </w:tcPr>
          <w:p>
            <w:pPr>
              <w:ind w:left="18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Dividends declared but not paid</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98</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5"/>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19"/>
        </w:trPr>
        <w:tc>
          <w:tcPr>
            <w:tcW w:w="3820" w:type="dxa"/>
            <w:vAlign w:val="bottom"/>
            <w:shd w:val="clear" w:color="auto" w:fill="C0C0C0"/>
          </w:tcPr>
          <w:p>
            <w:pPr>
              <w:ind w:left="100"/>
              <w:spacing w:after="0"/>
              <w:rPr>
                <w:sz w:val="20"/>
                <w:szCs w:val="20"/>
                <w:color w:val="auto"/>
              </w:rPr>
            </w:pPr>
            <w:r>
              <w:rPr>
                <w:rFonts w:ascii="Arial" w:cs="Arial" w:eastAsia="Arial" w:hAnsi="Arial"/>
                <w:sz w:val="15"/>
                <w:szCs w:val="15"/>
                <w:b w:val="1"/>
                <w:bCs w:val="1"/>
                <w:color w:val="auto"/>
              </w:rPr>
              <w:t>SAN DIEGO GAS &amp; ELECTRIC COMPANY</w:t>
            </w:r>
          </w:p>
        </w:tc>
        <w:tc>
          <w:tcPr>
            <w:tcW w:w="3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r>
      <w:tr>
        <w:trPr>
          <w:trHeight w:val="231"/>
        </w:trPr>
        <w:tc>
          <w:tcPr>
            <w:tcW w:w="4780" w:type="dxa"/>
            <w:vAlign w:val="bottom"/>
            <w:gridSpan w:val="4"/>
            <w:shd w:val="clear" w:color="auto" w:fill="C0C0C0"/>
          </w:tcPr>
          <w:p>
            <w:pPr>
              <w:ind w:left="100"/>
              <w:spacing w:after="0"/>
              <w:rPr>
                <w:sz w:val="20"/>
                <w:szCs w:val="20"/>
                <w:color w:val="auto"/>
              </w:rPr>
            </w:pPr>
            <w:r>
              <w:rPr>
                <w:rFonts w:ascii="Arial" w:cs="Arial" w:eastAsia="Arial" w:hAnsi="Arial"/>
                <w:sz w:val="15"/>
                <w:szCs w:val="15"/>
                <w:b w:val="1"/>
                <w:bCs w:val="1"/>
                <w:color w:val="auto"/>
              </w:rPr>
              <w:t>CONDENSED CONSOLIDATED STATEMENTS OF OPERATIONS</w:t>
            </w:r>
          </w:p>
        </w:tc>
        <w:tc>
          <w:tcPr>
            <w:tcW w:w="24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r>
      <w:tr>
        <w:trPr>
          <w:trHeight w:val="224"/>
        </w:trPr>
        <w:tc>
          <w:tcPr>
            <w:tcW w:w="3820" w:type="dxa"/>
            <w:vAlign w:val="bottom"/>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3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r>
      <w:tr>
        <w:trPr>
          <w:trHeight w:val="219"/>
        </w:trPr>
        <w:tc>
          <w:tcPr>
            <w:tcW w:w="3820" w:type="dxa"/>
            <w:vAlign w:val="bottom"/>
          </w:tcPr>
          <w:p>
            <w:pPr>
              <w:spacing w:after="0"/>
              <w:rPr>
                <w:sz w:val="19"/>
                <w:szCs w:val="19"/>
                <w:color w:val="auto"/>
              </w:rPr>
            </w:pPr>
          </w:p>
        </w:tc>
        <w:tc>
          <w:tcPr>
            <w:tcW w:w="190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color w:val="auto"/>
              </w:rPr>
              <w:t>Three months ended June 30,</w:t>
            </w:r>
          </w:p>
        </w:tc>
        <w:tc>
          <w:tcPr>
            <w:tcW w:w="25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color w:val="auto"/>
              </w:rPr>
              <w:t>Six months ended June 30,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99"/>
        </w:trPr>
        <w:tc>
          <w:tcPr>
            <w:tcW w:w="3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3"/>
                <w:szCs w:val="13"/>
                <w:color w:val="auto"/>
                <w:w w:val="96"/>
              </w:rPr>
              <w:t>2010</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color w:val="auto"/>
              </w:rPr>
              <w:t>2009</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color w:val="auto"/>
              </w:rPr>
              <w:t>2010</w:t>
            </w: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color w:val="auto"/>
              </w:rPr>
              <w:t>2009</w:t>
            </w:r>
          </w:p>
        </w:tc>
      </w:tr>
      <w:tr>
        <w:trPr>
          <w:trHeight w:val="225"/>
        </w:trPr>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gridSpan w:val="3"/>
          </w:tcPr>
          <w:p>
            <w:pPr>
              <w:jc w:val="right"/>
              <w:ind w:right="1300"/>
              <w:spacing w:after="0"/>
              <w:rPr>
                <w:sz w:val="20"/>
                <w:szCs w:val="20"/>
                <w:color w:val="auto"/>
              </w:rPr>
            </w:pPr>
            <w:r>
              <w:rPr>
                <w:rFonts w:ascii="Arial" w:cs="Arial" w:eastAsia="Arial" w:hAnsi="Arial"/>
                <w:sz w:val="13"/>
                <w:szCs w:val="13"/>
                <w:color w:val="auto"/>
                <w:w w:val="97"/>
              </w:rPr>
              <w:t>(unaudited)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3"/>
        </w:trPr>
        <w:tc>
          <w:tcPr>
            <w:tcW w:w="3820" w:type="dxa"/>
            <w:vAlign w:val="bottom"/>
          </w:tcPr>
          <w:p>
            <w:pPr>
              <w:ind w:left="100"/>
              <w:spacing w:after="0"/>
              <w:rPr>
                <w:sz w:val="20"/>
                <w:szCs w:val="20"/>
                <w:color w:val="auto"/>
              </w:rPr>
            </w:pPr>
            <w:r>
              <w:rPr>
                <w:rFonts w:ascii="Arial" w:cs="Arial" w:eastAsia="Arial" w:hAnsi="Arial"/>
                <w:sz w:val="15"/>
                <w:szCs w:val="15"/>
                <w:color w:val="auto"/>
              </w:rPr>
              <w:t>Operating revenues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5"/>
        </w:trPr>
        <w:tc>
          <w:tcPr>
            <w:tcW w:w="3820" w:type="dxa"/>
            <w:vAlign w:val="bottom"/>
          </w:tcPr>
          <w:p>
            <w:pPr>
              <w:ind w:left="260"/>
              <w:spacing w:after="0"/>
              <w:rPr>
                <w:sz w:val="20"/>
                <w:szCs w:val="20"/>
                <w:color w:val="auto"/>
              </w:rPr>
            </w:pPr>
            <w:r>
              <w:rPr>
                <w:rFonts w:ascii="Arial" w:cs="Arial" w:eastAsia="Arial" w:hAnsi="Arial"/>
                <w:sz w:val="15"/>
                <w:szCs w:val="15"/>
                <w:color w:val="auto"/>
              </w:rPr>
              <w:t>Electric</w:t>
            </w:r>
          </w:p>
        </w:tc>
        <w:tc>
          <w:tcPr>
            <w:tcW w:w="300" w:type="dxa"/>
            <w:vAlign w:val="bottom"/>
          </w:tcPr>
          <w:p>
            <w:pPr>
              <w:ind w:left="1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589</w:t>
            </w:r>
          </w:p>
        </w:tc>
        <w:tc>
          <w:tcPr>
            <w:tcW w:w="2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535</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1,152</w:t>
            </w:r>
          </w:p>
        </w:tc>
        <w:tc>
          <w:tcPr>
            <w:tcW w:w="2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1,088</w:t>
            </w:r>
          </w:p>
        </w:tc>
      </w:tr>
      <w:tr>
        <w:trPr>
          <w:trHeight w:val="212"/>
        </w:trPr>
        <w:tc>
          <w:tcPr>
            <w:tcW w:w="3820" w:type="dxa"/>
            <w:vAlign w:val="bottom"/>
          </w:tcPr>
          <w:p>
            <w:pPr>
              <w:ind w:left="260"/>
              <w:spacing w:after="0"/>
              <w:rPr>
                <w:sz w:val="20"/>
                <w:szCs w:val="20"/>
                <w:color w:val="auto"/>
              </w:rPr>
            </w:pPr>
            <w:r>
              <w:rPr>
                <w:rFonts w:ascii="Arial" w:cs="Arial" w:eastAsia="Arial" w:hAnsi="Arial"/>
                <w:sz w:val="15"/>
                <w:szCs w:val="15"/>
                <w:color w:val="auto"/>
              </w:rPr>
              <w:t>Natura l gas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103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96</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282 ;</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275</w:t>
            </w:r>
          </w:p>
        </w:tc>
      </w:tr>
      <w:tr>
        <w:trPr>
          <w:trHeight w:val="211"/>
        </w:trPr>
        <w:tc>
          <w:tcPr>
            <w:tcW w:w="3820" w:type="dxa"/>
            <w:vAlign w:val="bottom"/>
          </w:tcPr>
          <w:p>
            <w:pPr>
              <w:ind w:left="380"/>
              <w:spacing w:after="0"/>
              <w:rPr>
                <w:sz w:val="20"/>
                <w:szCs w:val="20"/>
                <w:color w:val="auto"/>
              </w:rPr>
            </w:pPr>
            <w:r>
              <w:rPr>
                <w:rFonts w:ascii="Arial" w:cs="Arial" w:eastAsia="Arial" w:hAnsi="Arial"/>
                <w:sz w:val="15"/>
                <w:szCs w:val="15"/>
                <w:color w:val="auto"/>
              </w:rPr>
              <w:t>Total operating revenues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692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631</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60"/>
              <w:spacing w:after="0" w:line="212" w:lineRule="exact"/>
              <w:rPr>
                <w:sz w:val="20"/>
                <w:szCs w:val="20"/>
                <w:color w:val="auto"/>
              </w:rPr>
            </w:pPr>
            <w:r>
              <w:rPr>
                <w:rFonts w:ascii="Arial" w:cs="Arial" w:eastAsia="Arial" w:hAnsi="Arial"/>
                <w:sz w:val="19"/>
                <w:szCs w:val="19"/>
                <w:color w:val="auto"/>
              </w:rPr>
              <w:t>1,434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1,363</w:t>
            </w:r>
          </w:p>
        </w:tc>
      </w:tr>
      <w:tr>
        <w:trPr>
          <w:trHeight w:val="219"/>
        </w:trPr>
        <w:tc>
          <w:tcPr>
            <w:tcW w:w="3820" w:type="dxa"/>
            <w:vAlign w:val="bottom"/>
          </w:tcPr>
          <w:p>
            <w:pPr>
              <w:ind w:left="100"/>
              <w:spacing w:after="0"/>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3820" w:type="dxa"/>
            <w:vAlign w:val="bottom"/>
          </w:tcPr>
          <w:p>
            <w:pPr>
              <w:ind w:left="260"/>
              <w:spacing w:after="0"/>
              <w:rPr>
                <w:sz w:val="20"/>
                <w:szCs w:val="20"/>
                <w:color w:val="auto"/>
              </w:rPr>
            </w:pPr>
            <w:r>
              <w:rPr>
                <w:rFonts w:ascii="Arial" w:cs="Arial" w:eastAsia="Arial" w:hAnsi="Arial"/>
                <w:sz w:val="15"/>
                <w:szCs w:val="15"/>
                <w:color w:val="auto"/>
              </w:rPr>
              <w:t>Cost of electric fuel and purchased power</w:t>
            </w:r>
          </w:p>
        </w:tc>
        <w:tc>
          <w:tcPr>
            <w:tcW w:w="300" w:type="dxa"/>
            <w:vAlign w:val="bottom"/>
          </w:tcPr>
          <w:p>
            <w:pPr>
              <w:spacing w:after="0"/>
              <w:rPr>
                <w:sz w:val="19"/>
                <w:szCs w:val="19"/>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129</w:t>
            </w:r>
          </w:p>
        </w:tc>
        <w:tc>
          <w:tcPr>
            <w:tcW w:w="240" w:type="dxa"/>
            <w:vAlign w:val="bottom"/>
          </w:tcPr>
          <w:p>
            <w:pPr>
              <w:spacing w:after="0"/>
              <w:rPr>
                <w:sz w:val="19"/>
                <w:szCs w:val="19"/>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129</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277</w:t>
            </w:r>
          </w:p>
        </w:tc>
        <w:tc>
          <w:tcPr>
            <w:tcW w:w="240" w:type="dxa"/>
            <w:vAlign w:val="bottom"/>
          </w:tcPr>
          <w:p>
            <w:pPr>
              <w:spacing w:after="0"/>
              <w:rPr>
                <w:sz w:val="19"/>
                <w:szCs w:val="19"/>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300</w:t>
            </w:r>
          </w:p>
        </w:tc>
      </w:tr>
      <w:tr>
        <w:trPr>
          <w:trHeight w:val="219"/>
        </w:trPr>
        <w:tc>
          <w:tcPr>
            <w:tcW w:w="3820" w:type="dxa"/>
            <w:vAlign w:val="bottom"/>
          </w:tcPr>
          <w:p>
            <w:pPr>
              <w:ind w:left="260"/>
              <w:spacing w:after="0"/>
              <w:rPr>
                <w:sz w:val="20"/>
                <w:szCs w:val="20"/>
                <w:color w:val="auto"/>
              </w:rPr>
            </w:pPr>
            <w:r>
              <w:rPr>
                <w:rFonts w:ascii="Arial" w:cs="Arial" w:eastAsia="Arial" w:hAnsi="Arial"/>
                <w:sz w:val="15"/>
                <w:szCs w:val="15"/>
                <w:color w:val="auto"/>
              </w:rPr>
              <w:t>Cost of natural gas</w:t>
            </w:r>
          </w:p>
        </w:tc>
        <w:tc>
          <w:tcPr>
            <w:tcW w:w="300" w:type="dxa"/>
            <w:vAlign w:val="bottom"/>
          </w:tcPr>
          <w:p>
            <w:pPr>
              <w:spacing w:after="0"/>
              <w:rPr>
                <w:sz w:val="19"/>
                <w:szCs w:val="19"/>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44</w:t>
            </w:r>
          </w:p>
        </w:tc>
        <w:tc>
          <w:tcPr>
            <w:tcW w:w="240" w:type="dxa"/>
            <w:vAlign w:val="bottom"/>
          </w:tcPr>
          <w:p>
            <w:pPr>
              <w:spacing w:after="0"/>
              <w:rPr>
                <w:sz w:val="19"/>
                <w:szCs w:val="19"/>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37</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133</w:t>
            </w:r>
          </w:p>
        </w:tc>
        <w:tc>
          <w:tcPr>
            <w:tcW w:w="240" w:type="dxa"/>
            <w:vAlign w:val="bottom"/>
          </w:tcPr>
          <w:p>
            <w:pPr>
              <w:spacing w:after="0"/>
              <w:rPr>
                <w:sz w:val="19"/>
                <w:szCs w:val="19"/>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124</w:t>
            </w:r>
          </w:p>
        </w:tc>
      </w:tr>
      <w:tr>
        <w:trPr>
          <w:trHeight w:val="206"/>
        </w:trPr>
        <w:tc>
          <w:tcPr>
            <w:tcW w:w="3820" w:type="dxa"/>
            <w:vAlign w:val="bottom"/>
          </w:tcPr>
          <w:p>
            <w:pPr>
              <w:ind w:left="260"/>
              <w:spacing w:after="0"/>
              <w:rPr>
                <w:sz w:val="20"/>
                <w:szCs w:val="20"/>
                <w:color w:val="auto"/>
              </w:rPr>
            </w:pPr>
            <w:r>
              <w:rPr>
                <w:rFonts w:ascii="Arial" w:cs="Arial" w:eastAsia="Arial" w:hAnsi="Arial"/>
                <w:sz w:val="15"/>
                <w:szCs w:val="15"/>
                <w:color w:val="auto"/>
              </w:rPr>
              <w:t>Operation and maintenance</w:t>
            </w:r>
          </w:p>
        </w:tc>
        <w:tc>
          <w:tcPr>
            <w:tcW w:w="300" w:type="dxa"/>
            <w:vAlign w:val="bottom"/>
          </w:tcPr>
          <w:p>
            <w:pPr>
              <w:spacing w:after="0"/>
              <w:rPr>
                <w:sz w:val="17"/>
                <w:szCs w:val="17"/>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237</w:t>
            </w:r>
          </w:p>
        </w:tc>
        <w:tc>
          <w:tcPr>
            <w:tcW w:w="240" w:type="dxa"/>
            <w:vAlign w:val="bottom"/>
          </w:tcPr>
          <w:p>
            <w:pPr>
              <w:spacing w:after="0"/>
              <w:rPr>
                <w:sz w:val="17"/>
                <w:szCs w:val="17"/>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232</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469</w:t>
            </w:r>
          </w:p>
        </w:tc>
        <w:tc>
          <w:tcPr>
            <w:tcW w:w="240" w:type="dxa"/>
            <w:vAlign w:val="bottom"/>
          </w:tcPr>
          <w:p>
            <w:pPr>
              <w:spacing w:after="0"/>
              <w:rPr>
                <w:sz w:val="17"/>
                <w:szCs w:val="17"/>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413</w:t>
            </w:r>
          </w:p>
        </w:tc>
      </w:tr>
      <w:tr>
        <w:trPr>
          <w:trHeight w:val="234"/>
        </w:trPr>
        <w:tc>
          <w:tcPr>
            <w:tcW w:w="382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20"/>
                <w:szCs w:val="20"/>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95</w:t>
            </w:r>
          </w:p>
        </w:tc>
        <w:tc>
          <w:tcPr>
            <w:tcW w:w="240" w:type="dxa"/>
            <w:vAlign w:val="bottom"/>
          </w:tcPr>
          <w:p>
            <w:pPr>
              <w:spacing w:after="0"/>
              <w:rPr>
                <w:sz w:val="20"/>
                <w:szCs w:val="20"/>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81</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187</w:t>
            </w:r>
          </w:p>
        </w:tc>
        <w:tc>
          <w:tcPr>
            <w:tcW w:w="240" w:type="dxa"/>
            <w:vAlign w:val="bottom"/>
          </w:tcPr>
          <w:p>
            <w:pPr>
              <w:spacing w:after="0"/>
              <w:rPr>
                <w:sz w:val="20"/>
                <w:szCs w:val="20"/>
                <w:color w:val="auto"/>
              </w:rPr>
            </w:pPr>
          </w:p>
        </w:tc>
        <w:tc>
          <w:tcPr>
            <w:tcW w:w="960" w:type="dxa"/>
            <w:vAlign w:val="bottom"/>
          </w:tcPr>
          <w:p>
            <w:pPr>
              <w:jc w:val="right"/>
              <w:ind w:right="64"/>
              <w:spacing w:after="0"/>
              <w:rPr>
                <w:sz w:val="20"/>
                <w:szCs w:val="20"/>
                <w:color w:val="auto"/>
              </w:rPr>
            </w:pPr>
            <w:r>
              <w:rPr>
                <w:rFonts w:ascii="Arial" w:cs="Arial" w:eastAsia="Arial" w:hAnsi="Arial"/>
                <w:sz w:val="19"/>
                <w:szCs w:val="19"/>
                <w:color w:val="auto"/>
              </w:rPr>
              <w:t>158</w:t>
            </w:r>
          </w:p>
        </w:tc>
      </w:tr>
      <w:tr>
        <w:trPr>
          <w:trHeight w:val="210"/>
        </w:trPr>
        <w:tc>
          <w:tcPr>
            <w:tcW w:w="3820" w:type="dxa"/>
            <w:vAlign w:val="bottom"/>
          </w:tcPr>
          <w:p>
            <w:pPr>
              <w:ind w:left="260"/>
              <w:spacing w:after="0"/>
              <w:rPr>
                <w:sz w:val="20"/>
                <w:szCs w:val="20"/>
                <w:color w:val="auto"/>
              </w:rPr>
            </w:pPr>
            <w:r>
              <w:rPr>
                <w:rFonts w:ascii="Arial" w:cs="Arial" w:eastAsia="Arial" w:hAnsi="Arial"/>
                <w:sz w:val="15"/>
                <w:szCs w:val="15"/>
                <w:color w:val="auto"/>
              </w:rPr>
              <w:t>Franchise fees and other taxes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41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39</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84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80</w:t>
            </w:r>
          </w:p>
        </w:tc>
      </w:tr>
      <w:tr>
        <w:trPr>
          <w:trHeight w:val="211"/>
        </w:trPr>
        <w:tc>
          <w:tcPr>
            <w:tcW w:w="3820" w:type="dxa"/>
            <w:vAlign w:val="bottom"/>
          </w:tcPr>
          <w:p>
            <w:pPr>
              <w:ind w:left="420"/>
              <w:spacing w:after="0"/>
              <w:rPr>
                <w:sz w:val="20"/>
                <w:szCs w:val="20"/>
                <w:color w:val="auto"/>
              </w:rPr>
            </w:pPr>
            <w:r>
              <w:rPr>
                <w:rFonts w:ascii="Arial" w:cs="Arial" w:eastAsia="Arial" w:hAnsi="Arial"/>
                <w:sz w:val="15"/>
                <w:szCs w:val="15"/>
                <w:color w:val="auto"/>
              </w:rPr>
              <w:t>Total operating expenses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color w:val="auto"/>
              </w:rPr>
              <w:t>546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518</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1,150</w:t>
            </w:r>
          </w:p>
        </w:tc>
        <w:tc>
          <w:tcPr>
            <w:tcW w:w="240" w:type="dxa"/>
            <w:vAlign w:val="bottom"/>
            <w:tcBorders>
              <w:bottom w:val="single" w:sz="8" w:color="auto"/>
            </w:tcBorders>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1,075</w:t>
            </w:r>
          </w:p>
        </w:tc>
      </w:tr>
      <w:tr>
        <w:trPr>
          <w:trHeight w:val="205"/>
        </w:trPr>
        <w:tc>
          <w:tcPr>
            <w:tcW w:w="3820" w:type="dxa"/>
            <w:vAlign w:val="bottom"/>
          </w:tcPr>
          <w:p>
            <w:pPr>
              <w:ind w:left="100"/>
              <w:spacing w:after="0"/>
              <w:rPr>
                <w:sz w:val="20"/>
                <w:szCs w:val="20"/>
                <w:color w:val="auto"/>
              </w:rPr>
            </w:pPr>
            <w:r>
              <w:rPr>
                <w:rFonts w:ascii="Arial" w:cs="Arial" w:eastAsia="Arial" w:hAnsi="Arial"/>
                <w:sz w:val="15"/>
                <w:szCs w:val="15"/>
                <w:color w:val="auto"/>
              </w:rPr>
              <w:t>Operating income</w:t>
            </w:r>
          </w:p>
        </w:tc>
        <w:tc>
          <w:tcPr>
            <w:tcW w:w="300" w:type="dxa"/>
            <w:vAlign w:val="bottom"/>
          </w:tcPr>
          <w:p>
            <w:pPr>
              <w:spacing w:after="0"/>
              <w:rPr>
                <w:sz w:val="17"/>
                <w:szCs w:val="17"/>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146</w:t>
            </w:r>
          </w:p>
        </w:tc>
        <w:tc>
          <w:tcPr>
            <w:tcW w:w="240" w:type="dxa"/>
            <w:vAlign w:val="bottom"/>
          </w:tcPr>
          <w:p>
            <w:pPr>
              <w:spacing w:after="0"/>
              <w:rPr>
                <w:sz w:val="17"/>
                <w:szCs w:val="17"/>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113</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284</w:t>
            </w:r>
          </w:p>
        </w:tc>
        <w:tc>
          <w:tcPr>
            <w:tcW w:w="240" w:type="dxa"/>
            <w:vAlign w:val="bottom"/>
          </w:tcPr>
          <w:p>
            <w:pPr>
              <w:spacing w:after="0"/>
              <w:rPr>
                <w:sz w:val="17"/>
                <w:szCs w:val="17"/>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288</w:t>
            </w:r>
          </w:p>
        </w:tc>
      </w:tr>
      <w:tr>
        <w:trPr>
          <w:trHeight w:val="206"/>
        </w:trPr>
        <w:tc>
          <w:tcPr>
            <w:tcW w:w="3820" w:type="dxa"/>
            <w:vAlign w:val="bottom"/>
          </w:tcPr>
          <w:p>
            <w:pPr>
              <w:ind w:left="100"/>
              <w:spacing w:after="0"/>
              <w:rPr>
                <w:sz w:val="20"/>
                <w:szCs w:val="20"/>
                <w:color w:val="auto"/>
              </w:rPr>
            </w:pPr>
            <w:r>
              <w:rPr>
                <w:rFonts w:ascii="Arial" w:cs="Arial" w:eastAsia="Arial" w:hAnsi="Arial"/>
                <w:sz w:val="15"/>
                <w:szCs w:val="15"/>
                <w:color w:val="auto"/>
              </w:rPr>
              <w:t>Other income (expense), net</w:t>
            </w:r>
          </w:p>
        </w:tc>
        <w:tc>
          <w:tcPr>
            <w:tcW w:w="300" w:type="dxa"/>
            <w:vAlign w:val="bottom"/>
          </w:tcPr>
          <w:p>
            <w:pPr>
              <w:spacing w:after="0"/>
              <w:rPr>
                <w:sz w:val="17"/>
                <w:szCs w:val="17"/>
                <w:color w:val="auto"/>
              </w:rPr>
            </w:pPr>
          </w:p>
        </w:tc>
        <w:tc>
          <w:tcPr>
            <w:tcW w:w="660" w:type="dxa"/>
            <w:vAlign w:val="bottom"/>
            <w:gridSpan w:val="2"/>
          </w:tcPr>
          <w:p>
            <w:pPr>
              <w:jc w:val="right"/>
              <w:ind w:right="27"/>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17"/>
                <w:szCs w:val="17"/>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27</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17"/>
                <w:szCs w:val="17"/>
                <w:color w:val="auto"/>
              </w:rPr>
            </w:pPr>
          </w:p>
        </w:tc>
        <w:tc>
          <w:tcPr>
            <w:tcW w:w="960" w:type="dxa"/>
            <w:vAlign w:val="bottom"/>
          </w:tcPr>
          <w:p>
            <w:pPr>
              <w:jc w:val="right"/>
              <w:ind w:right="64"/>
              <w:spacing w:after="0" w:line="206" w:lineRule="exact"/>
              <w:rPr>
                <w:sz w:val="20"/>
                <w:szCs w:val="20"/>
                <w:color w:val="auto"/>
              </w:rPr>
            </w:pPr>
            <w:r>
              <w:rPr>
                <w:rFonts w:ascii="Arial" w:cs="Arial" w:eastAsia="Arial" w:hAnsi="Arial"/>
                <w:sz w:val="19"/>
                <w:szCs w:val="19"/>
                <w:color w:val="auto"/>
              </w:rPr>
              <w:t>44</w:t>
            </w:r>
          </w:p>
        </w:tc>
      </w:tr>
      <w:tr>
        <w:trPr>
          <w:trHeight w:val="238"/>
        </w:trPr>
        <w:tc>
          <w:tcPr>
            <w:tcW w:w="3820" w:type="dxa"/>
            <w:vAlign w:val="bottom"/>
          </w:tcPr>
          <w:p>
            <w:pPr>
              <w:ind w:left="10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(31)</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(62)</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(46)</w:t>
            </w:r>
          </w:p>
        </w:tc>
      </w:tr>
      <w:tr>
        <w:trPr>
          <w:trHeight w:val="219"/>
        </w:trPr>
        <w:tc>
          <w:tcPr>
            <w:tcW w:w="3820" w:type="dxa"/>
            <w:vAlign w:val="bottom"/>
          </w:tcPr>
          <w:p>
            <w:pPr>
              <w:ind w:left="100"/>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spacing w:after="0"/>
              <w:rPr>
                <w:sz w:val="19"/>
                <w:szCs w:val="19"/>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99</w:t>
            </w:r>
          </w:p>
        </w:tc>
        <w:tc>
          <w:tcPr>
            <w:tcW w:w="240" w:type="dxa"/>
            <w:vAlign w:val="bottom"/>
          </w:tcPr>
          <w:p>
            <w:pPr>
              <w:spacing w:after="0"/>
              <w:rPr>
                <w:sz w:val="19"/>
                <w:szCs w:val="19"/>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119</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206</w:t>
            </w:r>
          </w:p>
        </w:tc>
        <w:tc>
          <w:tcPr>
            <w:tcW w:w="240" w:type="dxa"/>
            <w:vAlign w:val="bottom"/>
          </w:tcPr>
          <w:p>
            <w:pPr>
              <w:spacing w:after="0"/>
              <w:rPr>
                <w:sz w:val="19"/>
                <w:szCs w:val="19"/>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286</w:t>
            </w:r>
          </w:p>
        </w:tc>
      </w:tr>
      <w:tr>
        <w:trPr>
          <w:trHeight w:val="212"/>
        </w:trPr>
        <w:tc>
          <w:tcPr>
            <w:tcW w:w="3820" w:type="dxa"/>
            <w:vAlign w:val="bottom"/>
          </w:tcPr>
          <w:p>
            <w:pPr>
              <w:ind w:left="100"/>
              <w:spacing w:after="0"/>
              <w:rPr>
                <w:sz w:val="20"/>
                <w:szCs w:val="20"/>
                <w:color w:val="auto"/>
              </w:rPr>
            </w:pPr>
            <w:r>
              <w:rPr>
                <w:rFonts w:ascii="Arial" w:cs="Arial" w:eastAsia="Arial" w:hAnsi="Arial"/>
                <w:sz w:val="15"/>
                <w:szCs w:val="15"/>
                <w:color w:val="auto"/>
              </w:rPr>
              <w:t>Income tax expense</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(44)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(28)</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(75)</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(88)</w:t>
            </w:r>
          </w:p>
        </w:tc>
      </w:tr>
      <w:tr>
        <w:trPr>
          <w:trHeight w:val="219"/>
        </w:trPr>
        <w:tc>
          <w:tcPr>
            <w:tcW w:w="382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300" w:type="dxa"/>
            <w:vAlign w:val="bottom"/>
          </w:tcPr>
          <w:p>
            <w:pPr>
              <w:spacing w:after="0"/>
              <w:rPr>
                <w:sz w:val="19"/>
                <w:szCs w:val="19"/>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9"/>
                <w:szCs w:val="19"/>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91</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131</w:t>
            </w:r>
          </w:p>
        </w:tc>
        <w:tc>
          <w:tcPr>
            <w:tcW w:w="240" w:type="dxa"/>
            <w:vAlign w:val="bottom"/>
          </w:tcPr>
          <w:p>
            <w:pPr>
              <w:spacing w:after="0"/>
              <w:rPr>
                <w:sz w:val="19"/>
                <w:szCs w:val="19"/>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198</w:t>
            </w:r>
          </w:p>
        </w:tc>
      </w:tr>
      <w:tr>
        <w:trPr>
          <w:trHeight w:val="212"/>
        </w:trPr>
        <w:tc>
          <w:tcPr>
            <w:tcW w:w="3820" w:type="dxa"/>
            <w:vAlign w:val="bottom"/>
          </w:tcPr>
          <w:p>
            <w:pPr>
              <w:ind w:left="100"/>
              <w:spacing w:after="0"/>
              <w:rPr>
                <w:sz w:val="20"/>
                <w:szCs w:val="20"/>
                <w:color w:val="auto"/>
              </w:rPr>
            </w:pPr>
            <w:r>
              <w:rPr>
                <w:rFonts w:ascii="Arial" w:cs="Arial" w:eastAsia="Arial" w:hAnsi="Arial"/>
                <w:sz w:val="15"/>
                <w:szCs w:val="15"/>
                <w:color w:val="auto"/>
                <w:w w:val="99"/>
              </w:rPr>
              <w:t>Losses (earnings) attributable to noncontrolling interests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21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29</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&amp; nbsp;(27)</w:t>
            </w:r>
          </w:p>
        </w:tc>
      </w:tr>
      <w:tr>
        <w:trPr>
          <w:trHeight w:val="219"/>
        </w:trPr>
        <w:tc>
          <w:tcPr>
            <w:tcW w:w="3820" w:type="dxa"/>
            <w:vAlign w:val="bottom"/>
          </w:tcPr>
          <w:p>
            <w:pPr>
              <w:ind w:left="100"/>
              <w:spacing w:after="0"/>
              <w:rPr>
                <w:sz w:val="20"/>
                <w:szCs w:val="20"/>
                <w:color w:val="auto"/>
              </w:rPr>
            </w:pPr>
            <w:r>
              <w:rPr>
                <w:rFonts w:ascii="Arial" w:cs="Arial" w:eastAsia="Arial" w:hAnsi="Arial"/>
                <w:sz w:val="15"/>
                <w:szCs w:val="15"/>
                <w:color w:val="auto"/>
              </w:rPr>
              <w:t>Earnings</w:t>
            </w:r>
          </w:p>
        </w:tc>
        <w:tc>
          <w:tcPr>
            <w:tcW w:w="300" w:type="dxa"/>
            <w:vAlign w:val="bottom"/>
          </w:tcPr>
          <w:p>
            <w:pPr>
              <w:spacing w:after="0"/>
              <w:rPr>
                <w:sz w:val="19"/>
                <w:szCs w:val="19"/>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5"/>
                <w:szCs w:val="15"/>
                <w:color w:val="auto"/>
              </w:rPr>
              <w:t>7 6</w:t>
            </w:r>
          </w:p>
        </w:tc>
        <w:tc>
          <w:tcPr>
            <w:tcW w:w="240" w:type="dxa"/>
            <w:vAlign w:val="bottom"/>
          </w:tcPr>
          <w:p>
            <w:pPr>
              <w:spacing w:after="0"/>
              <w:rPr>
                <w:sz w:val="19"/>
                <w:szCs w:val="19"/>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71</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160</w:t>
            </w:r>
          </w:p>
        </w:tc>
        <w:tc>
          <w:tcPr>
            <w:tcW w:w="240" w:type="dxa"/>
            <w:vAlign w:val="bottom"/>
          </w:tcPr>
          <w:p>
            <w:pPr>
              <w:spacing w:after="0"/>
              <w:rPr>
                <w:sz w:val="19"/>
                <w:szCs w:val="19"/>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171</w:t>
            </w:r>
          </w:p>
        </w:tc>
      </w:tr>
      <w:tr>
        <w:trPr>
          <w:trHeight w:val="212"/>
        </w:trPr>
        <w:tc>
          <w:tcPr>
            <w:tcW w:w="3820" w:type="dxa"/>
            <w:vAlign w:val="bottom"/>
          </w:tcPr>
          <w:p>
            <w:pPr>
              <w:ind w:left="100"/>
              <w:spacing w:after="0"/>
              <w:rPr>
                <w:sz w:val="20"/>
                <w:szCs w:val="20"/>
                <w:color w:val="auto"/>
              </w:rPr>
            </w:pPr>
            <w:r>
              <w:rPr>
                <w:rFonts w:ascii="Arial" w:cs="Arial" w:eastAsia="Arial" w:hAnsi="Arial"/>
                <w:sz w:val="15"/>
                <w:szCs w:val="15"/>
                <w:color w:val="auto"/>
              </w:rPr>
              <w:t>Preferred dividend requirements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w:t>
            </w:r>
          </w:p>
        </w:tc>
      </w:tr>
      <w:tr>
        <w:trPr>
          <w:trHeight w:val="228"/>
        </w:trPr>
        <w:tc>
          <w:tcPr>
            <w:tcW w:w="3820" w:type="dxa"/>
            <w:vAlign w:val="bottom"/>
          </w:tcPr>
          <w:p>
            <w:pPr>
              <w:spacing w:after="0"/>
              <w:rPr>
                <w:sz w:val="20"/>
                <w:szCs w:val="20"/>
                <w:color w:val="auto"/>
              </w:rPr>
            </w:pPr>
            <w:r>
              <w:rPr>
                <w:rFonts w:ascii="Arial" w:cs="Arial" w:eastAsia="Arial" w:hAnsi="Arial"/>
                <w:sz w:val="15"/>
                <w:szCs w:val="15"/>
                <w:color w:val="auto"/>
              </w:rPr>
              <w:t>Earnings attributable to common shares</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gridSpan w:val="2"/>
          </w:tcPr>
          <w:p>
            <w:pPr>
              <w:jc w:val="right"/>
              <w:ind w:right="87"/>
              <w:spacing w:after="0" w:line="212" w:lineRule="exact"/>
              <w:rPr>
                <w:sz w:val="20"/>
                <w:szCs w:val="20"/>
                <w:color w:val="auto"/>
              </w:rPr>
            </w:pPr>
            <w:r>
              <w:rPr>
                <w:rFonts w:ascii="Arial" w:cs="Arial" w:eastAsia="Arial" w:hAnsi="Arial"/>
                <w:sz w:val="19"/>
                <w:szCs w:val="19"/>
                <w:color w:val="auto"/>
              </w:rPr>
              <w:t>75</w:t>
            </w:r>
          </w:p>
        </w:tc>
        <w:tc>
          <w:tcPr>
            <w:tcW w:w="2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70</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158</w:t>
            </w:r>
          </w:p>
        </w:tc>
        <w:tc>
          <w:tcPr>
            <w:tcW w:w="2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169</w:t>
            </w:r>
          </w:p>
        </w:tc>
      </w:tr>
    </w:tbl>
    <w:p>
      <w:pPr>
        <w:spacing w:after="0" w:line="15"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26" w:lineRule="exact"/>
        <w:rPr>
          <w:sz w:val="20"/>
          <w:szCs w:val="20"/>
          <w:color w:val="auto"/>
        </w:rPr>
      </w:pPr>
    </w:p>
    <w:p>
      <w:pPr>
        <w:ind w:left="3" w:hanging="3"/>
        <w:spacing w:after="0" w:line="250" w:lineRule="auto"/>
        <w:tabs>
          <w:tab w:leader="none" w:pos="174" w:val="left"/>
        </w:tabs>
        <w:numPr>
          <w:ilvl w:val="0"/>
          <w:numId w:val="5"/>
        </w:numPr>
        <w:rPr>
          <w:rFonts w:ascii="Arial" w:cs="Arial" w:eastAsia="Arial" w:hAnsi="Arial"/>
          <w:sz w:val="21"/>
          <w:szCs w:val="21"/>
          <w:color w:val="auto"/>
        </w:rPr>
      </w:pPr>
      <w:r>
        <w:rPr>
          <w:rFonts w:ascii="Arial" w:cs="Arial" w:eastAsia="Arial" w:hAnsi="Arial"/>
          <w:sz w:val="21"/>
          <w:szCs w:val="21"/>
          <w:color w:val="auto"/>
        </w:rPr>
        <w:t>td style="BORDER-RIGHT:0px; PADDING-RIGHT:5.75pt; BORDER-TOP:0px; PADDING-LEFT:5.75pt; BACKGROUND:white; PADDING-BOTTOM:0in; BORDER-LEFT:0px; PADDING-TOP:0in; BORDER-BOTTOM:0px; HEIGHT:12pt" valign=bottom&gt;</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5"/>
          <w:szCs w:val="15"/>
          <w:color w:val="auto"/>
        </w:rPr>
        <w:t>Regulatory assets arising from fixed-price contracts and other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948555" cy="440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8555" cy="440690"/>
                    </a:xfrm>
                    <a:prstGeom prst="rect">
                      <a:avLst/>
                    </a:prstGeom>
                    <a:noFill/>
                  </pic:spPr>
                </pic:pic>
              </a:graphicData>
            </a:graphic>
          </wp:anchor>
        </w:drawing>
      </w:r>
    </w:p>
    <w:p>
      <w:pPr>
        <w:spacing w:after="0" w:line="21"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SAN DIEGO GAS &amp; ELECTRIC COMPANY</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1"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(Dollars in millions)</w:t>
      </w:r>
    </w:p>
    <w:p>
      <w:pPr>
        <w:spacing w:after="0" w:line="132"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center"/>
              <w:ind w:right="147"/>
              <w:spacing w:after="0"/>
              <w:rPr>
                <w:sz w:val="20"/>
                <w:szCs w:val="20"/>
                <w:color w:val="auto"/>
              </w:rPr>
            </w:pPr>
            <w:r>
              <w:rPr>
                <w:rFonts w:ascii="Arial" w:cs="Arial" w:eastAsia="Arial" w:hAnsi="Arial"/>
                <w:sz w:val="13"/>
                <w:szCs w:val="13"/>
                <w:color w:val="auto"/>
              </w:rPr>
              <w:t>June 30,</w:t>
            </w:r>
          </w:p>
        </w:tc>
        <w:tc>
          <w:tcPr>
            <w:tcW w:w="220" w:type="dxa"/>
            <w:vAlign w:val="bottom"/>
          </w:tcPr>
          <w:p>
            <w:pPr>
              <w:spacing w:after="0"/>
              <w:rPr>
                <w:sz w:val="13"/>
                <w:szCs w:val="13"/>
                <w:color w:val="auto"/>
              </w:rPr>
            </w:pPr>
          </w:p>
        </w:tc>
        <w:tc>
          <w:tcPr>
            <w:tcW w:w="1040" w:type="dxa"/>
            <w:vAlign w:val="bottom"/>
          </w:tcPr>
          <w:p>
            <w:pPr>
              <w:jc w:val="right"/>
              <w:ind w:right="126"/>
              <w:spacing w:after="0"/>
              <w:rPr>
                <w:sz w:val="20"/>
                <w:szCs w:val="20"/>
                <w:color w:val="auto"/>
              </w:rPr>
            </w:pPr>
            <w:r>
              <w:rPr>
                <w:rFonts w:ascii="Arial" w:cs="Arial" w:eastAsia="Arial" w:hAnsi="Arial"/>
                <w:sz w:val="13"/>
                <w:szCs w:val="13"/>
                <w:color w:val="auto"/>
              </w:rPr>
              <w:t>December 31,</w:t>
            </w:r>
          </w:p>
        </w:tc>
      </w:tr>
      <w:tr>
        <w:trPr>
          <w:trHeight w:val="206"/>
        </w:trPr>
        <w:tc>
          <w:tcPr>
            <w:tcW w:w="5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color w:val="auto"/>
              </w:rPr>
              <w:t>2010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color w:val="auto"/>
              </w:rPr>
              <w:t>2009</w:t>
            </w:r>
          </w:p>
        </w:tc>
      </w:tr>
      <w:tr>
        <w:trPr>
          <w:trHeight w:val="225"/>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center"/>
              <w:ind w:right="147"/>
              <w:spacing w:after="0"/>
              <w:rPr>
                <w:sz w:val="20"/>
                <w:szCs w:val="20"/>
                <w:color w:val="auto"/>
              </w:rPr>
            </w:pPr>
            <w:r>
              <w:rPr>
                <w:rFonts w:ascii="Arial" w:cs="Arial" w:eastAsia="Arial" w:hAnsi="Arial"/>
                <w:sz w:val="13"/>
                <w:szCs w:val="13"/>
                <w:color w:val="auto"/>
              </w:rPr>
              <w:t>(unaudited)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3"/>
        </w:trPr>
        <w:tc>
          <w:tcPr>
            <w:tcW w:w="5160" w:type="dxa"/>
            <w:vAlign w:val="bottom"/>
          </w:tcPr>
          <w:p>
            <w:pPr>
              <w:ind w:left="100"/>
              <w:spacing w:after="0"/>
              <w:rPr>
                <w:sz w:val="20"/>
                <w:szCs w:val="20"/>
                <w:color w:val="auto"/>
              </w:rPr>
            </w:pPr>
            <w:r>
              <w:rPr>
                <w:rFonts w:ascii="Arial" w:cs="Arial" w:eastAsia="Arial" w:hAnsi="Arial"/>
                <w:sz w:val="15"/>
                <w:szCs w:val="15"/>
                <w:color w:val="auto"/>
              </w:rPr>
              <w:t>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160" w:type="dxa"/>
            <w:vAlign w:val="bottom"/>
          </w:tcPr>
          <w:p>
            <w:pPr>
              <w:ind w:left="10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95"/>
        </w:trPr>
        <w:tc>
          <w:tcPr>
            <w:tcW w:w="516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28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13</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Accounts receivable - trade</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225</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229</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Accounts receivable - other</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57</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85</w:t>
            </w:r>
          </w:p>
        </w:tc>
      </w:tr>
      <w:tr>
        <w:trPr>
          <w:trHeight w:val="213"/>
        </w:trPr>
        <w:tc>
          <w:tcPr>
            <w:tcW w:w="5160" w:type="dxa"/>
            <w:vAlign w:val="bottom"/>
          </w:tcPr>
          <w:p>
            <w:pPr>
              <w:ind w:left="260"/>
              <w:spacing w:after="0"/>
              <w:rPr>
                <w:sz w:val="20"/>
                <w:szCs w:val="20"/>
                <w:color w:val="auto"/>
              </w:rPr>
            </w:pPr>
            <w:r>
              <w:rPr>
                <w:rFonts w:ascii="Arial" w:cs="Arial" w:eastAsia="Arial" w:hAnsi="Arial"/>
                <w:sz w:val="15"/>
                <w:szCs w:val="15"/>
                <w:color w:val="auto"/>
              </w:rPr>
              <w:t>Due from unconsolidated affiliates</w:t>
            </w:r>
          </w:p>
        </w:tc>
        <w:tc>
          <w:tcPr>
            <w:tcW w:w="36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w:t>
            </w:r>
          </w:p>
        </w:tc>
      </w:tr>
      <w:tr>
        <w:trPr>
          <w:trHeight w:val="150"/>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46"/>
              <w:spacing w:after="0" w:line="150" w:lineRule="exact"/>
              <w:rPr>
                <w:sz w:val="20"/>
                <w:szCs w:val="20"/>
                <w:color w:val="auto"/>
              </w:rPr>
            </w:pPr>
            <w:r>
              <w:rPr>
                <w:rFonts w:ascii="Arial" w:cs="Arial" w:eastAsia="Arial" w:hAnsi="Arial"/>
                <w:sz w:val="15"/>
                <w:szCs w:val="15"/>
                <w:color w:val="auto"/>
              </w:rPr>
              <w:t>59</w:t>
            </w:r>
          </w:p>
        </w:tc>
      </w:tr>
      <w:tr>
        <w:trPr>
          <w:trHeight w:val="240"/>
        </w:trPr>
        <w:tc>
          <w:tcPr>
            <w:tcW w:w="5160" w:type="dxa"/>
            <w:vAlign w:val="bottom"/>
          </w:tcPr>
          <w:p>
            <w:pPr>
              <w:ind w:left="260"/>
              <w:spacing w:after="0"/>
              <w:rPr>
                <w:sz w:val="20"/>
                <w:szCs w:val="20"/>
                <w:color w:val="auto"/>
              </w:rPr>
            </w:pPr>
            <w:r>
              <w:rPr>
                <w:rFonts w:ascii="Arial" w:cs="Arial" w:eastAsia="Arial" w:hAnsi="Arial"/>
                <w:sz w:val="15"/>
                <w:szCs w:val="15"/>
                <w:color w:val="auto"/>
              </w:rPr>
              <w:t>Income taxes receivable</w:t>
            </w:r>
          </w:p>
        </w:tc>
        <w:tc>
          <w:tcPr>
            <w:tcW w:w="360" w:type="dxa"/>
            <w:vAlign w:val="bottom"/>
          </w:tcPr>
          <w:p>
            <w:pPr>
              <w:spacing w:after="0"/>
              <w:rPr>
                <w:sz w:val="20"/>
                <w:szCs w:val="20"/>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19"/>
                <w:szCs w:val="19"/>
                <w:color w:val="auto"/>
              </w:rPr>
              <w:t>&lt; /td&gt;</w:t>
            </w:r>
          </w:p>
        </w:tc>
      </w:tr>
      <w:tr>
        <w:trPr>
          <w:trHeight w:val="150"/>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27"/>
              <w:spacing w:after="0" w:line="150" w:lineRule="exact"/>
              <w:rPr>
                <w:sz w:val="20"/>
                <w:szCs w:val="20"/>
                <w:color w:val="auto"/>
              </w:rPr>
            </w:pPr>
            <w:r>
              <w:rPr>
                <w:rFonts w:ascii="Arial" w:cs="Arial" w:eastAsia="Arial" w:hAnsi="Arial"/>
                <w:sz w:val="15"/>
                <w:szCs w:val="15"/>
                <w:color w:val="auto"/>
              </w:rPr>
              <w:t>36</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48"/>
        </w:trPr>
        <w:tc>
          <w:tcPr>
            <w:tcW w:w="516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21"/>
                <w:szCs w:val="21"/>
                <w:color w:val="auto"/>
              </w:rPr>
            </w:pPr>
          </w:p>
        </w:tc>
        <w:tc>
          <w:tcPr>
            <w:tcW w:w="1000" w:type="dxa"/>
            <w:vAlign w:val="bottom"/>
          </w:tcPr>
          <w:p>
            <w:pPr>
              <w:jc w:val="right"/>
              <w:ind w:right="47"/>
              <w:spacing w:after="0"/>
              <w:rPr>
                <w:sz w:val="20"/>
                <w:szCs w:val="20"/>
                <w:color w:val="auto"/>
              </w:rPr>
            </w:pPr>
            <w:r>
              <w:rPr>
                <w:rFonts w:ascii="Arial" w:cs="Arial" w:eastAsia="Arial" w:hAnsi="Arial"/>
                <w:sz w:val="19"/>
                <w:szCs w:val="19"/>
                <w:color w:val="auto"/>
              </w:rPr>
              <w:t>&lt; /td&gt;</w:t>
            </w:r>
          </w:p>
        </w:tc>
        <w:tc>
          <w:tcPr>
            <w:tcW w:w="220" w:type="dxa"/>
            <w:vAlign w:val="bottom"/>
          </w:tcPr>
          <w:p>
            <w:pPr>
              <w:spacing w:after="0"/>
              <w:rPr>
                <w:sz w:val="21"/>
                <w:szCs w:val="21"/>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41</w:t>
            </w:r>
          </w:p>
        </w:tc>
      </w:tr>
      <w:tr>
        <w:trPr>
          <w:trHeight w:val="217"/>
        </w:trPr>
        <w:tc>
          <w:tcPr>
            <w:tcW w:w="5160" w:type="dxa"/>
            <w:vAlign w:val="bottom"/>
          </w:tcPr>
          <w:p>
            <w:pPr>
              <w:ind w:left="26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62</w:t>
            </w:r>
          </w:p>
        </w:tc>
        <w:tc>
          <w:tcPr>
            <w:tcW w:w="2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61</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Regulatory assets arising from fixed-price contracts and other derivatives</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62</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30</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Other regulatory assets</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w:t>
            </w:r>
          </w:p>
        </w:tc>
      </w:tr>
      <w:tr>
        <w:trPr>
          <w:trHeight w:val="219"/>
        </w:trPr>
        <w:tc>
          <w:tcPr>
            <w:tcW w:w="5160" w:type="dxa"/>
            <w:vAlign w:val="bottom"/>
          </w:tcPr>
          <w:p>
            <w:pPr>
              <w:ind w:left="260"/>
              <w:spacing w:after="0"/>
              <w:rPr>
                <w:sz w:val="20"/>
                <w:szCs w:val="20"/>
                <w:color w:val="auto"/>
              </w:rPr>
            </w:pPr>
            <w:r>
              <w:rPr>
                <w:rFonts w:ascii="Arial" w:cs="Arial" w:eastAsia="Arial" w:hAnsi="Arial"/>
                <w:sz w:val="15"/>
                <w:szCs w:val="15"/>
                <w:color w:val="auto"/>
              </w:rPr>
              <w:t>Fixed-price contracts and other derivatives</w:t>
            </w:r>
          </w:p>
        </w:tc>
        <w:tc>
          <w:tcPr>
            <w:tcW w:w="36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40</w:t>
            </w:r>
          </w:p>
        </w:tc>
      </w:tr>
      <w:tr>
        <w:trPr>
          <w:trHeight w:val="213"/>
        </w:trPr>
        <w:tc>
          <w:tcPr>
            <w:tcW w:w="5160" w:type="dxa"/>
            <w:vAlign w:val="bottom"/>
          </w:tcPr>
          <w:p>
            <w:pPr>
              <w:ind w:left="260"/>
              <w:spacing w:after="0"/>
              <w:rPr>
                <w:sz w:val="20"/>
                <w:szCs w:val="20"/>
                <w:color w:val="auto"/>
              </w:rPr>
            </w:pPr>
            <w:r>
              <w:rPr>
                <w:rFonts w:ascii="Arial" w:cs="Arial" w:eastAsia="Arial" w:hAnsi="Arial"/>
                <w:sz w:val="15"/>
                <w:szCs w:val="15"/>
                <w:color w:val="auto"/>
              </w:rPr>
              <w:t>Insurance receivable related to wildfire litigation (Note 10)</w:t>
            </w:r>
          </w:p>
        </w:tc>
        <w:tc>
          <w:tcPr>
            <w:tcW w:w="36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150</w:t>
            </w:r>
          </w:p>
        </w:tc>
        <w:tc>
          <w:tcPr>
            <w:tcW w:w="2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273</w:t>
            </w:r>
          </w:p>
        </w:tc>
      </w:tr>
      <w:tr>
        <w:trPr>
          <w:trHeight w:val="176"/>
        </w:trPr>
        <w:tc>
          <w:tcPr>
            <w:tcW w:w="5160" w:type="dxa"/>
            <w:vAlign w:val="bottom"/>
          </w:tcPr>
          <w:p>
            <w:pPr>
              <w:ind w:left="26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5"/>
                <w:szCs w:val="15"/>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35</w:t>
            </w:r>
          </w:p>
        </w:tc>
      </w:tr>
    </w:tbl>
    <w:p>
      <w:pPr>
        <w:sectPr>
          <w:pgSz w:w="11900" w:h="16919" w:orient="portrait"/>
          <w:cols w:equalWidth="0" w:num="1">
            <w:col w:w="10443"/>
          </w:cols>
          <w:pgMar w:left="237" w:top="249" w:right="1219" w:bottom="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4643120</wp:posOffset>
            </wp:positionH>
            <wp:positionV relativeFrom="page">
              <wp:posOffset>150495</wp:posOffset>
            </wp:positionV>
            <wp:extent cx="4559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930" cy="7620"/>
                    </a:xfrm>
                    <a:prstGeom prst="rect">
                      <a:avLst/>
                    </a:prstGeom>
                    <a:noFill/>
                  </pic:spPr>
                </pic:pic>
              </a:graphicData>
            </a:graphic>
          </wp:anchor>
        </w:drawing>
        <w:drawing>
          <wp:anchor simplePos="0" relativeHeight="251657728" behindDoc="1" locked="0" layoutInCell="0" allowOverlap="1">
            <wp:simplePos x="0" y="0"/>
            <wp:positionH relativeFrom="page">
              <wp:posOffset>4310380</wp:posOffset>
            </wp:positionH>
            <wp:positionV relativeFrom="page">
              <wp:posOffset>227965</wp:posOffset>
            </wp:positionV>
            <wp:extent cx="3327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 cy="7620"/>
                    </a:xfrm>
                    <a:prstGeom prst="rect">
                      <a:avLst/>
                    </a:prstGeom>
                    <a:noFill/>
                  </pic:spPr>
                </pic:pic>
              </a:graphicData>
            </a:graphic>
          </wp:anchor>
        </w:drawing>
        <w:drawing>
          <wp:anchor simplePos="0" relativeHeight="251657728" behindDoc="1" locked="0" layoutInCell="0" allowOverlap="1">
            <wp:simplePos x="0" y="0"/>
            <wp:positionH relativeFrom="page">
              <wp:posOffset>3854450</wp:posOffset>
            </wp:positionH>
            <wp:positionV relativeFrom="page">
              <wp:posOffset>150495</wp:posOffset>
            </wp:positionV>
            <wp:extent cx="455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930" cy="7620"/>
                    </a:xfrm>
                    <a:prstGeom prst="rect">
                      <a:avLst/>
                    </a:prstGeom>
                    <a:noFill/>
                  </pic:spPr>
                </pic:pic>
              </a:graphicData>
            </a:graphic>
          </wp:anchor>
        </w:drawing>
        <w:drawing>
          <wp:anchor simplePos="0" relativeHeight="251657728" behindDoc="1" locked="0" layoutInCell="0" allowOverlap="1">
            <wp:simplePos x="0" y="0"/>
            <wp:positionH relativeFrom="page">
              <wp:posOffset>3498850</wp:posOffset>
            </wp:positionH>
            <wp:positionV relativeFrom="page">
              <wp:posOffset>227965</wp:posOffset>
            </wp:positionV>
            <wp:extent cx="3556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60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5260" w:type="dxa"/>
            <w:vAlign w:val="bottom"/>
          </w:tcPr>
          <w:p>
            <w:pPr>
              <w:ind w:left="420"/>
              <w:spacing w:after="0"/>
              <w:rPr>
                <w:sz w:val="20"/>
                <w:szCs w:val="20"/>
                <w:color w:val="auto"/>
              </w:rPr>
            </w:pPr>
            <w:r>
              <w:rPr>
                <w:rFonts w:ascii="Arial" w:cs="Arial" w:eastAsia="Arial" w:hAnsi="Arial"/>
                <w:sz w:val="15"/>
                <w:szCs w:val="15"/>
                <w:color w:val="auto"/>
              </w:rPr>
              <w:t>Total current assets</w:t>
            </w:r>
          </w:p>
        </w:tc>
        <w:tc>
          <w:tcPr>
            <w:tcW w:w="560" w:type="dxa"/>
            <w:vAlign w:val="bottom"/>
          </w:tcPr>
          <w:p>
            <w:pPr>
              <w:spacing w:after="0"/>
              <w:rPr>
                <w:sz w:val="14"/>
                <w:szCs w:val="14"/>
                <w:color w:val="auto"/>
              </w:rPr>
            </w:pP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746</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886</w:t>
            </w:r>
          </w:p>
        </w:tc>
      </w:tr>
      <w:tr>
        <w:trPr>
          <w:trHeight w:val="425"/>
        </w:trPr>
        <w:tc>
          <w:tcPr>
            <w:tcW w:w="5260" w:type="dxa"/>
            <w:vAlign w:val="bottom"/>
          </w:tcPr>
          <w:p>
            <w:pPr>
              <w:ind w:left="100"/>
              <w:spacing w:after="0"/>
              <w:rPr>
                <w:sz w:val="20"/>
                <w:szCs w:val="20"/>
                <w:color w:val="auto"/>
              </w:rPr>
            </w:pPr>
            <w:r>
              <w:rPr>
                <w:rFonts w:ascii="Arial" w:cs="Arial" w:eastAsia="Arial" w:hAnsi="Arial"/>
                <w:sz w:val="15"/>
                <w:szCs w:val="15"/>
                <w:color w:val="auto"/>
              </w:rPr>
              <w:t>Other assets: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5260" w:type="dxa"/>
            <w:vAlign w:val="bottom"/>
          </w:tcPr>
          <w:p>
            <w:pPr>
              <w:ind w:left="300"/>
              <w:spacing w:after="0"/>
              <w:rPr>
                <w:sz w:val="20"/>
                <w:szCs w:val="20"/>
                <w:color w:val="auto"/>
              </w:rPr>
            </w:pPr>
            <w:r>
              <w:rPr>
                <w:rFonts w:ascii="Arial" w:cs="Arial" w:eastAsia="Arial" w:hAnsi="Arial"/>
                <w:sz w:val="19"/>
                <w:szCs w:val="19"/>
                <w:color w:val="auto"/>
              </w:rPr>
              <w:t>Due from unconsolidated affiliate</w:t>
            </w:r>
          </w:p>
        </w:tc>
        <w:tc>
          <w:tcPr>
            <w:tcW w:w="560" w:type="dxa"/>
            <w:vAlign w:val="bottom"/>
          </w:tcPr>
          <w:p>
            <w:pPr>
              <w:spacing w:after="0"/>
              <w:rPr>
                <w:sz w:val="20"/>
                <w:szCs w:val="20"/>
                <w:color w:val="auto"/>
              </w:rPr>
            </w:pP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2</w:t>
            </w:r>
          </w:p>
        </w:tc>
      </w:tr>
      <w:tr>
        <w:trPr>
          <w:trHeight w:val="217"/>
        </w:trPr>
        <w:tc>
          <w:tcPr>
            <w:tcW w:w="5260" w:type="dxa"/>
            <w:vAlign w:val="bottom"/>
          </w:tcPr>
          <w:p>
            <w:pPr>
              <w:ind w:left="260"/>
              <w:spacing w:after="0"/>
              <w:rPr>
                <w:sz w:val="20"/>
                <w:szCs w:val="20"/>
                <w:color w:val="auto"/>
              </w:rPr>
            </w:pPr>
            <w:r>
              <w:rPr>
                <w:rFonts w:ascii="Arial" w:cs="Arial" w:eastAsia="Arial" w:hAnsi="Arial"/>
                <w:sz w:val="15"/>
                <w:szCs w:val="15"/>
                <w:color w:val="auto"/>
              </w:rPr>
              <w:t>Deferred taxes recoverable in rates</w:t>
            </w:r>
          </w:p>
        </w:tc>
        <w:tc>
          <w:tcPr>
            <w:tcW w:w="56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458</w:t>
            </w:r>
          </w:p>
        </w:tc>
        <w:tc>
          <w:tcPr>
            <w:tcW w:w="500" w:type="dxa"/>
            <w:vAlign w:val="bottom"/>
          </w:tcPr>
          <w:p>
            <w:pPr>
              <w:spacing w:after="0"/>
              <w:rPr>
                <w:sz w:val="18"/>
                <w:szCs w:val="18"/>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415</w:t>
            </w:r>
          </w:p>
        </w:tc>
      </w:tr>
      <w:tr>
        <w:trPr>
          <w:trHeight w:val="219"/>
        </w:trPr>
        <w:tc>
          <w:tcPr>
            <w:tcW w:w="5260" w:type="dxa"/>
            <w:vAlign w:val="bottom"/>
          </w:tcPr>
          <w:p>
            <w:pPr>
              <w:spacing w:after="0"/>
              <w:rPr>
                <w:sz w:val="19"/>
                <w:szCs w:val="19"/>
                <w:color w:val="auto"/>
              </w:rPr>
            </w:pPr>
          </w:p>
        </w:tc>
        <w:tc>
          <w:tcPr>
            <w:tcW w:w="560" w:type="dxa"/>
            <w:vAlign w:val="bottom"/>
          </w:tcPr>
          <w:p>
            <w:pPr>
              <w:jc w:val="right"/>
              <w:ind w:right="47"/>
              <w:spacing w:after="0"/>
              <w:rPr>
                <w:sz w:val="20"/>
                <w:szCs w:val="20"/>
                <w:color w:val="auto"/>
              </w:rPr>
            </w:pPr>
            <w:r>
              <w:rPr>
                <w:rFonts w:ascii="Arial" w:cs="Arial" w:eastAsia="Arial" w:hAnsi="Arial"/>
                <w:sz w:val="15"/>
                <w:szCs w:val="15"/>
                <w:color w:val="auto"/>
              </w:rPr>
              <w:t>2 43</w:t>
            </w:r>
          </w:p>
        </w:tc>
        <w:tc>
          <w:tcPr>
            <w:tcW w:w="760" w:type="dxa"/>
            <w:vAlign w:val="bottom"/>
          </w:tcPr>
          <w:p>
            <w:pPr>
              <w:spacing w:after="0"/>
              <w:rPr>
                <w:sz w:val="19"/>
                <w:szCs w:val="19"/>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241</w:t>
            </w:r>
          </w:p>
        </w:tc>
        <w:tc>
          <w:tcPr>
            <w:tcW w:w="700" w:type="dxa"/>
            <w:vAlign w:val="bottom"/>
          </w:tcPr>
          <w:p>
            <w:pPr>
              <w:spacing w:after="0"/>
              <w:rPr>
                <w:sz w:val="19"/>
                <w:szCs w:val="19"/>
                <w:color w:val="auto"/>
              </w:rPr>
            </w:pPr>
          </w:p>
        </w:tc>
      </w:tr>
      <w:tr>
        <w:trPr>
          <w:trHeight w:val="219"/>
        </w:trPr>
        <w:tc>
          <w:tcPr>
            <w:tcW w:w="5260" w:type="dxa"/>
            <w:vAlign w:val="bottom"/>
          </w:tcPr>
          <w:p>
            <w:pPr>
              <w:ind w:left="260"/>
              <w:spacing w:after="0"/>
              <w:rPr>
                <w:sz w:val="20"/>
                <w:szCs w:val="20"/>
                <w:color w:val="auto"/>
              </w:rPr>
            </w:pPr>
            <w:r>
              <w:rPr>
                <w:rFonts w:ascii="Arial" w:cs="Arial" w:eastAsia="Arial" w:hAnsi="Arial"/>
                <w:sz w:val="15"/>
                <w:szCs w:val="15"/>
                <w:color w:val="auto"/>
              </w:rPr>
              <w:t>Regulatory a ssets arising from pension and other postretirement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5260" w:type="dxa"/>
            <w:vAlign w:val="bottom"/>
          </w:tcPr>
          <w:p>
            <w:pPr>
              <w:ind w:left="420"/>
              <w:spacing w:after="0"/>
              <w:rPr>
                <w:sz w:val="20"/>
                <w:szCs w:val="20"/>
                <w:color w:val="auto"/>
              </w:rPr>
            </w:pPr>
            <w:r>
              <w:rPr>
                <w:rFonts w:ascii="Arial" w:cs="Arial" w:eastAsia="Arial" w:hAnsi="Arial"/>
                <w:sz w:val="15"/>
                <w:szCs w:val="15"/>
                <w:color w:val="auto"/>
              </w:rPr>
              <w:t>benefit obligations</w:t>
            </w:r>
          </w:p>
        </w:tc>
        <w:tc>
          <w:tcPr>
            <w:tcW w:w="560" w:type="dxa"/>
            <w:vAlign w:val="bottom"/>
          </w:tcPr>
          <w:p>
            <w:pPr>
              <w:spacing w:after="0"/>
              <w:rPr>
                <w:sz w:val="19"/>
                <w:szCs w:val="19"/>
                <w:color w:val="auto"/>
              </w:rPr>
            </w:pP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338</w:t>
            </w:r>
          </w:p>
        </w:tc>
        <w:tc>
          <w:tcPr>
            <w:tcW w:w="500" w:type="dxa"/>
            <w:vAlign w:val="bottom"/>
          </w:tcPr>
          <w:p>
            <w:pPr>
              <w:spacing w:after="0"/>
              <w:rPr>
                <w:sz w:val="19"/>
                <w:szCs w:val="19"/>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342</w:t>
            </w:r>
          </w:p>
        </w:tc>
      </w:tr>
      <w:tr>
        <w:trPr>
          <w:trHeight w:val="219"/>
        </w:trPr>
        <w:tc>
          <w:tcPr>
            <w:tcW w:w="5260" w:type="dxa"/>
            <w:vAlign w:val="bottom"/>
          </w:tcPr>
          <w:p>
            <w:pPr>
              <w:ind w:left="240"/>
              <w:spacing w:after="0"/>
              <w:rPr>
                <w:sz w:val="20"/>
                <w:szCs w:val="20"/>
                <w:color w:val="auto"/>
              </w:rPr>
            </w:pPr>
            <w:r>
              <w:rPr>
                <w:rFonts w:ascii="Arial" w:cs="Arial" w:eastAsia="Arial" w:hAnsi="Arial"/>
                <w:sz w:val="15"/>
                <w:szCs w:val="15"/>
                <w:color w:val="auto"/>
              </w:rPr>
              <w:t>Other regulatory assets</w:t>
            </w:r>
          </w:p>
        </w:tc>
        <w:tc>
          <w:tcPr>
            <w:tcW w:w="560" w:type="dxa"/>
            <w:vAlign w:val="bottom"/>
          </w:tcPr>
          <w:p>
            <w:pPr>
              <w:spacing w:after="0"/>
              <w:rPr>
                <w:sz w:val="19"/>
                <w:szCs w:val="19"/>
                <w:color w:val="auto"/>
              </w:rPr>
            </w:pP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243</w:t>
            </w:r>
          </w:p>
        </w:tc>
        <w:tc>
          <w:tcPr>
            <w:tcW w:w="500" w:type="dxa"/>
            <w:vAlign w:val="bottom"/>
          </w:tcPr>
          <w:p>
            <w:pPr>
              <w:spacing w:after="0"/>
              <w:rPr>
                <w:sz w:val="19"/>
                <w:szCs w:val="19"/>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53</w:t>
            </w:r>
          </w:p>
        </w:tc>
      </w:tr>
      <w:tr>
        <w:trPr>
          <w:trHeight w:val="219"/>
        </w:trPr>
        <w:tc>
          <w:tcPr>
            <w:tcW w:w="5260" w:type="dxa"/>
            <w:vAlign w:val="bottom"/>
          </w:tcPr>
          <w:p>
            <w:pPr>
              <w:ind w:left="260"/>
              <w:spacing w:after="0"/>
              <w:rPr>
                <w:sz w:val="20"/>
                <w:szCs w:val="20"/>
                <w:color w:val="auto"/>
              </w:rPr>
            </w:pPr>
            <w:r>
              <w:rPr>
                <w:rFonts w:ascii="Arial" w:cs="Arial" w:eastAsia="Arial" w:hAnsi="Arial"/>
                <w:sz w:val="15"/>
                <w:szCs w:val="15"/>
                <w:color w:val="auto"/>
              </w:rPr>
              <w:t>Nuclear decommissioning trusts</w:t>
            </w:r>
          </w:p>
        </w:tc>
        <w:tc>
          <w:tcPr>
            <w:tcW w:w="560" w:type="dxa"/>
            <w:vAlign w:val="bottom"/>
          </w:tcPr>
          <w:p>
            <w:pPr>
              <w:spacing w:after="0"/>
              <w:rPr>
                <w:sz w:val="19"/>
                <w:szCs w:val="19"/>
                <w:color w:val="auto"/>
              </w:rPr>
            </w:pP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675</w:t>
            </w:r>
          </w:p>
        </w:tc>
        <w:tc>
          <w:tcPr>
            <w:tcW w:w="500" w:type="dxa"/>
            <w:vAlign w:val="bottom"/>
          </w:tcPr>
          <w:p>
            <w:pPr>
              <w:spacing w:after="0"/>
              <w:rPr>
                <w:sz w:val="19"/>
                <w:szCs w:val="19"/>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678</w:t>
            </w:r>
          </w:p>
        </w:tc>
      </w:tr>
      <w:tr>
        <w:trPr>
          <w:trHeight w:val="212"/>
        </w:trPr>
        <w:tc>
          <w:tcPr>
            <w:tcW w:w="5260" w:type="dxa"/>
            <w:vAlign w:val="bottom"/>
          </w:tcPr>
          <w:p>
            <w:pPr>
              <w:ind w:left="260"/>
              <w:spacing w:after="0"/>
              <w:rPr>
                <w:sz w:val="20"/>
                <w:szCs w:val="20"/>
                <w:color w:val="auto"/>
              </w:rPr>
            </w:pPr>
            <w:r>
              <w:rPr>
                <w:rFonts w:ascii="Arial" w:cs="Arial" w:eastAsia="Arial" w:hAnsi="Arial"/>
                <w:sz w:val="15"/>
                <w:szCs w:val="15"/>
                <w:color w:val="auto"/>
              </w:rPr>
              <w:t>Sundry</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41</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43</w:t>
            </w:r>
          </w:p>
        </w:tc>
      </w:tr>
      <w:tr>
        <w:trPr>
          <w:trHeight w:val="211"/>
        </w:trPr>
        <w:tc>
          <w:tcPr>
            <w:tcW w:w="5260" w:type="dxa"/>
            <w:vAlign w:val="bottom"/>
          </w:tcPr>
          <w:p>
            <w:pPr>
              <w:ind w:left="420"/>
              <w:spacing w:after="0"/>
              <w:rPr>
                <w:sz w:val="20"/>
                <w:szCs w:val="20"/>
                <w:color w:val="auto"/>
              </w:rPr>
            </w:pPr>
            <w:r>
              <w:rPr>
                <w:rFonts w:ascii="Arial" w:cs="Arial" w:eastAsia="Arial" w:hAnsi="Arial"/>
                <w:sz w:val="15"/>
                <w:szCs w:val="15"/>
                <w:color w:val="auto"/>
              </w:rPr>
              <w:t>Total other assets</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1,999</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1,774</w:t>
            </w:r>
          </w:p>
        </w:tc>
      </w:tr>
      <w:tr>
        <w:trPr>
          <w:trHeight w:val="438"/>
        </w:trPr>
        <w:tc>
          <w:tcPr>
            <w:tcW w:w="5260" w:type="dxa"/>
            <w:vAlign w:val="bottom"/>
          </w:tcPr>
          <w:p>
            <w:pPr>
              <w:ind w:left="100"/>
              <w:spacing w:after="0"/>
              <w:rPr>
                <w:sz w:val="20"/>
                <w:szCs w:val="20"/>
                <w:color w:val="auto"/>
              </w:rPr>
            </w:pPr>
            <w:r>
              <w:rPr>
                <w:rFonts w:ascii="Arial" w:cs="Arial" w:eastAsia="Arial" w:hAnsi="Arial"/>
                <w:sz w:val="15"/>
                <w:szCs w:val="15"/>
                <w:color w:val="auto"/>
              </w:rPr>
              <w:t>Property, plant and equipment:</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5260" w:type="dxa"/>
            <w:vAlign w:val="bottom"/>
          </w:tcPr>
          <w:p>
            <w:pPr>
              <w:ind w:left="160"/>
              <w:spacing w:after="0"/>
              <w:rPr>
                <w:sz w:val="20"/>
                <w:szCs w:val="20"/>
                <w:color w:val="auto"/>
              </w:rPr>
            </w:pPr>
            <w:r>
              <w:rPr>
                <w:rFonts w:ascii="Arial" w:cs="Arial" w:eastAsia="Arial" w:hAnsi="Arial"/>
                <w:sz w:val="15"/>
                <w:szCs w:val="15"/>
                <w:color w:val="auto"/>
              </w:rPr>
              <w:t>Property, plant and equipment</w:t>
            </w:r>
          </w:p>
        </w:tc>
        <w:tc>
          <w:tcPr>
            <w:tcW w:w="560" w:type="dxa"/>
            <w:vAlign w:val="bottom"/>
          </w:tcPr>
          <w:p>
            <w:pPr>
              <w:spacing w:after="0"/>
              <w:rPr>
                <w:sz w:val="19"/>
                <w:szCs w:val="19"/>
                <w:color w:val="auto"/>
              </w:rPr>
            </w:pP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10,614</w:t>
            </w:r>
          </w:p>
        </w:tc>
        <w:tc>
          <w:tcPr>
            <w:tcW w:w="500" w:type="dxa"/>
            <w:vAlign w:val="bottom"/>
          </w:tcPr>
          <w:p>
            <w:pPr>
              <w:spacing w:after="0"/>
              <w:rPr>
                <w:sz w:val="19"/>
                <w:szCs w:val="19"/>
                <w:color w:val="auto"/>
              </w:rPr>
            </w:pP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10,156</w:t>
            </w:r>
          </w:p>
        </w:tc>
      </w:tr>
      <w:tr>
        <w:trPr>
          <w:trHeight w:val="212"/>
        </w:trPr>
        <w:tc>
          <w:tcPr>
            <w:tcW w:w="5260" w:type="dxa"/>
            <w:vAlign w:val="bottom"/>
          </w:tcPr>
          <w:p>
            <w:pPr>
              <w:ind w:left="260"/>
              <w:spacing w:after="0"/>
              <w:rPr>
                <w:sz w:val="20"/>
                <w:szCs w:val="20"/>
                <w:color w:val="auto"/>
              </w:rPr>
            </w:pPr>
            <w:r>
              <w:rPr>
                <w:rFonts w:ascii="Arial" w:cs="Arial" w:eastAsia="Arial" w:hAnsi="Arial"/>
                <w:sz w:val="15"/>
                <w:szCs w:val="15"/>
                <w:color w:val="auto"/>
              </w:rPr>
              <w:t>Less accumulated depreciation and amortization</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(2,632)</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(2,587)</w:t>
            </w:r>
          </w:p>
        </w:tc>
      </w:tr>
      <w:tr>
        <w:trPr>
          <w:trHeight w:val="211"/>
        </w:trPr>
        <w:tc>
          <w:tcPr>
            <w:tcW w:w="5260" w:type="dxa"/>
            <w:vAlign w:val="bottom"/>
          </w:tcPr>
          <w:p>
            <w:pPr>
              <w:ind w:left="420"/>
              <w:spacing w:after="0"/>
              <w:rPr>
                <w:sz w:val="20"/>
                <w:szCs w:val="20"/>
                <w:color w:val="auto"/>
              </w:rPr>
            </w:pPr>
            <w:r>
              <w:rPr>
                <w:rFonts w:ascii="Arial" w:cs="Arial" w:eastAsia="Arial" w:hAnsi="Arial"/>
                <w:sz w:val="15"/>
                <w:szCs w:val="15"/>
                <w:color w:val="auto"/>
                <w:w w:val="98"/>
              </w:rPr>
              <w:t>Property, plant and equipment, net ($528 at June 30, 2010 related to VIE)</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7,982</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7,569</w:t>
            </w:r>
          </w:p>
        </w:tc>
      </w:tr>
      <w:tr>
        <w:trPr>
          <w:trHeight w:val="179"/>
        </w:trPr>
        <w:tc>
          <w:tcPr>
            <w:tcW w:w="5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assets</w:t>
            </w:r>
          </w:p>
        </w:tc>
        <w:tc>
          <w:tcPr>
            <w:tcW w:w="560" w:type="dxa"/>
            <w:vAlign w:val="bottom"/>
            <w:tcBorders>
              <w:bottom w:val="single" w:sz="8" w:color="auto"/>
            </w:tcBorders>
          </w:tcPr>
          <w:p>
            <w:pPr>
              <w:jc w:val="right"/>
              <w:ind w:right="307"/>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87"/>
              <w:spacing w:after="0" w:line="163" w:lineRule="exact"/>
              <w:rPr>
                <w:sz w:val="20"/>
                <w:szCs w:val="20"/>
                <w:color w:val="auto"/>
              </w:rPr>
            </w:pPr>
            <w:r>
              <w:rPr>
                <w:rFonts w:ascii="Arial" w:cs="Arial" w:eastAsia="Arial" w:hAnsi="Arial"/>
                <w:sz w:val="15"/>
                <w:szCs w:val="15"/>
                <w:color w:val="auto"/>
              </w:rPr>
              <w:t>10,727</w:t>
            </w:r>
          </w:p>
        </w:tc>
        <w:tc>
          <w:tcPr>
            <w:tcW w:w="500" w:type="dxa"/>
            <w:vAlign w:val="bottom"/>
            <w:tcBorders>
              <w:bottom w:val="single" w:sz="8" w:color="auto"/>
            </w:tcBorders>
          </w:tcPr>
          <w:p>
            <w:pPr>
              <w:jc w:val="right"/>
              <w:ind w:right="287"/>
              <w:spacing w:after="0" w:line="163"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10,229</w:t>
            </w: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4716145" cy="440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145" cy="440690"/>
                    </a:xfrm>
                    <a:prstGeom prst="rect">
                      <a:avLst/>
                    </a:prstGeom>
                    <a:noFill/>
                  </pic:spPr>
                </pic:pic>
              </a:graphicData>
            </a:graphic>
          </wp:anchor>
        </w:drawing>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SAN DIEGO GAS &amp; ELECTRIC COMPANY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9"/>
        </w:trPr>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27"/>
              <w:spacing w:after="0"/>
              <w:rPr>
                <w:sz w:val="20"/>
                <w:szCs w:val="20"/>
                <w:color w:val="auto"/>
              </w:rPr>
            </w:pPr>
            <w:r>
              <w:rPr>
                <w:rFonts w:ascii="Arial" w:cs="Arial" w:eastAsia="Arial" w:hAnsi="Arial"/>
                <w:sz w:val="13"/>
                <w:szCs w:val="13"/>
                <w:color w:val="auto"/>
              </w:rPr>
              <w:t>June 30,</w:t>
            </w:r>
          </w:p>
        </w:tc>
        <w:tc>
          <w:tcPr>
            <w:tcW w:w="1000" w:type="dxa"/>
            <w:vAlign w:val="bottom"/>
            <w:gridSpan w:val="2"/>
          </w:tcPr>
          <w:p>
            <w:pPr>
              <w:ind w:left="100"/>
              <w:spacing w:after="0"/>
              <w:rPr>
                <w:sz w:val="20"/>
                <w:szCs w:val="20"/>
                <w:color w:val="auto"/>
              </w:rPr>
            </w:pPr>
            <w:r>
              <w:rPr>
                <w:rFonts w:ascii="Arial" w:cs="Arial" w:eastAsia="Arial" w:hAnsi="Arial"/>
                <w:sz w:val="13"/>
                <w:szCs w:val="13"/>
                <w:color w:val="auto"/>
              </w:rPr>
              <w:t>December 31,</w:t>
            </w:r>
          </w:p>
        </w:tc>
      </w:tr>
      <w:tr>
        <w:trPr>
          <w:trHeight w:val="206"/>
        </w:trPr>
        <w:tc>
          <w:tcPr>
            <w:tcW w:w="5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color w:val="auto"/>
              </w:rPr>
              <w:t>2009</w:t>
            </w:r>
          </w:p>
        </w:tc>
      </w:tr>
      <w:tr>
        <w:trPr>
          <w:trHeight w:val="225"/>
        </w:trPr>
        <w:tc>
          <w:tcPr>
            <w:tcW w:w="5420" w:type="dxa"/>
            <w:vAlign w:val="bottom"/>
          </w:tcPr>
          <w:p>
            <w:pPr>
              <w:spacing w:after="0"/>
              <w:rPr>
                <w:sz w:val="19"/>
                <w:szCs w:val="19"/>
                <w:color w:val="auto"/>
              </w:rPr>
            </w:pPr>
          </w:p>
        </w:tc>
        <w:tc>
          <w:tcPr>
            <w:tcW w:w="1000" w:type="dxa"/>
            <w:vAlign w:val="bottom"/>
            <w:gridSpan w:val="2"/>
          </w:tcPr>
          <w:p>
            <w:pPr>
              <w:jc w:val="right"/>
              <w:ind w:right="107"/>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3"/>
        </w:trPr>
        <w:tc>
          <w:tcPr>
            <w:tcW w:w="5420" w:type="dxa"/>
            <w:vAlign w:val="bottom"/>
          </w:tcPr>
          <w:p>
            <w:pPr>
              <w:ind w:left="100"/>
              <w:spacing w:after="0"/>
              <w:rPr>
                <w:sz w:val="20"/>
                <w:szCs w:val="20"/>
                <w:color w:val="auto"/>
              </w:rPr>
            </w:pPr>
            <w:r>
              <w:rPr>
                <w:rFonts w:ascii="Arial" w:cs="Arial" w:eastAsia="Arial" w:hAnsi="Arial"/>
                <w:sz w:val="15"/>
                <w:szCs w:val="15"/>
                <w:color w:val="auto"/>
              </w:rPr>
              <w:t>LIABILITIES AND EQUITY</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5"/>
                <w:szCs w:val="15"/>
                <w:color w:val="auto"/>
              </w:rPr>
              <w:t>Current liabilities: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5420" w:type="dxa"/>
            <w:vAlign w:val="bottom"/>
          </w:tcPr>
          <w:p>
            <w:pPr>
              <w:ind w:left="240"/>
              <w:spacing w:after="0"/>
              <w:rPr>
                <w:sz w:val="20"/>
                <w:szCs w:val="20"/>
                <w:color w:val="auto"/>
              </w:rPr>
            </w:pPr>
            <w:r>
              <w:rPr>
                <w:rFonts w:ascii="Arial" w:cs="Arial" w:eastAsia="Arial" w:hAnsi="Arial"/>
                <w:sz w:val="15"/>
                <w:szCs w:val="15"/>
                <w:color w:val="auto"/>
              </w:rPr>
              <w:t>Short-term debt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63</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33</w:t>
            </w:r>
          </w:p>
        </w:tc>
      </w:tr>
      <w:tr>
        <w:trPr>
          <w:trHeight w:val="215"/>
        </w:trPr>
        <w:tc>
          <w:tcPr>
            <w:tcW w:w="542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8"/>
                <w:szCs w:val="18"/>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197</w:t>
            </w:r>
          </w:p>
        </w:tc>
        <w:tc>
          <w:tcPr>
            <w:tcW w:w="260" w:type="dxa"/>
            <w:vAlign w:val="bottom"/>
          </w:tcPr>
          <w:p>
            <w:pPr>
              <w:spacing w:after="0"/>
              <w:rPr>
                <w:sz w:val="18"/>
                <w:szCs w:val="18"/>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249</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Due to unconsolidated affiliate</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16</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r>
      <w:tr>
        <w:trPr>
          <w:trHeight w:val="219"/>
        </w:trPr>
        <w:tc>
          <w:tcPr>
            <w:tcW w:w="5420" w:type="dxa"/>
            <w:vAlign w:val="bottom"/>
          </w:tcPr>
          <w:p>
            <w:pPr>
              <w:ind w:left="240"/>
              <w:spacing w:after="0"/>
              <w:rPr>
                <w:sz w:val="20"/>
                <w:szCs w:val="20"/>
                <w:color w:val="auto"/>
              </w:rPr>
            </w:pPr>
            <w:r>
              <w:rPr>
                <w:rFonts w:ascii="Arial" w:cs="Arial" w:eastAsia="Arial" w:hAnsi="Arial"/>
                <w:sz w:val="15"/>
                <w:szCs w:val="15"/>
                <w:color w:val="auto"/>
              </w:rPr>
              <w:t>Regulatory balancing accounts, net</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188</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159</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Customer deposits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57</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56</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Fixed-price contracts and other derivatives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50</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51</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80</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104</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45</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Reserve for wildfire litigation (Note 10)</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241</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270</w:t>
            </w:r>
          </w:p>
        </w:tc>
      </w:tr>
      <w:tr>
        <w:trPr>
          <w:trHeight w:val="212"/>
        </w:trPr>
        <w:tc>
          <w:tcPr>
            <w:tcW w:w="542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128</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157</w:t>
            </w:r>
          </w:p>
        </w:tc>
      </w:tr>
      <w:tr>
        <w:trPr>
          <w:trHeight w:val="211"/>
        </w:trPr>
        <w:tc>
          <w:tcPr>
            <w:tcW w:w="542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1,042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1,124</w:t>
            </w:r>
          </w:p>
        </w:tc>
      </w:tr>
      <w:tr>
        <w:trPr>
          <w:trHeight w:val="211"/>
        </w:trPr>
        <w:tc>
          <w:tcPr>
            <w:tcW w:w="5420" w:type="dxa"/>
            <w:vAlign w:val="bottom"/>
          </w:tcPr>
          <w:p>
            <w:pPr>
              <w:ind w:left="100"/>
              <w:spacing w:after="0"/>
              <w:rPr>
                <w:sz w:val="20"/>
                <w:szCs w:val="20"/>
                <w:color w:val="auto"/>
              </w:rPr>
            </w:pPr>
            <w:r>
              <w:rPr>
                <w:rFonts w:ascii="Arial" w:cs="Arial" w:eastAsia="Arial" w:hAnsi="Arial"/>
                <w:sz w:val="15"/>
                <w:szCs w:val="15"/>
                <w:color w:val="auto"/>
              </w:rPr>
              <w:t>Long-term debt ($360 at June 30, 2010 related to VIE)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2,984</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2,623</w:t>
            </w:r>
          </w:p>
        </w:tc>
      </w:tr>
      <w:tr>
        <w:trPr>
          <w:trHeight w:val="438"/>
        </w:trPr>
        <w:tc>
          <w:tcPr>
            <w:tcW w:w="5420" w:type="dxa"/>
            <w:vAlign w:val="bottom"/>
          </w:tcPr>
          <w:p>
            <w:pPr>
              <w:ind w:left="100"/>
              <w:spacing w:after="0"/>
              <w:rPr>
                <w:sz w:val="20"/>
                <w:szCs w:val="20"/>
                <w:color w:val="auto"/>
              </w:rPr>
            </w:pPr>
            <w:r>
              <w:rPr>
                <w:rFonts w:ascii="Arial" w:cs="Arial" w:eastAsia="Arial" w:hAnsi="Arial"/>
                <w:sz w:val="15"/>
                <w:szCs w:val="15"/>
                <w:color w:val="auto"/>
              </w:rPr>
              <w:t>Deferred credits and other liabilities: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Customer advances for construction</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23</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Pension and other postretirement benefit obligations, net of plan assets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360</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370</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834</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774</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Deferred investment tax credits</w:t>
            </w:r>
          </w:p>
        </w:tc>
        <w:tc>
          <w:tcPr>
            <w:tcW w:w="240" w:type="dxa"/>
            <w:vAlign w:val="bottom"/>
          </w:tcPr>
          <w:p>
            <w:pPr>
              <w:spacing w:after="0"/>
              <w:rPr>
                <w:sz w:val="19"/>
                <w:szCs w:val="19"/>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26 ;</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26</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Regulatory liabiliti es arising from removal obligations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1,337</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1,330</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Asset retirement obligations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605</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585</w:t>
            </w:r>
          </w:p>
        </w:tc>
      </w:tr>
      <w:tr>
        <w:trPr>
          <w:trHeight w:val="219"/>
        </w:trPr>
        <w:tc>
          <w:tcPr>
            <w:tcW w:w="5420" w:type="dxa"/>
            <w:vAlign w:val="bottom"/>
          </w:tcPr>
          <w:p>
            <w:pPr>
              <w:ind w:left="160"/>
              <w:spacing w:after="0"/>
              <w:rPr>
                <w:sz w:val="20"/>
                <w:szCs w:val="20"/>
                <w:color w:val="auto"/>
              </w:rPr>
            </w:pPr>
            <w:r>
              <w:rPr>
                <w:rFonts w:ascii="Arial" w:cs="Arial" w:eastAsia="Arial" w:hAnsi="Arial"/>
                <w:sz w:val="15"/>
                <w:szCs w:val="15"/>
                <w:color w:val="auto"/>
              </w:rPr>
              <w:t>Fixed-price contracts and other derivatives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275</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265</w:t>
            </w:r>
          </w:p>
        </w:tc>
      </w:tr>
      <w:tr>
        <w:trPr>
          <w:trHeight w:val="212"/>
        </w:trPr>
        <w:tc>
          <w:tcPr>
            <w:tcW w:w="5420" w:type="dxa"/>
            <w:vAlign w:val="bottom"/>
          </w:tcPr>
          <w:p>
            <w:pPr>
              <w:ind w:left="260"/>
              <w:spacing w:after="0"/>
              <w:rPr>
                <w:sz w:val="20"/>
                <w:szCs w:val="20"/>
                <w:color w:val="auto"/>
              </w:rPr>
            </w:pPr>
            <w:r>
              <w:rPr>
                <w:rFonts w:ascii="Arial" w:cs="Arial" w:eastAsia="Arial" w:hAnsi="Arial"/>
                <w:sz w:val="15"/>
                <w:szCs w:val="15"/>
                <w:color w:val="auto"/>
              </w:rPr>
              <w:t>Deferred credits and other</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144</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145</w:t>
            </w:r>
          </w:p>
        </w:tc>
      </w:tr>
      <w:tr>
        <w:trPr>
          <w:trHeight w:val="211"/>
        </w:trPr>
        <w:tc>
          <w:tcPr>
            <w:tcW w:w="5420" w:type="dxa"/>
            <w:vAlign w:val="bottom"/>
          </w:tcPr>
          <w:p>
            <w:pPr>
              <w:ind w:left="420"/>
              <w:spacing w:after="0"/>
              <w:rPr>
                <w:sz w:val="20"/>
                <w:szCs w:val="20"/>
                <w:color w:val="auto"/>
              </w:rPr>
            </w:pPr>
            <w:r>
              <w:rPr>
                <w:rFonts w:ascii="Arial" w:cs="Arial" w:eastAsia="Arial" w:hAnsi="Arial"/>
                <w:sz w:val="15"/>
                <w:szCs w:val="15"/>
                <w:color w:val="auto"/>
              </w:rPr>
              <w:t>Total deferred credits and other liabilities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3,603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3,518</w:t>
            </w:r>
          </w:p>
        </w:tc>
      </w:tr>
      <w:tr>
        <w:trPr>
          <w:trHeight w:val="211"/>
        </w:trPr>
        <w:tc>
          <w:tcPr>
            <w:tcW w:w="5420" w:type="dxa"/>
            <w:vAlign w:val="bottom"/>
          </w:tcPr>
          <w:p>
            <w:pPr>
              <w:ind w:left="100"/>
              <w:spacing w:after="0"/>
              <w:rPr>
                <w:sz w:val="20"/>
                <w:szCs w:val="20"/>
                <w:color w:val="auto"/>
              </w:rPr>
            </w:pPr>
            <w:r>
              <w:rPr>
                <w:rFonts w:ascii="Arial" w:cs="Arial" w:eastAsia="Arial" w:hAnsi="Arial"/>
                <w:sz w:val="15"/>
                <w:szCs w:val="15"/>
                <w:color w:val="auto"/>
              </w:rPr>
              <w:t>Contingently redeemable preferred stock</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79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79</w:t>
            </w:r>
          </w:p>
        </w:tc>
      </w:tr>
      <w:tr>
        <w:trPr>
          <w:trHeight w:val="438"/>
        </w:trPr>
        <w:tc>
          <w:tcPr>
            <w:tcW w:w="5420" w:type="dxa"/>
            <w:vAlign w:val="bottom"/>
          </w:tcPr>
          <w:p>
            <w:pPr>
              <w:ind w:left="100"/>
              <w:spacing w:after="0"/>
              <w:rPr>
                <w:sz w:val="20"/>
                <w:szCs w:val="20"/>
                <w:color w:val="auto"/>
              </w:rPr>
            </w:pPr>
            <w:r>
              <w:rPr>
                <w:rFonts w:ascii="Arial" w:cs="Arial" w:eastAsia="Arial" w:hAnsi="Arial"/>
                <w:sz w:val="15"/>
                <w:szCs w:val="15"/>
                <w:color w:val="auto"/>
              </w:rPr>
              <w:t>Commitments and contingencies (Note 10)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8"/>
        </w:trPr>
        <w:tc>
          <w:tcPr>
            <w:tcW w:w="5420" w:type="dxa"/>
            <w:vAlign w:val="bottom"/>
          </w:tcPr>
          <w:p>
            <w:pPr>
              <w:ind w:left="100"/>
              <w:spacing w:after="0"/>
              <w:rPr>
                <w:sz w:val="20"/>
                <w:szCs w:val="20"/>
                <w:color w:val="auto"/>
              </w:rPr>
            </w:pPr>
            <w:r>
              <w:rPr>
                <w:rFonts w:ascii="Arial" w:cs="Arial" w:eastAsia="Arial" w:hAnsi="Arial"/>
                <w:sz w:val="15"/>
                <w:szCs w:val="15"/>
                <w:color w:val="auto"/>
              </w:rPr>
              <w:t>Equity:</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w w:val="98"/>
              </w:rPr>
              <w:t>Common stock (255 million shares authorized; 117 million shares outstanding;</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420" w:type="dxa"/>
            <w:vAlign w:val="bottom"/>
          </w:tcPr>
          <w:p>
            <w:pPr>
              <w:ind w:left="420"/>
              <w:spacing w:after="0"/>
              <w:rPr>
                <w:sz w:val="20"/>
                <w:szCs w:val="20"/>
                <w:color w:val="auto"/>
              </w:rPr>
            </w:pPr>
            <w:r>
              <w:rPr>
                <w:rFonts w:ascii="Arial" w:cs="Arial" w:eastAsia="Arial" w:hAnsi="Arial"/>
                <w:sz w:val="15"/>
                <w:szCs w:val="15"/>
                <w:color w:val="auto"/>
              </w:rPr>
              <w:t>no par value)</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1,138</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1,138</w:t>
            </w:r>
          </w:p>
        </w:tc>
      </w:tr>
      <w:tr>
        <w:trPr>
          <w:trHeight w:val="219"/>
        </w:trPr>
        <w:tc>
          <w:tcPr>
            <w:tcW w:w="542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1,769</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1,611</w:t>
            </w:r>
          </w:p>
        </w:tc>
      </w:tr>
      <w:tr>
        <w:trPr>
          <w:trHeight w:val="212"/>
        </w:trPr>
        <w:tc>
          <w:tcPr>
            <w:tcW w:w="5420" w:type="dxa"/>
            <w:vAlign w:val="bottom"/>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w:t>
            </w:r>
          </w:p>
        </w:tc>
      </w:tr>
      <w:tr>
        <w:trPr>
          <w:trHeight w:val="219"/>
        </w:trPr>
        <w:tc>
          <w:tcPr>
            <w:tcW w:w="5420" w:type="dxa"/>
            <w:vAlign w:val="bottom"/>
          </w:tcPr>
          <w:p>
            <w:pPr>
              <w:ind w:left="420"/>
              <w:spacing w:after="0"/>
              <w:rPr>
                <w:sz w:val="20"/>
                <w:szCs w:val="20"/>
                <w:color w:val="auto"/>
              </w:rPr>
            </w:pPr>
            <w:r>
              <w:rPr>
                <w:rFonts w:ascii="Arial" w:cs="Arial" w:eastAsia="Arial" w:hAnsi="Arial"/>
                <w:sz w:val="15"/>
                <w:szCs w:val="15"/>
                <w:color w:val="auto"/>
              </w:rPr>
              <w:t>Total SDG&amp;E shareholders' equity</w:t>
            </w:r>
          </w:p>
        </w:tc>
        <w:tc>
          <w:tcPr>
            <w:tcW w:w="240" w:type="dxa"/>
            <w:vAlign w:val="bottom"/>
          </w:tcPr>
          <w:p>
            <w:pPr>
              <w:spacing w:after="0"/>
              <w:rPr>
                <w:sz w:val="19"/>
                <w:szCs w:val="19"/>
                <w:color w:val="auto"/>
              </w:rPr>
            </w:pPr>
          </w:p>
        </w:tc>
        <w:tc>
          <w:tcPr>
            <w:tcW w:w="760" w:type="dxa"/>
            <w:vAlign w:val="bottom"/>
          </w:tcPr>
          <w:p>
            <w:pPr>
              <w:jc w:val="right"/>
              <w:ind w:right="67"/>
              <w:spacing w:after="0"/>
              <w:rPr>
                <w:sz w:val="20"/>
                <w:szCs w:val="20"/>
                <w:color w:val="auto"/>
              </w:rPr>
            </w:pPr>
            <w:r>
              <w:rPr>
                <w:rFonts w:ascii="Arial" w:cs="Arial" w:eastAsia="Arial" w:hAnsi="Arial"/>
                <w:sz w:val="15"/>
                <w:szCs w:val="15"/>
                <w:color w:val="auto"/>
              </w:rPr>
              <w:t>2,898</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2,739</w:t>
            </w:r>
          </w:p>
        </w:tc>
      </w:tr>
      <w:tr>
        <w:trPr>
          <w:trHeight w:val="212"/>
        </w:trPr>
        <w:tc>
          <w:tcPr>
            <w:tcW w:w="5420" w:type="dxa"/>
            <w:vAlign w:val="bottom"/>
          </w:tcPr>
          <w:p>
            <w:pPr>
              <w:ind w:left="260"/>
              <w:spacing w:after="0"/>
              <w:rPr>
                <w:sz w:val="20"/>
                <w:szCs w:val="20"/>
                <w:color w:val="auto"/>
              </w:rPr>
            </w:pPr>
            <w:r>
              <w:rPr>
                <w:rFonts w:ascii="Arial" w:cs="Arial" w:eastAsia="Arial" w:hAnsi="Arial"/>
                <w:sz w:val="15"/>
                <w:szCs w:val="15"/>
                <w:color w:val="auto"/>
              </w:rPr>
              <w:t>Noncontrolling interest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121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146</w:t>
            </w:r>
          </w:p>
        </w:tc>
      </w:tr>
      <w:tr>
        <w:trPr>
          <w:trHeight w:val="211"/>
        </w:trPr>
        <w:tc>
          <w:tcPr>
            <w:tcW w:w="5420" w:type="dxa"/>
            <w:vAlign w:val="bottom"/>
          </w:tcPr>
          <w:p>
            <w:pPr>
              <w:ind w:left="420"/>
              <w:spacing w:after="0"/>
              <w:rPr>
                <w:sz w:val="20"/>
                <w:szCs w:val="20"/>
                <w:color w:val="auto"/>
              </w:rPr>
            </w:pPr>
            <w:r>
              <w:rPr>
                <w:rFonts w:ascii="Arial" w:cs="Arial" w:eastAsia="Arial" w:hAnsi="Arial"/>
                <w:sz w:val="15"/>
                <w:szCs w:val="15"/>
                <w:color w:val="auto"/>
              </w:rPr>
              <w:t>Total equity</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3,019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2,885</w:t>
            </w:r>
          </w:p>
        </w:tc>
      </w:tr>
      <w:tr>
        <w:trPr>
          <w:trHeight w:val="179"/>
        </w:trPr>
        <w:tc>
          <w:tcPr>
            <w:tcW w:w="542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liabilities and equity</w:t>
            </w:r>
          </w:p>
        </w:tc>
        <w:tc>
          <w:tcPr>
            <w:tcW w:w="240" w:type="dxa"/>
            <w:vAlign w:val="bottom"/>
            <w:tcBorders>
              <w:bottom w:val="single" w:sz="8" w:color="auto"/>
            </w:tcBorders>
          </w:tcPr>
          <w:p>
            <w:pPr>
              <w:ind w:left="80"/>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10,727</w:t>
            </w:r>
          </w:p>
        </w:tc>
        <w:tc>
          <w:tcPr>
            <w:tcW w:w="260" w:type="dxa"/>
            <w:vAlign w:val="bottom"/>
            <w:tcBorders>
              <w:bottom w:val="single" w:sz="8" w:color="auto"/>
            </w:tcBorders>
          </w:tcPr>
          <w:p>
            <w:pPr>
              <w:ind w:left="80"/>
              <w:spacing w:after="0" w:line="163"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10,229</w:t>
            </w: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4646930" cy="440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46930" cy="440690"/>
                    </a:xfrm>
                    <a:prstGeom prst="rect">
                      <a:avLst/>
                    </a:prstGeom>
                    <a:noFill/>
                  </pic:spPr>
                </pic:pic>
              </a:graphicData>
            </a:graphic>
          </wp:anchor>
        </w:drawing>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SAN DIEGO GAS &amp; ELECTRIC COMPANY</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STATEMENTS OF CONSOLIDATED CASH FLOWS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84"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-4445</wp:posOffset>
            </wp:positionV>
            <wp:extent cx="14147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50" w:lineRule="exact"/>
        <w:rPr>
          <w:sz w:val="20"/>
          <w:szCs w:val="20"/>
          <w:color w:val="auto"/>
        </w:rPr>
      </w:pPr>
    </w:p>
    <w:p>
      <w:pPr>
        <w:ind w:left="5340"/>
        <w:spacing w:after="0"/>
        <w:tabs>
          <w:tab w:leader="none" w:pos="6460" w:val="left"/>
        </w:tabs>
        <w:rPr>
          <w:sz w:val="20"/>
          <w:szCs w:val="20"/>
          <w:color w:val="auto"/>
        </w:rPr>
      </w:pPr>
      <w:r>
        <w:rPr>
          <w:rFonts w:ascii="Arial" w:cs="Arial" w:eastAsia="Arial" w:hAnsi="Arial"/>
          <w:sz w:val="13"/>
          <w:szCs w:val="13"/>
          <w:color w:val="auto"/>
        </w:rPr>
        <w:t>2010</w:t>
      </w:r>
      <w:r>
        <w:rPr>
          <w:sz w:val="20"/>
          <w:szCs w:val="20"/>
          <w:color w:val="auto"/>
        </w:rPr>
        <w:tab/>
      </w:r>
      <w:r>
        <w:rPr>
          <w:rFonts w:ascii="Arial" w:cs="Arial" w:eastAsia="Arial" w:hAnsi="Arial"/>
          <w:sz w:val="13"/>
          <w:szCs w:val="13"/>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46469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46930" cy="7620"/>
                    </a:xfrm>
                    <a:prstGeom prst="rect">
                      <a:avLst/>
                    </a:prstGeom>
                    <a:noFill/>
                  </pic:spPr>
                </pic:pic>
              </a:graphicData>
            </a:graphic>
          </wp:anchor>
        </w:drawing>
      </w:r>
    </w:p>
    <w:p>
      <w:pPr>
        <w:spacing w:after="0" w:line="62"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(unaudited)</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FLOWS FROM OPERATING ACTIVITIES</w:t>
      </w:r>
    </w:p>
    <w:p>
      <w:pPr>
        <w:sectPr>
          <w:pgSz w:w="11900" w:h="16838" w:orient="portrait"/>
          <w:cols w:equalWidth="0" w:num="1">
            <w:col w:w="10219"/>
          </w:cols>
          <w:pgMar w:left="240" w:top="418" w:right="1440" w:bottom="0" w:gutter="0" w:footer="0" w:header="0"/>
        </w:sectPr>
      </w:pPr>
    </w:p>
    <w:bookmarkStart w:id="7" w:name="page8"/>
    <w:bookmarkEnd w:id="7"/>
    <w:p>
      <w:pPr>
        <w:spacing w:after="0" w:line="44" w:lineRule="exact"/>
        <w:rPr>
          <w:sz w:val="20"/>
          <w:szCs w:val="20"/>
          <w:color w:val="auto"/>
        </w:rPr>
      </w:pPr>
    </w:p>
    <w:tbl>
      <w:tblPr>
        <w:tblLayout w:type="fixed"/>
        <w:tblInd w:w="3" w:type="dxa"/>
        <w:tblCellMar>
          <w:top w:w="0" w:type="dxa"/>
          <w:left w:w="0" w:type="dxa"/>
          <w:bottom w:w="0" w:type="dxa"/>
          <w:right w:w="0" w:type="dxa"/>
        </w:tblCellMar>
      </w:tblP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131</w:t>
            </w:r>
          </w:p>
        </w:tc>
        <w:tc>
          <w:tcPr>
            <w:tcW w:w="840" w:type="dxa"/>
            <w:vAlign w:val="bottom"/>
          </w:tcPr>
          <w:p>
            <w:pPr>
              <w:ind w:left="10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7"/>
        </w:trPr>
        <w:tc>
          <w:tcPr>
            <w:tcW w:w="5080" w:type="dxa"/>
            <w:vAlign w:val="bottom"/>
          </w:tcPr>
          <w:p>
            <w:pPr>
              <w:ind w:left="260"/>
              <w:spacing w:after="0"/>
              <w:rPr>
                <w:sz w:val="20"/>
                <w:szCs w:val="20"/>
                <w:color w:val="auto"/>
              </w:rPr>
            </w:pPr>
            <w:r>
              <w:rPr>
                <w:rFonts w:ascii="Arial" w:cs="Arial" w:eastAsia="Arial" w:hAnsi="Arial"/>
                <w:sz w:val="15"/>
                <w:szCs w:val="15"/>
                <w:color w:val="auto"/>
              </w:rPr>
              <w:t>Adjustments to reconcile net income to net cash provided by</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420"/>
              <w:spacing w:after="0"/>
              <w:rPr>
                <w:sz w:val="20"/>
                <w:szCs w:val="20"/>
                <w:color w:val="auto"/>
              </w:rPr>
            </w:pPr>
            <w:r>
              <w:rPr>
                <w:rFonts w:ascii="Arial" w:cs="Arial" w:eastAsia="Arial" w:hAnsi="Arial"/>
                <w:sz w:val="15"/>
                <w:szCs w:val="15"/>
                <w:color w:val="auto"/>
              </w:rPr>
              <w:t>operating activities:</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58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187</w:t>
            </w:r>
          </w:p>
        </w:tc>
        <w:tc>
          <w:tcPr>
            <w:tcW w:w="840" w:type="dxa"/>
            <w:vAlign w:val="bottom"/>
          </w:tcPr>
          <w:p>
            <w:pPr>
              <w:spacing w:after="0"/>
              <w:rPr>
                <w:sz w:val="17"/>
                <w:szCs w:val="17"/>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34"/>
        </w:trPr>
        <w:tc>
          <w:tcPr>
            <w:tcW w:w="5080" w:type="dxa"/>
            <w:vAlign w:val="bottom"/>
          </w:tcPr>
          <w:p>
            <w:pPr>
              <w:ind w:left="580"/>
              <w:spacing w:after="0"/>
              <w:rPr>
                <w:sz w:val="20"/>
                <w:szCs w:val="20"/>
                <w:color w:val="auto"/>
              </w:rPr>
            </w:pPr>
            <w:r>
              <w:rPr>
                <w:rFonts w:ascii="Arial" w:cs="Arial" w:eastAsia="Arial" w:hAnsi="Arial"/>
                <w:sz w:val="15"/>
                <w:szCs w:val="15"/>
                <w:color w:val="auto"/>
              </w:rPr>
              <w:t>Deferred income taxes and investment tax credits</w:t>
            </w:r>
          </w:p>
        </w:tc>
        <w:tc>
          <w:tcPr>
            <w:tcW w:w="300" w:type="dxa"/>
            <w:vAlign w:val="bottom"/>
          </w:tcPr>
          <w:p>
            <w:pPr>
              <w:spacing w:after="0"/>
              <w:rPr>
                <w:sz w:val="20"/>
                <w:szCs w:val="20"/>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23</w:t>
            </w:r>
          </w:p>
        </w:tc>
        <w:tc>
          <w:tcPr>
            <w:tcW w:w="840" w:type="dxa"/>
            <w:vAlign w:val="bottom"/>
            <w:vMerge w:val="restart"/>
          </w:tcPr>
          <w:p>
            <w:pPr>
              <w:ind w:left="100"/>
              <w:spacing w:after="0"/>
              <w:rPr>
                <w:sz w:val="20"/>
                <w:szCs w:val="20"/>
                <w:color w:val="auto"/>
              </w:rPr>
            </w:pPr>
            <w:r>
              <w:rPr>
                <w:rFonts w:ascii="Arial" w:cs="Arial" w:eastAsia="Arial" w:hAnsi="Arial"/>
                <w:sz w:val="19"/>
                <w:szCs w:val="19"/>
                <w:color w:val="auto"/>
              </w:rPr>
              <w:t>&amp;nb sp;</w:t>
            </w: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9"/>
        </w:trPr>
        <w:tc>
          <w:tcPr>
            <w:tcW w:w="5080" w:type="dxa"/>
            <w:vAlign w:val="bottom"/>
          </w:tcPr>
          <w:p>
            <w:pPr>
              <w:ind w:left="520"/>
              <w:spacing w:after="0"/>
              <w:rPr>
                <w:sz w:val="20"/>
                <w:szCs w:val="20"/>
                <w:color w:val="auto"/>
              </w:rPr>
            </w:pPr>
            <w:r>
              <w:rPr>
                <w:rFonts w:ascii="Arial" w:cs="Arial" w:eastAsia="Arial" w:hAnsi="Arial"/>
                <w:sz w:val="15"/>
                <w:szCs w:val="15"/>
                <w:color w:val="auto"/>
              </w:rPr>
              <w:t>Fixed-price contracts and other derivatives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28</w:t>
            </w:r>
          </w:p>
        </w:tc>
        <w:tc>
          <w:tcPr>
            <w:tcW w:w="840" w:type="dxa"/>
            <w:vAlign w:val="bottom"/>
            <w:vMerge w:val="continue"/>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17"/>
        </w:trPr>
        <w:tc>
          <w:tcPr>
            <w:tcW w:w="5080" w:type="dxa"/>
            <w:vAlign w:val="bottom"/>
          </w:tcPr>
          <w:p>
            <w:pPr>
              <w:ind w:left="58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8"/>
                <w:szCs w:val="18"/>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840" w:type="dxa"/>
            <w:vAlign w:val="bottom"/>
          </w:tcPr>
          <w:p>
            <w:pPr>
              <w:spacing w:after="0"/>
              <w:rPr>
                <w:sz w:val="18"/>
                <w:szCs w:val="18"/>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Net change in other working capital components</w:t>
            </w:r>
          </w:p>
        </w:tc>
        <w:tc>
          <w:tcPr>
            <w:tcW w:w="300" w:type="dxa"/>
            <w:vAlign w:val="bottom"/>
          </w:tcPr>
          <w:p>
            <w:pPr>
              <w:spacing w:after="0"/>
              <w:rPr>
                <w:sz w:val="19"/>
                <w:szCs w:val="19"/>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(133)</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Changes in other assets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9</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2"/>
        </w:trPr>
        <w:tc>
          <w:tcPr>
            <w:tcW w:w="5080" w:type="dxa"/>
            <w:vAlign w:val="bottom"/>
          </w:tcPr>
          <w:p>
            <w:pPr>
              <w:ind w:left="260"/>
              <w:spacing w:after="0"/>
              <w:rPr>
                <w:sz w:val="20"/>
                <w:szCs w:val="20"/>
                <w:color w:val="auto"/>
              </w:rPr>
            </w:pPr>
            <w:r>
              <w:rPr>
                <w:rFonts w:ascii="Arial" w:cs="Arial" w:eastAsia="Arial" w:hAnsi="Arial"/>
                <w:sz w:val="15"/>
                <w:szCs w:val="15"/>
                <w:color w:val="auto"/>
              </w:rPr>
              <w:t>Changes in other liabilities</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1"/>
        </w:trPr>
        <w:tc>
          <w:tcPr>
            <w:tcW w:w="5080" w:type="dxa"/>
            <w:vAlign w:val="bottom"/>
          </w:tcPr>
          <w:p>
            <w:pPr>
              <w:ind w:left="4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221</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438"/>
        </w:trPr>
        <w:tc>
          <w:tcPr>
            <w:tcW w:w="5080" w:type="dxa"/>
            <w:vAlign w:val="bottom"/>
          </w:tcPr>
          <w:p>
            <w:pPr>
              <w:ind w:left="100"/>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Expenditures for property, plant and equipment</w:t>
            </w:r>
          </w:p>
        </w:tc>
        <w:tc>
          <w:tcPr>
            <w:tcW w:w="300" w:type="dxa"/>
            <w:vAlign w:val="bottom"/>
          </w:tcPr>
          <w:p>
            <w:pPr>
              <w:spacing w:after="0"/>
              <w:rPr>
                <w:sz w:val="19"/>
                <w:szCs w:val="19"/>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(522)</w:t>
            </w:r>
          </w:p>
        </w:tc>
        <w:tc>
          <w:tcPr>
            <w:tcW w:w="8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(443)</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Expenditures for short-term investments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Proceeds from sale of short-term investments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Purchases of nuclear decommissioning trust assets</w:t>
            </w:r>
          </w:p>
        </w:tc>
        <w:tc>
          <w:tcPr>
            <w:tcW w:w="300" w:type="dxa"/>
            <w:vAlign w:val="bottom"/>
          </w:tcPr>
          <w:p>
            <w:pPr>
              <w:spacing w:after="0"/>
              <w:rPr>
                <w:sz w:val="19"/>
                <w:szCs w:val="19"/>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(155)</w:t>
            </w:r>
          </w:p>
        </w:tc>
        <w:tc>
          <w:tcPr>
            <w:tcW w:w="8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Proceeds from sales by nuclear decommissioning trusts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150</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Decrease in loans to affiliates, net</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14</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Net decrease in restricted cash</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5080" w:type="dxa"/>
            <w:vAlign w:val="bottom"/>
          </w:tcPr>
          <w:p>
            <w:pPr>
              <w:ind w:left="100"/>
              <w:spacing w:after="0"/>
              <w:rPr>
                <w:sz w:val="20"/>
                <w:szCs w:val="20"/>
                <w:color w:val="auto"/>
              </w:rPr>
            </w:pPr>
            <w:r>
              <w:rPr>
                <w:rFonts w:ascii="Arial" w:cs="Arial" w:eastAsia="Arial" w:hAnsi="Arial"/>
                <w:sz w:val="15"/>
                <w:szCs w:val="15"/>
                <w:color w:val="auto"/>
              </w:rPr>
              <w:t>&amp; nbsp;  Other</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1"/>
        </w:trPr>
        <w:tc>
          <w:tcPr>
            <w:tcW w:w="5080" w:type="dxa"/>
            <w:vAlign w:val="bottom"/>
          </w:tcPr>
          <w:p>
            <w:pPr>
              <w:ind w:left="4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(509)</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240"/>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9"/>
                <w:szCs w:val="19"/>
                <w:color w:val="auto"/>
              </w:rPr>
              <w:t>&amp;nb sp;</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100"/>
              <w:spacing w:after="0"/>
              <w:rPr>
                <w:sz w:val="20"/>
                <w:szCs w:val="20"/>
                <w:color w:val="auto"/>
              </w:rPr>
            </w:pPr>
            <w:r>
              <w:rPr>
                <w:rFonts w:ascii="Arial" w:cs="Arial" w:eastAsia="Arial" w:hAnsi="Arial"/>
                <w:sz w:val="15"/>
                <w:szCs w:val="15"/>
                <w:color w:val="auto"/>
              </w:rPr>
              <w:t>CASH FLOWS FROM FINANCING ACTIVITIES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Common dividends paid</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Preferred dividends paid</w:t>
            </w:r>
          </w:p>
        </w:tc>
        <w:tc>
          <w:tcPr>
            <w:tcW w:w="300" w:type="dxa"/>
            <w:vAlign w:val="bottom"/>
          </w:tcPr>
          <w:p>
            <w:pPr>
              <w:spacing w:after="0"/>
              <w:rPr>
                <w:sz w:val="19"/>
                <w:szCs w:val="19"/>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Issuances of long-term debt</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250</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206"/>
        </w:trPr>
        <w:tc>
          <w:tcPr>
            <w:tcW w:w="5080" w:type="dxa"/>
            <w:vAlign w:val="bottom"/>
          </w:tcPr>
          <w:p>
            <w:pPr>
              <w:ind w:left="260"/>
              <w:spacing w:after="0"/>
              <w:rPr>
                <w:sz w:val="20"/>
                <w:szCs w:val="20"/>
                <w:color w:val="auto"/>
              </w:rPr>
            </w:pPr>
            <w:r>
              <w:rPr>
                <w:rFonts w:ascii="Arial" w:cs="Arial" w:eastAsia="Arial" w:hAnsi="Arial"/>
                <w:sz w:val="15"/>
                <w:szCs w:val="15"/>
                <w:color w:val="auto"/>
              </w:rPr>
              <w:t>Payments on long-term debt</w:t>
            </w:r>
          </w:p>
        </w:tc>
        <w:tc>
          <w:tcPr>
            <w:tcW w:w="300" w:type="dxa"/>
            <w:vAlign w:val="bottom"/>
          </w:tcPr>
          <w:p>
            <w:pPr>
              <w:spacing w:after="0"/>
              <w:rPr>
                <w:sz w:val="17"/>
                <w:szCs w:val="17"/>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40" w:type="dxa"/>
            <w:vAlign w:val="bottom"/>
          </w:tcPr>
          <w:p>
            <w:pPr>
              <w:spacing w:after="0"/>
              <w:rPr>
                <w:sz w:val="17"/>
                <w:szCs w:val="17"/>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4"/>
        </w:trPr>
        <w:tc>
          <w:tcPr>
            <w:tcW w:w="5080" w:type="dxa"/>
            <w:vAlign w:val="bottom"/>
          </w:tcPr>
          <w:p>
            <w:pPr>
              <w:ind w:left="260"/>
              <w:spacing w:after="0"/>
              <w:rPr>
                <w:sz w:val="20"/>
                <w:szCs w:val="20"/>
                <w:color w:val="auto"/>
              </w:rPr>
            </w:pPr>
            <w:r>
              <w:rPr>
                <w:rFonts w:ascii="Arial" w:cs="Arial" w:eastAsia="Arial" w:hAnsi="Arial"/>
                <w:sz w:val="15"/>
                <w:szCs w:val="15"/>
                <w:color w:val="auto"/>
              </w:rPr>
              <w:t>Increase in short-term debt, net</w:t>
            </w:r>
          </w:p>
        </w:tc>
        <w:tc>
          <w:tcPr>
            <w:tcW w:w="300" w:type="dxa"/>
            <w:vAlign w:val="bottom"/>
          </w:tcPr>
          <w:p>
            <w:pPr>
              <w:spacing w:after="0"/>
              <w:rPr>
                <w:sz w:val="20"/>
                <w:szCs w:val="20"/>
                <w:color w:val="auto"/>
              </w:rPr>
            </w:pPr>
          </w:p>
        </w:tc>
        <w:tc>
          <w:tcPr>
            <w:tcW w:w="540" w:type="dxa"/>
            <w:vAlign w:val="bottom"/>
          </w:tcPr>
          <w:p>
            <w:pPr>
              <w:jc w:val="right"/>
              <w:ind w:right="65"/>
              <w:spacing w:after="0"/>
              <w:rPr>
                <w:sz w:val="20"/>
                <w:szCs w:val="20"/>
                <w:color w:val="auto"/>
              </w:rPr>
            </w:pPr>
            <w:r>
              <w:rPr>
                <w:rFonts w:ascii="Arial" w:cs="Arial" w:eastAsia="Arial" w:hAnsi="Arial"/>
                <w:sz w:val="19"/>
                <w:szCs w:val="19"/>
                <w:color w:val="auto"/>
              </w:rPr>
              <w:t>63</w:t>
            </w:r>
          </w:p>
        </w:tc>
        <w:tc>
          <w:tcPr>
            <w:tcW w:w="840" w:type="dxa"/>
            <w:vAlign w:val="bottom"/>
          </w:tcPr>
          <w:p>
            <w:pPr>
              <w:spacing w:after="0"/>
              <w:rPr>
                <w:sz w:val="20"/>
                <w:szCs w:val="20"/>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1"/>
        </w:trPr>
        <w:tc>
          <w:tcPr>
            <w:tcW w:w="5080" w:type="dxa"/>
            <w:vAlign w:val="bottom"/>
          </w:tcPr>
          <w:p>
            <w:pPr>
              <w:ind w:left="420"/>
              <w:spacing w:after="0"/>
              <w:rPr>
                <w:sz w:val="20"/>
                <w:szCs w:val="20"/>
                <w:color w:val="auto"/>
              </w:rPr>
            </w:pPr>
            <w:r>
              <w:rPr>
                <w:rFonts w:ascii="Arial" w:cs="Arial" w:eastAsia="Arial" w:hAnsi="Arial"/>
                <w:sz w:val="15"/>
                <w:szCs w:val="15"/>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303</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438"/>
        </w:trPr>
        <w:tc>
          <w:tcPr>
            <w:tcW w:w="5080" w:type="dxa"/>
            <w:vAlign w:val="bottom"/>
          </w:tcPr>
          <w:p>
            <w:pPr>
              <w:ind w:left="100"/>
              <w:spacing w:after="0"/>
              <w:rPr>
                <w:sz w:val="20"/>
                <w:szCs w:val="20"/>
                <w:color w:val="auto"/>
              </w:rPr>
            </w:pPr>
            <w:r>
              <w:rPr>
                <w:rFonts w:ascii="Arial" w:cs="Arial" w:eastAsia="Arial" w:hAnsi="Arial"/>
                <w:sz w:val="15"/>
                <w:szCs w:val="15"/>
                <w:color w:val="auto"/>
              </w:rPr>
              <w:t>Increase in cash and cash equivalents</w:t>
            </w:r>
          </w:p>
        </w:tc>
        <w:tc>
          <w:tcPr>
            <w:tcW w:w="300" w:type="dxa"/>
            <w:vAlign w:val="bottom"/>
          </w:tcPr>
          <w:p>
            <w:pPr>
              <w:spacing w:after="0"/>
              <w:rPr>
                <w:sz w:val="24"/>
                <w:szCs w:val="24"/>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84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12"/>
        </w:trPr>
        <w:tc>
          <w:tcPr>
            <w:tcW w:w="5080" w:type="dxa"/>
            <w:vAlign w:val="bottom"/>
          </w:tcPr>
          <w:p>
            <w:pPr>
              <w:ind w:left="100"/>
              <w:spacing w:after="0"/>
              <w:rPr>
                <w:sz w:val="20"/>
                <w:szCs w:val="20"/>
                <w:color w:val="auto"/>
              </w:rPr>
            </w:pPr>
            <w:r>
              <w:rPr>
                <w:rFonts w:ascii="Arial" w:cs="Arial" w:eastAsia="Arial" w:hAnsi="Arial"/>
                <w:sz w:val="15"/>
                <w:szCs w:val="15"/>
                <w:color w:val="auto"/>
              </w:rPr>
              <w:t>Cash and cash equivalents, January 1</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ind w:left="100"/>
              <w:spacing w:after="0" w:line="144" w:lineRule="exact"/>
              <w:rPr>
                <w:sz w:val="20"/>
                <w:szCs w:val="20"/>
                <w:color w:val="auto"/>
              </w:rPr>
            </w:pPr>
            <w:r>
              <w:rPr>
                <w:rFonts w:ascii="Arial" w:cs="Arial" w:eastAsia="Arial" w:hAnsi="Arial"/>
                <w:sz w:val="15"/>
                <w:szCs w:val="15"/>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5080" w:type="dxa"/>
            <w:vAlign w:val="bottom"/>
          </w:tcPr>
          <w:p>
            <w:pPr>
              <w:ind w:left="100"/>
              <w:spacing w:after="0"/>
              <w:rPr>
                <w:sz w:val="20"/>
                <w:szCs w:val="20"/>
                <w:color w:val="auto"/>
              </w:rPr>
            </w:pPr>
            <w:r>
              <w:rPr>
                <w:rFonts w:ascii="Arial" w:cs="Arial" w:eastAsia="Arial" w:hAnsi="Arial"/>
                <w:sz w:val="15"/>
                <w:szCs w:val="15"/>
                <w:color w:val="auto"/>
              </w:rPr>
              <w:t>Cash and cash equivalents, June 30</w:t>
            </w: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28</w:t>
            </w: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&lt; /td&gt;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434"/>
        </w:trPr>
        <w:tc>
          <w:tcPr>
            <w:tcW w:w="5080" w:type="dxa"/>
            <w:vAlign w:val="bottom"/>
          </w:tcPr>
          <w:p>
            <w:pPr>
              <w:ind w:left="100"/>
              <w:spacing w:after="0"/>
              <w:rPr>
                <w:sz w:val="20"/>
                <w:szCs w:val="20"/>
                <w:color w:val="auto"/>
              </w:rPr>
            </w:pPr>
            <w:r>
              <w:rPr>
                <w:rFonts w:ascii="Arial" w:cs="Arial" w:eastAsia="Arial" w:hAnsi="Arial"/>
                <w:sz w:val="15"/>
                <w:szCs w:val="15"/>
                <w:color w:val="auto"/>
              </w:rPr>
              <w:t>SUPPLEMENTAL DISCLOSURE OF CASH FLOW INFORMATION</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260"/>
              <w:spacing w:after="0"/>
              <w:rPr>
                <w:sz w:val="20"/>
                <w:szCs w:val="20"/>
                <w:color w:val="auto"/>
              </w:rPr>
            </w:pPr>
            <w:r>
              <w:rPr>
                <w:rFonts w:ascii="Arial" w:cs="Arial" w:eastAsia="Arial" w:hAnsi="Arial"/>
                <w:sz w:val="15"/>
                <w:szCs w:val="15"/>
                <w:color w:val="auto"/>
              </w:rPr>
              <w:t>Interest payments, net of amounts capitalized</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58</w:t>
            </w:r>
          </w:p>
        </w:tc>
        <w:tc>
          <w:tcPr>
            <w:tcW w:w="840" w:type="dxa"/>
            <w:vAlign w:val="bottom"/>
          </w:tcPr>
          <w:p>
            <w:pPr>
              <w:ind w:left="10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rPr>
              <w:t>Income tax payments, net of refunds</w:t>
            </w:r>
          </w:p>
        </w:tc>
        <w:tc>
          <w:tcPr>
            <w:tcW w:w="300" w:type="dxa"/>
            <w:vAlign w:val="bottom"/>
          </w:tcPr>
          <w:p>
            <w:pPr>
              <w:spacing w:after="0"/>
              <w:rPr>
                <w:sz w:val="19"/>
                <w:szCs w:val="19"/>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49</w:t>
            </w:r>
          </w:p>
        </w:tc>
        <w:tc>
          <w:tcPr>
            <w:tcW w:w="84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438"/>
        </w:trPr>
        <w:tc>
          <w:tcPr>
            <w:tcW w:w="5080" w:type="dxa"/>
            <w:vAlign w:val="bottom"/>
          </w:tcPr>
          <w:p>
            <w:pPr>
              <w:ind w:left="100"/>
              <w:spacing w:after="0"/>
              <w:rPr>
                <w:sz w:val="20"/>
                <w:szCs w:val="20"/>
                <w:color w:val="auto"/>
              </w:rPr>
            </w:pPr>
            <w:r>
              <w:rPr>
                <w:rFonts w:ascii="Arial" w:cs="Arial" w:eastAsia="Arial" w:hAnsi="Arial"/>
                <w:sz w:val="15"/>
                <w:szCs w:val="15"/>
                <w:color w:val="auto"/>
              </w:rPr>
              <w:t>SUPPLEMENTAL DISCLOSURE OF NONCASH ACTIVITIES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60"/>
              <w:spacing w:after="0"/>
              <w:rPr>
                <w:sz w:val="20"/>
                <w:szCs w:val="20"/>
                <w:color w:val="auto"/>
              </w:rPr>
            </w:pPr>
            <w:r>
              <w:rPr>
                <w:rFonts w:ascii="Arial" w:cs="Arial" w:eastAsia="Arial" w:hAnsi="Arial"/>
                <w:sz w:val="15"/>
                <w:szCs w:val="15"/>
                <w:color w:val="auto"/>
                <w:w w:val="98"/>
              </w:rPr>
              <w:t>Increase in capital lease obligations for investments in property, plant and</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080" w:type="dxa"/>
            <w:vAlign w:val="bottom"/>
          </w:tcPr>
          <w:p>
            <w:pPr>
              <w:ind w:left="420"/>
              <w:spacing w:after="0"/>
              <w:rPr>
                <w:sz w:val="20"/>
                <w:szCs w:val="20"/>
                <w:color w:val="auto"/>
              </w:rPr>
            </w:pPr>
            <w:r>
              <w:rPr>
                <w:rFonts w:ascii="Arial" w:cs="Arial" w:eastAsia="Arial" w:hAnsi="Arial"/>
                <w:sz w:val="15"/>
                <w:szCs w:val="15"/>
                <w:color w:val="auto"/>
              </w:rPr>
              <w:t>equipmen t</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183</w:t>
            </w:r>
          </w:p>
        </w:tc>
        <w:tc>
          <w:tcPr>
            <w:tcW w:w="840" w:type="dxa"/>
            <w:vAlign w:val="bottom"/>
            <w:vMerge w:val="continue"/>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2"/>
        </w:trPr>
        <w:tc>
          <w:tcPr>
            <w:tcW w:w="50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Dividends declared but not paid</w:t>
            </w:r>
          </w:p>
        </w:tc>
        <w:tc>
          <w:tcPr>
            <w:tcW w:w="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w:t>
            </w: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0" w:lineRule="exact"/>
        <w:rPr>
          <w:sz w:val="20"/>
          <w:szCs w:val="20"/>
          <w:color w:val="auto"/>
        </w:rPr>
      </w:pPr>
    </w:p>
    <w:p>
      <w:pPr>
        <w:spacing w:after="0" w:line="396" w:lineRule="exact"/>
        <w:rPr>
          <w:sz w:val="20"/>
          <w:szCs w:val="20"/>
          <w:color w:val="auto"/>
        </w:rPr>
      </w:pPr>
    </w:p>
    <w:p>
      <w:pPr>
        <w:ind w:left="3" w:hanging="3"/>
        <w:spacing w:after="0" w:line="301" w:lineRule="auto"/>
        <w:tabs>
          <w:tab w:leader="none" w:pos="1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BORDER-BOTTOM:0px; HEIGHT:10.5pt"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4507865" cy="440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07865" cy="440690"/>
                    </a:xfrm>
                    <a:prstGeom prst="rect">
                      <a:avLst/>
                    </a:prstGeom>
                    <a:noFill/>
                  </pic:spPr>
                </pic:pic>
              </a:graphicData>
            </a:graphic>
          </wp:anchor>
        </w:drawing>
      </w:r>
    </w:p>
    <w:p>
      <w:pPr>
        <w:spacing w:after="0" w:line="182"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PACIFIC ENTERPRISES AND SUBSIDIA RIES</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78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6"/>
        </w:trPr>
        <w:tc>
          <w:tcPr>
            <w:tcW w:w="2780" w:type="dxa"/>
            <w:vAlign w:val="bottom"/>
          </w:tcPr>
          <w:p>
            <w:pPr>
              <w:spacing w:after="0"/>
              <w:rPr>
                <w:sz w:val="17"/>
                <w:szCs w:val="17"/>
                <w:color w:val="auto"/>
              </w:rPr>
            </w:pPr>
          </w:p>
        </w:tc>
        <w:tc>
          <w:tcPr>
            <w:tcW w:w="19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Three months ended June 30,</w:t>
            </w:r>
          </w:p>
        </w:tc>
        <w:tc>
          <w:tcPr>
            <w:tcW w:w="238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3"/>
                <w:szCs w:val="13"/>
                <w:color w:val="auto"/>
              </w:rPr>
              <w:t>Six months ended June 30,</w:t>
            </w:r>
          </w:p>
        </w:tc>
      </w:tr>
      <w:tr>
        <w:trPr>
          <w:trHeight w:val="199"/>
        </w:trPr>
        <w:tc>
          <w:tcPr>
            <w:tcW w:w="2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color w:val="auto"/>
              </w:rPr>
              <w:t>2010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rPr>
              <w:t>2009</w:t>
            </w: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560" w:type="dxa"/>
            <w:vAlign w:val="bottom"/>
            <w:tcBorders>
              <w:bottom w:val="single" w:sz="8" w:color="auto"/>
            </w:tcBorders>
          </w:tcPr>
          <w:p>
            <w:pPr>
              <w:spacing w:after="0"/>
              <w:rPr>
                <w:sz w:val="17"/>
                <w:szCs w:val="17"/>
                <w:color w:val="auto"/>
              </w:rPr>
            </w:pPr>
          </w:p>
        </w:tc>
      </w:tr>
      <w:tr>
        <w:trPr>
          <w:trHeight w:val="225"/>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308"/>
              <w:spacing w:after="0"/>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0"/>
        </w:trPr>
        <w:tc>
          <w:tcPr>
            <w:tcW w:w="2780" w:type="dxa"/>
            <w:vAlign w:val="bottom"/>
          </w:tcPr>
          <w:p>
            <w:pPr>
              <w:ind w:left="100"/>
              <w:spacing w:after="0"/>
              <w:rPr>
                <w:sz w:val="20"/>
                <w:szCs w:val="20"/>
                <w:color w:val="auto"/>
              </w:rPr>
            </w:pPr>
            <w:r>
              <w:rPr>
                <w:rFonts w:ascii="Arial" w:cs="Arial" w:eastAsia="Arial" w:hAnsi="Arial"/>
                <w:sz w:val="15"/>
                <w:szCs w:val="15"/>
                <w:color w:val="auto"/>
              </w:rPr>
              <w:t>Operating revenues</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834</w:t>
            </w:r>
          </w:p>
        </w:tc>
        <w:tc>
          <w:tcPr>
            <w:tcW w:w="2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694</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   2,016</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1,614</w:t>
            </w: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Cost of natural gas</w:t>
            </w:r>
          </w:p>
        </w:tc>
        <w:tc>
          <w:tcPr>
            <w:tcW w:w="20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318</w:t>
            </w:r>
          </w:p>
        </w:tc>
        <w:tc>
          <w:tcPr>
            <w:tcW w:w="240" w:type="dxa"/>
            <w:vAlign w:val="bottom"/>
          </w:tcPr>
          <w:p>
            <w:pPr>
              <w:spacing w:after="0"/>
              <w:rPr>
                <w:sz w:val="19"/>
                <w:szCs w:val="19"/>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214</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992</w:t>
            </w:r>
          </w:p>
        </w:tc>
        <w:tc>
          <w:tcPr>
            <w:tcW w:w="900" w:type="dxa"/>
            <w:vAlign w:val="bottom"/>
          </w:tcPr>
          <w:p>
            <w:pPr>
              <w:spacing w:after="0"/>
              <w:rPr>
                <w:sz w:val="19"/>
                <w:szCs w:val="19"/>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669</w:t>
            </w: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Operation and maintenance</w:t>
            </w:r>
          </w:p>
        </w:tc>
        <w:tc>
          <w:tcPr>
            <w:tcW w:w="20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294</w:t>
            </w:r>
          </w:p>
        </w:tc>
        <w:tc>
          <w:tcPr>
            <w:tcW w:w="240" w:type="dxa"/>
            <w:vAlign w:val="bottom"/>
          </w:tcPr>
          <w:p>
            <w:pPr>
              <w:spacing w:after="0"/>
              <w:rPr>
                <w:sz w:val="19"/>
                <w:szCs w:val="19"/>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266</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555</w:t>
            </w:r>
          </w:p>
        </w:tc>
        <w:tc>
          <w:tcPr>
            <w:tcW w:w="900" w:type="dxa"/>
            <w:vAlign w:val="bottom"/>
          </w:tcPr>
          <w:p>
            <w:pPr>
              <w:spacing w:after="0"/>
              <w:rPr>
                <w:sz w:val="19"/>
                <w:szCs w:val="19"/>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517</w:t>
            </w: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Depreciation</w:t>
            </w:r>
          </w:p>
        </w:tc>
        <w:tc>
          <w:tcPr>
            <w:tcW w:w="20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77</w:t>
            </w:r>
          </w:p>
        </w:tc>
        <w:tc>
          <w:tcPr>
            <w:tcW w:w="240" w:type="dxa"/>
            <w:vAlign w:val="bottom"/>
          </w:tcPr>
          <w:p>
            <w:pPr>
              <w:spacing w:after="0"/>
              <w:rPr>
                <w:sz w:val="19"/>
                <w:szCs w:val="19"/>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75</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152</w:t>
            </w:r>
          </w:p>
        </w:tc>
        <w:tc>
          <w:tcPr>
            <w:tcW w:w="900" w:type="dxa"/>
            <w:vAlign w:val="bottom"/>
          </w:tcPr>
          <w:p>
            <w:pPr>
              <w:spacing w:after="0"/>
              <w:rPr>
                <w:sz w:val="19"/>
                <w:szCs w:val="19"/>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147</w:t>
            </w:r>
          </w:p>
        </w:tc>
      </w:tr>
      <w:tr>
        <w:trPr>
          <w:trHeight w:val="212"/>
        </w:trPr>
        <w:tc>
          <w:tcPr>
            <w:tcW w:w="2780" w:type="dxa"/>
            <w:vAlign w:val="bottom"/>
          </w:tcPr>
          <w:p>
            <w:pPr>
              <w:ind w:left="260"/>
              <w:spacing w:after="0"/>
              <w:rPr>
                <w:sz w:val="20"/>
                <w:szCs w:val="20"/>
                <w:color w:val="auto"/>
              </w:rPr>
            </w:pPr>
            <w:r>
              <w:rPr>
                <w:rFonts w:ascii="Arial" w:cs="Arial" w:eastAsia="Arial" w:hAnsi="Arial"/>
                <w:sz w:val="15"/>
                <w:szCs w:val="15"/>
                <w:color w:val="auto"/>
              </w:rPr>
              <w:t>Franchise fees and other taxes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28</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24</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65</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56</w:t>
            </w:r>
          </w:p>
        </w:tc>
      </w:tr>
      <w:tr>
        <w:trPr>
          <w:trHeight w:val="224"/>
        </w:trPr>
        <w:tc>
          <w:tcPr>
            <w:tcW w:w="2780" w:type="dxa"/>
            <w:vAlign w:val="bottom"/>
          </w:tcPr>
          <w:p>
            <w:pPr>
              <w:ind w:left="42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717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579</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1,764</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1,389</w:t>
            </w: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Operating income</w:t>
            </w:r>
          </w:p>
        </w:tc>
        <w:tc>
          <w:tcPr>
            <w:tcW w:w="200" w:type="dxa"/>
            <w:vAlign w:val="bottom"/>
          </w:tcPr>
          <w:p>
            <w:pPr>
              <w:spacing w:after="0"/>
              <w:rPr>
                <w:sz w:val="20"/>
                <w:szCs w:val="20"/>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117</w:t>
            </w:r>
          </w:p>
        </w:tc>
        <w:tc>
          <w:tcPr>
            <w:tcW w:w="240" w:type="dxa"/>
            <w:vAlign w:val="bottom"/>
          </w:tcPr>
          <w:p>
            <w:pPr>
              <w:spacing w:after="0"/>
              <w:rPr>
                <w:sz w:val="20"/>
                <w:szCs w:val="20"/>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115</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252</w:t>
            </w:r>
          </w:p>
        </w:tc>
        <w:tc>
          <w:tcPr>
            <w:tcW w:w="900" w:type="dxa"/>
            <w:vAlign w:val="bottom"/>
          </w:tcPr>
          <w:p>
            <w:pPr>
              <w:spacing w:after="0"/>
              <w:rPr>
                <w:sz w:val="20"/>
                <w:szCs w:val="20"/>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225</w:t>
            </w:r>
          </w:p>
        </w:tc>
      </w:tr>
      <w:tr>
        <w:trPr>
          <w:trHeight w:val="244"/>
        </w:trPr>
        <w:tc>
          <w:tcPr>
            <w:tcW w:w="2780" w:type="dxa"/>
            <w:vAlign w:val="bottom"/>
          </w:tcPr>
          <w:p>
            <w:pPr>
              <w:ind w:left="100"/>
              <w:spacing w:after="0"/>
              <w:rPr>
                <w:sz w:val="20"/>
                <w:szCs w:val="20"/>
                <w:color w:val="auto"/>
              </w:rPr>
            </w:pPr>
            <w:r>
              <w:rPr>
                <w:rFonts w:ascii="Arial" w:cs="Arial" w:eastAsia="Arial" w:hAnsi="Arial"/>
                <w:sz w:val="15"/>
                <w:szCs w:val="15"/>
                <w:color w:val="auto"/>
              </w:rPr>
              <w:t>Other income, net</w:t>
            </w:r>
          </w:p>
        </w:tc>
        <w:tc>
          <w:tcPr>
            <w:tcW w:w="200" w:type="dxa"/>
            <w:vAlign w:val="bottom"/>
          </w:tcPr>
          <w:p>
            <w:pPr>
              <w:spacing w:after="0"/>
              <w:rPr>
                <w:sz w:val="21"/>
                <w:szCs w:val="21"/>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4</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6</w:t>
            </w:r>
          </w:p>
        </w:tc>
        <w:tc>
          <w:tcPr>
            <w:tcW w:w="900" w:type="dxa"/>
            <w:vAlign w:val="bottom"/>
          </w:tcPr>
          <w:p>
            <w:pPr>
              <w:spacing w:after="0"/>
              <w:rPr>
                <w:sz w:val="21"/>
                <w:szCs w:val="21"/>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5</w:t>
            </w:r>
          </w:p>
        </w:tc>
      </w:tr>
      <w:tr>
        <w:trPr>
          <w:trHeight w:val="219"/>
        </w:trPr>
        <w:tc>
          <w:tcPr>
            <w:tcW w:w="278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1</w:t>
            </w:r>
          </w:p>
        </w:tc>
        <w:tc>
          <w:tcPr>
            <w:tcW w:w="900" w:type="dxa"/>
            <w:vAlign w:val="bottom"/>
          </w:tcPr>
          <w:p>
            <w:pPr>
              <w:spacing w:after="0"/>
              <w:rPr>
                <w:sz w:val="19"/>
                <w:szCs w:val="19"/>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3</w:t>
            </w:r>
          </w:p>
        </w:tc>
      </w:tr>
      <w:tr>
        <w:trPr>
          <w:trHeight w:val="212"/>
        </w:trPr>
        <w:tc>
          <w:tcPr>
            <w:tcW w:w="2780" w:type="dxa"/>
            <w:vAlign w:val="bottom"/>
          </w:tcPr>
          <w:p>
            <w:pPr>
              <w:ind w:left="100"/>
              <w:spacing w:after="0"/>
              <w:rPr>
                <w:sz w:val="20"/>
                <w:szCs w:val="20"/>
                <w:color w:val="auto"/>
              </w:rPr>
            </w:pPr>
            <w:r>
              <w:rPr>
                <w:rFonts w:ascii="Arial" w:cs="Arial" w:eastAsia="Arial" w:hAnsi="Arial"/>
                <w:sz w:val="15"/>
                <w:szCs w:val="15"/>
                <w:color w:val="auto"/>
              </w:rPr>
              <w:t>Interest expense</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(18)</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(33)</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(35)</w:t>
            </w:r>
          </w:p>
        </w:tc>
      </w:tr>
      <w:tr>
        <w:trPr>
          <w:trHeight w:val="204"/>
        </w:trPr>
        <w:tc>
          <w:tcPr>
            <w:tcW w:w="2780" w:type="dxa"/>
            <w:vAlign w:val="bottom"/>
          </w:tcPr>
          <w:p>
            <w:pPr>
              <w:ind w:left="100"/>
              <w:spacing w:after="0"/>
              <w:rPr>
                <w:sz w:val="20"/>
                <w:szCs w:val="20"/>
                <w:color w:val="auto"/>
              </w:rPr>
            </w:pPr>
            <w:r>
              <w:rPr>
                <w:rFonts w:ascii="Arial" w:cs="Arial" w:eastAsia="Arial" w:hAnsi="Arial"/>
                <w:sz w:val="15"/>
                <w:szCs w:val="15"/>
                <w:color w:val="auto"/>
              </w:rPr>
              <w:t>Income before income taxes</w:t>
            </w:r>
          </w:p>
        </w:tc>
        <w:tc>
          <w:tcPr>
            <w:tcW w:w="200" w:type="dxa"/>
            <w:vAlign w:val="bottom"/>
          </w:tcPr>
          <w:p>
            <w:pPr>
              <w:spacing w:after="0"/>
              <w:rPr>
                <w:sz w:val="17"/>
                <w:szCs w:val="17"/>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104</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103</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226</w:t>
            </w:r>
          </w:p>
        </w:tc>
        <w:tc>
          <w:tcPr>
            <w:tcW w:w="900" w:type="dxa"/>
            <w:vAlign w:val="bottom"/>
          </w:tcPr>
          <w:p>
            <w:pPr>
              <w:ind w:left="100"/>
              <w:spacing w:after="0" w:line="204" w:lineRule="exact"/>
              <w:rPr>
                <w:sz w:val="20"/>
                <w:szCs w:val="20"/>
                <w:color w:val="auto"/>
              </w:rPr>
            </w:pPr>
            <w:r>
              <w:rPr>
                <w:rFonts w:ascii="Arial" w:cs="Arial" w:eastAsia="Arial" w:hAnsi="Arial"/>
                <w:sz w:val="19"/>
                <w:szCs w:val="19"/>
                <w:color w:val="auto"/>
              </w:rPr>
              <w:t>&amp;nbs p;</w:t>
            </w: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198</w:t>
            </w:r>
          </w:p>
        </w:tc>
      </w:tr>
      <w:tr>
        <w:trPr>
          <w:trHeight w:val="238"/>
        </w:trPr>
        <w:tc>
          <w:tcPr>
            <w:tcW w:w="2780" w:type="dxa"/>
            <w:vAlign w:val="bottom"/>
          </w:tcPr>
          <w:p>
            <w:pPr>
              <w:ind w:left="100"/>
              <w:spacing w:after="0"/>
              <w:rPr>
                <w:sz w:val="20"/>
                <w:szCs w:val="20"/>
                <w:color w:val="auto"/>
              </w:rPr>
            </w:pPr>
            <w:r>
              <w:rPr>
                <w:rFonts w:ascii="Arial" w:cs="Arial" w:eastAsia="Arial" w:hAnsi="Arial"/>
                <w:sz w:val="15"/>
                <w:szCs w:val="15"/>
                <w:color w:val="auto"/>
              </w:rPr>
              <w:t>Income tax expense</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(40)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(90)</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&amp; nbsp;</w:t>
            </w: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(76)</w:t>
            </w: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200" w:type="dxa"/>
            <w:vAlign w:val="bottom"/>
          </w:tcPr>
          <w:p>
            <w:pPr>
              <w:spacing w:after="0"/>
              <w:rPr>
                <w:sz w:val="20"/>
                <w:szCs w:val="20"/>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71</w:t>
            </w:r>
          </w:p>
        </w:tc>
        <w:tc>
          <w:tcPr>
            <w:tcW w:w="240" w:type="dxa"/>
            <w:vAlign w:val="bottom"/>
          </w:tcPr>
          <w:p>
            <w:pPr>
              <w:spacing w:after="0"/>
              <w:rPr>
                <w:sz w:val="20"/>
                <w:szCs w:val="20"/>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&amp;n bsp;63</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136</w:t>
            </w:r>
          </w:p>
        </w:tc>
        <w:tc>
          <w:tcPr>
            <w:tcW w:w="900" w:type="dxa"/>
            <w:vAlign w:val="bottom"/>
          </w:tcPr>
          <w:p>
            <w:pPr>
              <w:spacing w:after="0"/>
              <w:rPr>
                <w:sz w:val="20"/>
                <w:szCs w:val="20"/>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122</w:t>
            </w:r>
          </w:p>
        </w:tc>
      </w:tr>
      <w:tr>
        <w:trPr>
          <w:trHeight w:val="212"/>
        </w:trPr>
        <w:tc>
          <w:tcPr>
            <w:tcW w:w="2780" w:type="dxa"/>
            <w:vAlign w:val="bottom"/>
          </w:tcPr>
          <w:p>
            <w:pPr>
              <w:ind w:left="100"/>
              <w:spacing w:after="0"/>
              <w:rPr>
                <w:sz w:val="20"/>
                <w:szCs w:val="20"/>
                <w:color w:val="auto"/>
              </w:rPr>
            </w:pPr>
            <w:r>
              <w:rPr>
                <w:rFonts w:ascii="Arial" w:cs="Arial" w:eastAsia="Arial" w:hAnsi="Arial"/>
                <w:sz w:val="15"/>
                <w:szCs w:val="15"/>
                <w:color w:val="auto"/>
              </w:rPr>
              <w:t>Preferred dividends of subsidiary</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Earnings</w:t>
            </w:r>
          </w:p>
        </w:tc>
        <w:tc>
          <w:tcPr>
            <w:tcW w:w="200" w:type="dxa"/>
            <w:vAlign w:val="bottom"/>
          </w:tcPr>
          <w:p>
            <w:pPr>
              <w:spacing w:after="0"/>
              <w:rPr>
                <w:sz w:val="20"/>
                <w:szCs w:val="20"/>
                <w:color w:val="auto"/>
              </w:rPr>
            </w:pP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70</w:t>
            </w:r>
          </w:p>
        </w:tc>
        <w:tc>
          <w:tcPr>
            <w:tcW w:w="240" w:type="dxa"/>
            <w:vAlign w:val="bottom"/>
          </w:tcPr>
          <w:p>
            <w:pPr>
              <w:spacing w:after="0"/>
              <w:rPr>
                <w:sz w:val="20"/>
                <w:szCs w:val="20"/>
                <w:color w:val="auto"/>
              </w:rPr>
            </w:pPr>
          </w:p>
        </w:tc>
        <w:tc>
          <w:tcPr>
            <w:tcW w:w="880" w:type="dxa"/>
            <w:vAlign w:val="bottom"/>
          </w:tcPr>
          <w:p>
            <w:pPr>
              <w:jc w:val="right"/>
              <w:ind w:right="68"/>
              <w:spacing w:after="0"/>
              <w:rPr>
                <w:sz w:val="20"/>
                <w:szCs w:val="20"/>
                <w:color w:val="auto"/>
              </w:rPr>
            </w:pPr>
            <w:r>
              <w:rPr>
                <w:rFonts w:ascii="Arial" w:cs="Arial" w:eastAsia="Arial" w:hAnsi="Arial"/>
                <w:sz w:val="15"/>
                <w:szCs w:val="15"/>
                <w:color w:val="auto"/>
              </w:rPr>
              <w:t>62</w:t>
            </w:r>
          </w:p>
        </w:tc>
        <w:tc>
          <w:tcPr>
            <w:tcW w:w="920" w:type="dxa"/>
            <w:vAlign w:val="bottom"/>
          </w:tcPr>
          <w:p>
            <w:pPr>
              <w:jc w:val="right"/>
              <w:ind w:right="68"/>
              <w:spacing w:after="0"/>
              <w:rPr>
                <w:sz w:val="20"/>
                <w:szCs w:val="20"/>
                <w:color w:val="auto"/>
              </w:rPr>
            </w:pPr>
            <w:r>
              <w:rPr>
                <w:rFonts w:ascii="Arial" w:cs="Arial" w:eastAsia="Arial" w:hAnsi="Arial"/>
                <w:sz w:val="15"/>
                <w:szCs w:val="15"/>
                <w:color w:val="auto"/>
              </w:rPr>
              <w:t>135</w:t>
            </w:r>
          </w:p>
        </w:tc>
        <w:tc>
          <w:tcPr>
            <w:tcW w:w="900" w:type="dxa"/>
            <w:vAlign w:val="bottom"/>
          </w:tcPr>
          <w:p>
            <w:pPr>
              <w:spacing w:after="0"/>
              <w:rPr>
                <w:sz w:val="20"/>
                <w:szCs w:val="20"/>
                <w:color w:val="auto"/>
              </w:rPr>
            </w:pPr>
          </w:p>
        </w:tc>
        <w:tc>
          <w:tcPr>
            <w:tcW w:w="560" w:type="dxa"/>
            <w:vAlign w:val="bottom"/>
          </w:tcPr>
          <w:p>
            <w:pPr>
              <w:jc w:val="right"/>
              <w:ind w:right="67"/>
              <w:spacing w:after="0"/>
              <w:rPr>
                <w:sz w:val="20"/>
                <w:szCs w:val="20"/>
                <w:color w:val="auto"/>
              </w:rPr>
            </w:pPr>
            <w:r>
              <w:rPr>
                <w:rFonts w:ascii="Arial" w:cs="Arial" w:eastAsia="Arial" w:hAnsi="Arial"/>
                <w:sz w:val="15"/>
                <w:szCs w:val="15"/>
                <w:color w:val="auto"/>
              </w:rPr>
              <w:t>121</w:t>
            </w:r>
          </w:p>
        </w:tc>
      </w:tr>
    </w:tbl>
    <w:p>
      <w:pPr>
        <w:sectPr>
          <w:pgSz w:w="11900" w:h="16882" w:orient="portrait"/>
          <w:cols w:equalWidth="0" w:num="1">
            <w:col w:w="10583"/>
          </w:cols>
          <w:pgMar w:left="237" w:top="141" w:right="10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100"/>
              <w:spacing w:after="0"/>
              <w:rPr>
                <w:sz w:val="20"/>
                <w:szCs w:val="20"/>
                <w:color w:val="auto"/>
              </w:rPr>
            </w:pPr>
            <w:r>
              <w:rPr>
                <w:rFonts w:ascii="Arial" w:cs="Arial" w:eastAsia="Arial" w:hAnsi="Arial"/>
                <w:sz w:val="15"/>
                <w:szCs w:val="15"/>
                <w:color w:val="auto"/>
              </w:rPr>
              <w:t>Preferred dividend requirements</w:t>
            </w:r>
          </w:p>
        </w:tc>
        <w:tc>
          <w:tcPr>
            <w:tcW w:w="5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820" w:type="dxa"/>
            <w:vAlign w:val="bottom"/>
          </w:tcPr>
          <w:p>
            <w:pPr>
              <w:spacing w:after="0"/>
              <w:rPr>
                <w:sz w:val="15"/>
                <w:szCs w:val="15"/>
                <w:color w:val="auto"/>
              </w:rPr>
            </w:pP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(2)</w:t>
            </w:r>
          </w:p>
        </w:tc>
      </w:tr>
      <w:tr>
        <w:trPr>
          <w:trHeight w:val="41"/>
        </w:trPr>
        <w:tc>
          <w:tcPr>
            <w:tcW w:w="2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8"/>
        </w:trPr>
        <w:tc>
          <w:tcPr>
            <w:tcW w:w="3040" w:type="dxa"/>
            <w:vAlign w:val="bottom"/>
            <w:tcBorders>
              <w:bottom w:val="single" w:sz="8" w:color="auto"/>
            </w:tcBorders>
            <w:gridSpan w:val="2"/>
          </w:tcPr>
          <w:p>
            <w:pPr>
              <w:ind w:left="100"/>
              <w:spacing w:after="0" w:line="172" w:lineRule="exact"/>
              <w:rPr>
                <w:sz w:val="20"/>
                <w:szCs w:val="20"/>
                <w:color w:val="auto"/>
              </w:rPr>
            </w:pPr>
            <w:r>
              <w:rPr>
                <w:rFonts w:ascii="Arial" w:cs="Arial" w:eastAsia="Arial" w:hAnsi="Arial"/>
                <w:sz w:val="15"/>
                <w:szCs w:val="15"/>
                <w:color w:val="auto"/>
              </w:rPr>
              <w:t>Earnings attributable to common shares   $</w:t>
            </w:r>
          </w:p>
        </w:tc>
        <w:tc>
          <w:tcPr>
            <w:tcW w:w="520" w:type="dxa"/>
            <w:vAlign w:val="bottom"/>
            <w:tcBorders>
              <w:bottom w:val="single" w:sz="8" w:color="auto"/>
            </w:tcBorders>
          </w:tcPr>
          <w:p>
            <w:pPr>
              <w:jc w:val="right"/>
              <w:ind w:right="47"/>
              <w:spacing w:after="0" w:line="172" w:lineRule="exact"/>
              <w:rPr>
                <w:sz w:val="20"/>
                <w:szCs w:val="20"/>
                <w:color w:val="auto"/>
              </w:rPr>
            </w:pPr>
            <w:r>
              <w:rPr>
                <w:rFonts w:ascii="Arial" w:cs="Arial" w:eastAsia="Arial" w:hAnsi="Arial"/>
                <w:sz w:val="15"/>
                <w:szCs w:val="15"/>
                <w:color w:val="auto"/>
              </w:rPr>
              <w:t>69</w:t>
            </w:r>
          </w:p>
        </w:tc>
        <w:tc>
          <w:tcPr>
            <w:tcW w:w="280" w:type="dxa"/>
            <w:vAlign w:val="bottom"/>
            <w:tcBorders>
              <w:bottom w:val="single" w:sz="8" w:color="auto"/>
            </w:tcBorders>
          </w:tcPr>
          <w:p>
            <w:pPr>
              <w:jc w:val="right"/>
              <w:ind w:right="27"/>
              <w:spacing w:after="0" w:line="17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55"/>
              <w:spacing w:after="0" w:line="172" w:lineRule="exact"/>
              <w:rPr>
                <w:sz w:val="20"/>
                <w:szCs w:val="20"/>
                <w:color w:val="auto"/>
              </w:rPr>
            </w:pPr>
            <w:r>
              <w:rPr>
                <w:rFonts w:ascii="Arial" w:cs="Arial" w:eastAsia="Arial" w:hAnsi="Arial"/>
                <w:sz w:val="19"/>
                <w:szCs w:val="19"/>
                <w:color w:val="auto"/>
              </w:rPr>
              <w:t>61</w:t>
            </w:r>
          </w:p>
        </w:tc>
        <w:tc>
          <w:tcPr>
            <w:tcW w:w="260" w:type="dxa"/>
            <w:vAlign w:val="bottom"/>
            <w:tcBorders>
              <w:bottom w:val="single" w:sz="8" w:color="auto"/>
            </w:tcBorders>
          </w:tcPr>
          <w:p>
            <w:pPr>
              <w:jc w:val="right"/>
              <w:ind w:right="7"/>
              <w:spacing w:after="0" w:line="172"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67"/>
              <w:spacing w:after="0" w:line="172" w:lineRule="exact"/>
              <w:rPr>
                <w:sz w:val="20"/>
                <w:szCs w:val="20"/>
                <w:color w:val="auto"/>
              </w:rPr>
            </w:pPr>
            <w:r>
              <w:rPr>
                <w:rFonts w:ascii="Arial" w:cs="Arial" w:eastAsia="Arial" w:hAnsi="Arial"/>
                <w:sz w:val="15"/>
                <w:szCs w:val="15"/>
                <w:color w:val="auto"/>
              </w:rPr>
              <w:t>133</w:t>
            </w:r>
          </w:p>
        </w:tc>
        <w:tc>
          <w:tcPr>
            <w:tcW w:w="820" w:type="dxa"/>
            <w:vAlign w:val="bottom"/>
            <w:tcBorders>
              <w:bottom w:val="single" w:sz="8" w:color="auto"/>
            </w:tcBorders>
          </w:tcPr>
          <w:p>
            <w:pPr>
              <w:jc w:val="right"/>
              <w:ind w:right="587"/>
              <w:spacing w:after="0" w:line="172"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67"/>
              <w:spacing w:after="0" w:line="172" w:lineRule="exact"/>
              <w:rPr>
                <w:sz w:val="20"/>
                <w:szCs w:val="20"/>
                <w:color w:val="auto"/>
              </w:rPr>
            </w:pPr>
            <w:r>
              <w:rPr>
                <w:rFonts w:ascii="Arial" w:cs="Arial" w:eastAsia="Arial" w:hAnsi="Arial"/>
                <w:sz w:val="15"/>
                <w:szCs w:val="15"/>
                <w:color w:val="auto"/>
              </w:rPr>
              <w:t>119</w:t>
            </w:r>
          </w:p>
        </w:tc>
      </w:tr>
    </w:tbl>
    <w:p>
      <w:pPr>
        <w:spacing w:after="0" w:line="63"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4121150" cy="440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21150" cy="440690"/>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PACIFIC ENTERPRISES AND SUBSIDIARIES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880" w:type="dxa"/>
            <w:vAlign w:val="bottom"/>
            <w:gridSpan w:val="3"/>
            <w:vMerge w:val="restart"/>
          </w:tcPr>
          <w:p>
            <w:pPr>
              <w:jc w:val="center"/>
              <w:ind w:left="3"/>
              <w:spacing w:after="0"/>
              <w:rPr>
                <w:sz w:val="20"/>
                <w:szCs w:val="20"/>
                <w:color w:val="auto"/>
              </w:rPr>
            </w:pPr>
            <w:r>
              <w:rPr>
                <w:rFonts w:ascii="Arial" w:cs="Arial" w:eastAsia="Arial" w:hAnsi="Arial"/>
                <w:sz w:val="19"/>
                <w:szCs w:val="19"/>
                <w:color w:val="auto"/>
                <w:w w:val="87"/>
              </w:rPr>
              <w:t>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2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rPr>
              <w:t>December 31,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color w:val="auto"/>
                <w:w w:val="96"/>
              </w:rPr>
              <w:t>2010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3"/>
                <w:szCs w:val="13"/>
                <w:color w:val="auto"/>
              </w:rPr>
              <w:t>2009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3"/>
                <w:szCs w:val="13"/>
                <w:color w:val="auto"/>
              </w:rPr>
              <w:t>(unaudited)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5"/>
                <w:szCs w:val="15"/>
                <w:color w:val="auto"/>
              </w:rPr>
              <w:t>ASSETS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10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101</w:t>
            </w:r>
          </w:p>
        </w:tc>
        <w:tc>
          <w:tcPr>
            <w:tcW w:w="260" w:type="dxa"/>
            <w:vAlign w:val="bottom"/>
            <w:gridSpan w:val="2"/>
          </w:tcPr>
          <w:p>
            <w:pPr>
              <w:ind w:left="160"/>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49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Accounts receivable - trade</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567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160"/>
              <w:spacing w:after="0"/>
              <w:rPr>
                <w:sz w:val="20"/>
                <w:szCs w:val="20"/>
                <w:color w:val="auto"/>
              </w:rPr>
            </w:pPr>
            <w:r>
              <w:rPr>
                <w:rFonts w:ascii="Arial" w:cs="Arial" w:eastAsia="Arial" w:hAnsi="Arial"/>
                <w:sz w:val="15"/>
                <w:szCs w:val="15"/>
                <w:color w:val="auto"/>
              </w:rPr>
              <w:t>Accounts receivable - other</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Due from unconsolidated affiliates</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Income taxes receivable</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Inventories</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Other regulatory assets</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Total current assets&lt; /font&gt;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846</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849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520" w:type="dxa"/>
            <w:vAlign w:val="bottom"/>
          </w:tcPr>
          <w:p>
            <w:pPr>
              <w:ind w:left="100"/>
              <w:spacing w:after="0"/>
              <w:rPr>
                <w:sz w:val="20"/>
                <w:szCs w:val="20"/>
                <w:color w:val="auto"/>
              </w:rPr>
            </w:pPr>
            <w:r>
              <w:rPr>
                <w:rFonts w:ascii="Arial" w:cs="Arial" w:eastAsia="Arial" w:hAnsi="Arial"/>
                <w:sz w:val="15"/>
                <w:szCs w:val="15"/>
                <w:color w:val="auto"/>
              </w:rPr>
              <w:t>Other assets: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160"/>
              <w:spacing w:after="0"/>
              <w:rPr>
                <w:sz w:val="20"/>
                <w:szCs w:val="20"/>
                <w:color w:val="auto"/>
              </w:rPr>
            </w:pPr>
            <w:r>
              <w:rPr>
                <w:rFonts w:ascii="Arial" w:cs="Arial" w:eastAsia="Arial" w:hAnsi="Arial"/>
                <w:sz w:val="15"/>
                <w:szCs w:val="15"/>
                <w:color w:val="auto"/>
              </w:rPr>
              <w:t>Due from unconsolidated affiliate</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513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w w:val="99"/>
              </w:rPr>
              <w:t>Regulatory assets arising from pension and other postretirement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420"/>
              <w:spacing w:after="0"/>
              <w:rPr>
                <w:sz w:val="20"/>
                <w:szCs w:val="20"/>
                <w:color w:val="auto"/>
              </w:rPr>
            </w:pPr>
            <w:r>
              <w:rPr>
                <w:rFonts w:ascii="Arial" w:cs="Arial" w:eastAsia="Arial" w:hAnsi="Arial"/>
                <w:sz w:val="15"/>
                <w:szCs w:val="15"/>
                <w:color w:val="auto"/>
              </w:rPr>
              <w:t>benefit obligations</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621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617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Other regulatory assets</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131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Sundry</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38</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1,295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1,301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520" w:type="dxa"/>
            <w:vAlign w:val="bottom"/>
          </w:tcPr>
          <w:p>
            <w:pPr>
              <w:ind w:left="100"/>
              <w:spacing w:after="0"/>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51"/>
              <w:spacing w:after="0"/>
              <w:rPr>
                <w:sz w:val="20"/>
                <w:szCs w:val="20"/>
                <w:color w:val="auto"/>
              </w:rPr>
            </w:pPr>
            <w:r>
              <w:rPr>
                <w:rFonts w:ascii="Arial" w:cs="Arial" w:eastAsia="Arial" w:hAnsi="Arial"/>
                <w:sz w:val="15"/>
                <w:szCs w:val="15"/>
                <w:color w:val="auto"/>
              </w:rPr>
              <w:t>9,299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(3,682)</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(3,615)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Property, plant and equipment, net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5,763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5,684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52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gridSpan w:val="2"/>
          </w:tcPr>
          <w:p>
            <w:pPr>
              <w:jc w:val="right"/>
              <w:ind w:right="60"/>
              <w:spacing w:after="0" w:line="163" w:lineRule="exact"/>
              <w:rPr>
                <w:sz w:val="20"/>
                <w:szCs w:val="20"/>
                <w:color w:val="auto"/>
              </w:rPr>
            </w:pPr>
            <w:r>
              <w:rPr>
                <w:rFonts w:ascii="Arial" w:cs="Arial" w:eastAsia="Arial" w:hAnsi="Arial"/>
                <w:sz w:val="15"/>
                <w:szCs w:val="15"/>
                <w:color w:val="auto"/>
              </w:rPr>
              <w:t>7,904</w:t>
            </w:r>
          </w:p>
        </w:tc>
        <w:tc>
          <w:tcPr>
            <w:tcW w:w="260" w:type="dxa"/>
            <w:vAlign w:val="bottom"/>
            <w:tcBorders>
              <w:bottom w:val="single" w:sz="8" w:color="auto"/>
            </w:tcBorders>
            <w:gridSpan w:val="2"/>
          </w:tcPr>
          <w:p>
            <w:pPr>
              <w:ind w:left="160"/>
              <w:spacing w:after="0" w:line="163"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gridSpan w:val="2"/>
          </w:tcPr>
          <w:p>
            <w:pPr>
              <w:jc w:val="right"/>
              <w:ind w:right="51"/>
              <w:spacing w:after="0" w:line="163" w:lineRule="exact"/>
              <w:rPr>
                <w:sz w:val="20"/>
                <w:szCs w:val="20"/>
                <w:color w:val="auto"/>
              </w:rPr>
            </w:pPr>
            <w:r>
              <w:rPr>
                <w:rFonts w:ascii="Arial" w:cs="Arial" w:eastAsia="Arial" w:hAnsi="Arial"/>
                <w:sz w:val="15"/>
                <w:szCs w:val="15"/>
                <w:color w:val="auto"/>
              </w:rPr>
              <w:t>7,834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45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&lt; tr style=HEIGHT:10.5pt&gt;</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0C0C0"/>
          </w:tcPr>
          <w:p>
            <w:pPr>
              <w:ind w:left="100"/>
              <w:spacing w:after="0"/>
              <w:rPr>
                <w:sz w:val="20"/>
                <w:szCs w:val="20"/>
                <w:color w:val="auto"/>
              </w:rPr>
            </w:pPr>
            <w:r>
              <w:rPr>
                <w:rFonts w:ascii="Arial" w:cs="Arial" w:eastAsia="Arial" w:hAnsi="Arial"/>
                <w:sz w:val="19"/>
                <w:szCs w:val="19"/>
                <w:b w:val="1"/>
                <w:bCs w:val="1"/>
                <w:color w:val="auto"/>
              </w:rPr>
              <w:t>PACIFIC ENTERPRISES AND SUBSIDIARIES</w:t>
            </w:r>
          </w:p>
        </w:tc>
        <w:tc>
          <w:tcPr>
            <w:tcW w:w="2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20" w:type="dxa"/>
            <w:vAlign w:val="bottom"/>
            <w:shd w:val="clear" w:color="auto" w:fill="C0C0C0"/>
          </w:tcPr>
          <w:p>
            <w:pPr>
              <w:ind w:left="100"/>
              <w:spacing w:after="0"/>
              <w:rPr>
                <w:sz w:val="20"/>
                <w:szCs w:val="20"/>
                <w:color w:val="auto"/>
              </w:rPr>
            </w:pPr>
            <w:r>
              <w:rPr>
                <w:rFonts w:ascii="Arial" w:cs="Arial" w:eastAsia="Arial" w:hAnsi="Arial"/>
                <w:sz w:val="15"/>
                <w:szCs w:val="15"/>
                <w:b w:val="1"/>
                <w:bCs w:val="1"/>
                <w:color w:val="auto"/>
              </w:rPr>
              <w:t>CONDENSED CONSOLIDATED BALANCE SHEETS</w:t>
            </w:r>
          </w:p>
        </w:tc>
        <w:tc>
          <w:tcPr>
            <w:tcW w:w="2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3"/>
                <w:szCs w:val="13"/>
                <w:color w:val="auto"/>
              </w:rPr>
              <w:t>June 30,</w:t>
            </w:r>
          </w:p>
        </w:tc>
        <w:tc>
          <w:tcPr>
            <w:tcW w:w="1000" w:type="dxa"/>
            <w:vAlign w:val="bottom"/>
            <w:gridSpan w:val="2"/>
          </w:tcPr>
          <w:p>
            <w:pPr>
              <w:ind w:left="10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06"/>
        </w:trPr>
        <w:tc>
          <w:tcPr>
            <w:tcW w:w="4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3"/>
                <w:szCs w:val="13"/>
                <w:color w:val="auto"/>
                <w:w w:val="96"/>
              </w:rPr>
              <w:t>2010</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5"/>
                <w:szCs w:val="15"/>
                <w:color w:val="auto"/>
              </w:rPr>
              <w:t>LIABILITIES AND EQUITY</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100"/>
              <w:spacing w:after="0"/>
              <w:rPr>
                <w:sz w:val="20"/>
                <w:szCs w:val="20"/>
                <w:color w:val="auto"/>
              </w:rPr>
            </w:pPr>
            <w:r>
              <w:rPr>
                <w:rFonts w:ascii="Arial" w:cs="Arial" w:eastAsia="Arial" w:hAnsi="Arial"/>
                <w:sz w:val="15"/>
                <w:szCs w:val="15"/>
                <w:color w:val="auto"/>
              </w:rPr>
              <w:t>Current liabilities: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60"/>
              <w:spacing w:after="0"/>
              <w:rPr>
                <w:sz w:val="20"/>
                <w:szCs w:val="20"/>
                <w:color w:val="auto"/>
              </w:rPr>
            </w:pPr>
            <w:r>
              <w:rPr>
                <w:rFonts w:ascii="Arial" w:cs="Arial" w:eastAsia="Arial" w:hAnsi="Arial"/>
                <w:sz w:val="15"/>
                <w:szCs w:val="15"/>
                <w:color w:val="auto"/>
              </w:rPr>
              <w:t>Accounts payable - trade</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jc w:val="right"/>
              <w:ind w:right="95"/>
              <w:spacing w:after="0"/>
              <w:rPr>
                <w:sz w:val="20"/>
                <w:szCs w:val="20"/>
                <w:color w:val="auto"/>
              </w:rPr>
            </w:pPr>
            <w:r>
              <w:rPr>
                <w:rFonts w:ascii="Arial" w:cs="Arial" w:eastAsia="Arial" w:hAnsi="Arial"/>
                <w:sz w:val="15"/>
                <w:szCs w:val="15"/>
                <w:color w:val="auto"/>
                <w:w w:val="95"/>
              </w:rPr>
              <w: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160</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Accounts payable - other</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62</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Due to unconsolidated affiliates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95</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Regulatory balancing accounts, net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337</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Customer deposits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80</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88</w:t>
            </w:r>
          </w:p>
        </w:tc>
        <w:tc>
          <w:tcPr>
            <w:tcW w:w="260" w:type="dxa"/>
            <w:vAlign w:val="bottom"/>
          </w:tcPr>
          <w:p>
            <w:pPr>
              <w:spacing w:after="0"/>
              <w:rPr>
                <w:sz w:val="17"/>
                <w:szCs w:val="17"/>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264</w:t>
            </w:r>
          </w:p>
        </w:tc>
        <w:tc>
          <w:tcPr>
            <w:tcW w:w="260" w:type="dxa"/>
            <w:vAlign w:val="bottom"/>
          </w:tcPr>
          <w:p>
            <w:pPr>
              <w:spacing w:after="0"/>
              <w:rPr>
                <w:sz w:val="17"/>
                <w:szCs w:val="17"/>
                <w:color w:val="auto"/>
              </w:rPr>
            </w:pPr>
          </w:p>
        </w:tc>
        <w:tc>
          <w:tcPr>
            <w:tcW w:w="740" w:type="dxa"/>
            <w:vAlign w:val="bottom"/>
          </w:tcPr>
          <w:p>
            <w:pPr>
              <w:jc w:val="right"/>
              <w:ind w:right="66"/>
              <w:spacing w:after="0" w:line="206" w:lineRule="exact"/>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38"/>
        </w:trPr>
        <w:tc>
          <w:tcPr>
            <w:tcW w:w="452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9"/>
                <w:szCs w:val="19"/>
                <w:color w:val="auto"/>
              </w:rPr>
              <w:t>151</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211"/>
        </w:trPr>
        <w:tc>
          <w:tcPr>
            <w:tcW w:w="4520" w:type="dxa"/>
            <w:vAlign w:val="bottom"/>
          </w:tcPr>
          <w:p>
            <w:pPr>
              <w:ind w:left="480"/>
              <w:spacing w:after="0" w:line="212" w:lineRule="exact"/>
              <w:rPr>
                <w:sz w:val="20"/>
                <w:szCs w:val="20"/>
                <w:color w:val="auto"/>
              </w:rPr>
            </w:pPr>
            <w:r>
              <w:rPr>
                <w:rFonts w:ascii="Arial" w:cs="Arial" w:eastAsia="Arial" w:hAnsi="Arial"/>
                <w:sz w:val="19"/>
                <w:szCs w:val="19"/>
                <w:color w:val="auto"/>
              </w:rPr>
              <w:t>Total current liabilities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1,241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988</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Arial" w:cs="Arial" w:eastAsia="Arial" w:hAnsi="Arial"/>
                <w:sz w:val="15"/>
                <w:szCs w:val="15"/>
                <w:color w:val="auto"/>
              </w:rPr>
              <w:t>Long-term debt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1,022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68"/>
        </w:trPr>
        <w:tc>
          <w:tcPr>
            <w:tcW w:w="4520" w:type="dxa"/>
            <w:vAlign w:val="bottom"/>
          </w:tcPr>
          <w:p>
            <w:pPr>
              <w:ind w:left="100"/>
              <w:spacing w:after="0"/>
              <w:rPr>
                <w:sz w:val="20"/>
                <w:szCs w:val="20"/>
                <w:color w:val="auto"/>
              </w:rPr>
            </w:pPr>
            <w:r>
              <w:rPr>
                <w:rFonts w:ascii="Arial" w:cs="Arial" w:eastAsia="Arial" w:hAnsi="Arial"/>
                <w:sz w:val="15"/>
                <w:szCs w:val="15"/>
                <w:color w:val="auto"/>
              </w:rPr>
              <w:t>Deferred credits and other liabilities:</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Customer advances for construction</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125</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19"/>
        </w:trPr>
        <w:tc>
          <w:tcPr>
            <w:tcW w:w="5400" w:type="dxa"/>
            <w:vAlign w:val="bottom"/>
            <w:gridSpan w:val="4"/>
          </w:tcPr>
          <w:p>
            <w:pPr>
              <w:ind w:left="260"/>
              <w:spacing w:after="0"/>
              <w:rPr>
                <w:sz w:val="20"/>
                <w:szCs w:val="20"/>
                <w:color w:val="auto"/>
              </w:rPr>
            </w:pPr>
            <w:r>
              <w:rPr>
                <w:rFonts w:ascii="Arial" w:cs="Arial" w:eastAsia="Arial" w:hAnsi="Arial"/>
                <w:sz w:val="15"/>
                <w:szCs w:val="15"/>
                <w:color w:val="auto"/>
              </w:rPr>
              <w:t>Pension and other postretirement benefit obligations, net of plan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649</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311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Deferred investment tax credits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Regulatory liabilities arising from removal obligations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1,240&amp;nbs p;</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Asset retirement obligations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681</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662</w:t>
            </w:r>
          </w:p>
        </w:tc>
        <w:tc>
          <w:tcPr>
            <w:tcW w:w="0" w:type="dxa"/>
            <w:vAlign w:val="bottom"/>
          </w:tcPr>
          <w:p>
            <w:pPr>
              <w:spacing w:after="0"/>
              <w:rPr>
                <w:sz w:val="1"/>
                <w:szCs w:val="1"/>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Deferred taxes refundable in rates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154</w:t>
            </w:r>
          </w:p>
        </w:tc>
        <w:tc>
          <w:tcPr>
            <w:tcW w:w="260" w:type="dxa"/>
            <w:vAlign w:val="bottom"/>
          </w:tcPr>
          <w:p>
            <w:pPr>
              <w:spacing w:after="0"/>
              <w:rPr>
                <w:sz w:val="19"/>
                <w:szCs w:val="19"/>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Deferred credits and other</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193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Total deferred credits and other liabilities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3,379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3,335</w:t>
            </w:r>
          </w:p>
        </w:tc>
        <w:tc>
          <w:tcPr>
            <w:tcW w:w="0" w:type="dxa"/>
            <w:vAlign w:val="bottom"/>
          </w:tcPr>
          <w:p>
            <w:pPr>
              <w:spacing w:after="0"/>
              <w:rPr>
                <w:sz w:val="1"/>
                <w:szCs w:val="1"/>
                <w:color w:val="auto"/>
              </w:rPr>
            </w:pPr>
          </w:p>
        </w:tc>
      </w:tr>
      <w:tr>
        <w:trPr>
          <w:trHeight w:val="438"/>
        </w:trPr>
        <w:tc>
          <w:tcPr>
            <w:tcW w:w="4520" w:type="dxa"/>
            <w:vAlign w:val="bottom"/>
          </w:tcPr>
          <w:p>
            <w:pPr>
              <w:ind w:left="100"/>
              <w:spacing w:after="0"/>
              <w:rPr>
                <w:sz w:val="20"/>
                <w:szCs w:val="20"/>
                <w:color w:val="auto"/>
              </w:rPr>
            </w:pPr>
            <w:r>
              <w:rPr>
                <w:rFonts w:ascii="Arial" w:cs="Arial" w:eastAsia="Arial" w:hAnsi="Arial"/>
                <w:sz w:val="15"/>
                <w:szCs w:val="15"/>
                <w:color w:val="auto"/>
              </w:rPr>
              <w:t>Commitments and contingencies (Note 10)</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520" w:type="dxa"/>
            <w:vAlign w:val="bottom"/>
          </w:tcPr>
          <w:p>
            <w:pPr>
              <w:ind w:left="100"/>
              <w:spacing w:after="0"/>
              <w:rPr>
                <w:sz w:val="20"/>
                <w:szCs w:val="20"/>
                <w:color w:val="auto"/>
              </w:rPr>
            </w:pPr>
            <w:r>
              <w:rPr>
                <w:rFonts w:ascii="Arial" w:cs="Arial" w:eastAsia="Arial" w:hAnsi="Arial"/>
                <w:sz w:val="15"/>
                <w:szCs w:val="15"/>
                <w:color w:val="auto"/>
              </w:rPr>
              <w:t>Equity:</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9"/>
                <w:szCs w:val="19"/>
                <w:color w:val="auto"/>
                <w:w w:val="96"/>
              </w:rPr>
              <w:t>&amp;nbs p;</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20" w:type="dxa"/>
            <w:vAlign w:val="bottom"/>
          </w:tcPr>
          <w:p>
            <w:pPr>
              <w:ind w:left="260"/>
              <w:spacing w:after="0"/>
              <w:rPr>
                <w:sz w:val="20"/>
                <w:szCs w:val="20"/>
                <w:color w:val="auto"/>
              </w:rPr>
            </w:pPr>
            <w:r>
              <w:rPr>
                <w:rFonts w:ascii="Arial" w:cs="Arial" w:eastAsia="Arial" w:hAnsi="Arial"/>
                <w:sz w:val="15"/>
                <w:szCs w:val="15"/>
                <w:color w:val="auto"/>
              </w:rPr>
              <w:t>Preferred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80</w:t>
            </w:r>
          </w:p>
        </w:tc>
        <w:tc>
          <w:tcPr>
            <w:tcW w:w="260" w:type="dxa"/>
            <w:vAlign w:val="bottom"/>
          </w:tcPr>
          <w:p>
            <w:pPr>
              <w:spacing w:after="0"/>
              <w:rPr>
                <w:sz w:val="18"/>
                <w:szCs w:val="18"/>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19"/>
        </w:trPr>
        <w:tc>
          <w:tcPr>
            <w:tcW w:w="5400" w:type="dxa"/>
            <w:vAlign w:val="bottom"/>
            <w:gridSpan w:val="4"/>
          </w:tcPr>
          <w:p>
            <w:pPr>
              <w:ind w:left="260"/>
              <w:spacing w:after="0"/>
              <w:rPr>
                <w:sz w:val="20"/>
                <w:szCs w:val="20"/>
                <w:color w:val="auto"/>
              </w:rPr>
            </w:pPr>
            <w:r>
              <w:rPr>
                <w:rFonts w:ascii="Arial" w:cs="Arial" w:eastAsia="Arial" w:hAnsi="Arial"/>
                <w:sz w:val="15"/>
                <w:szCs w:val="15"/>
                <w:color w:val="auto"/>
              </w:rPr>
              <w:t>Common stock (600 million shares authorized; 84 million shares outstanding;</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1" w:right="1440" w:bottom="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ind w:left="420"/>
              <w:spacing w:after="0"/>
              <w:rPr>
                <w:sz w:val="20"/>
                <w:szCs w:val="20"/>
                <w:color w:val="auto"/>
              </w:rPr>
            </w:pPr>
            <w:r>
              <w:rPr>
                <w:rFonts w:ascii="Arial" w:cs="Arial" w:eastAsia="Arial" w:hAnsi="Arial"/>
                <w:sz w:val="15"/>
                <w:szCs w:val="15"/>
                <w:color w:val="auto"/>
              </w:rPr>
              <w:t>no par value)</w:t>
            </w:r>
          </w:p>
        </w:tc>
        <w:tc>
          <w:tcPr>
            <w:tcW w:w="50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Arial" w:cs="Arial" w:eastAsia="Arial" w:hAnsi="Arial"/>
                <w:sz w:val="15"/>
                <w:szCs w:val="15"/>
                <w:color w:val="auto"/>
              </w:rPr>
              <w:t>1,462</w:t>
            </w:r>
          </w:p>
        </w:tc>
        <w:tc>
          <w:tcPr>
            <w:tcW w:w="2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1,462</w:t>
            </w:r>
          </w:p>
        </w:tc>
      </w:tr>
      <w:tr>
        <w:trPr>
          <w:trHeight w:val="268"/>
        </w:trPr>
        <w:tc>
          <w:tcPr>
            <w:tcW w:w="534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500" w:type="dxa"/>
            <w:vAlign w:val="bottom"/>
          </w:tcPr>
          <w:p>
            <w:pPr>
              <w:spacing w:after="0"/>
              <w:rPr>
                <w:sz w:val="23"/>
                <w:szCs w:val="23"/>
                <w:color w:val="auto"/>
              </w:rPr>
            </w:pPr>
          </w:p>
        </w:tc>
        <w:tc>
          <w:tcPr>
            <w:tcW w:w="860" w:type="dxa"/>
            <w:vAlign w:val="bottom"/>
          </w:tcPr>
          <w:p>
            <w:pPr>
              <w:jc w:val="right"/>
              <w:ind w:right="67"/>
              <w:spacing w:after="0"/>
              <w:rPr>
                <w:sz w:val="20"/>
                <w:szCs w:val="20"/>
                <w:color w:val="auto"/>
              </w:rPr>
            </w:pPr>
            <w:r>
              <w:rPr>
                <w:rFonts w:ascii="Arial" w:cs="Arial" w:eastAsia="Arial" w:hAnsi="Arial"/>
                <w:sz w:val="15"/>
                <w:szCs w:val="15"/>
                <w:color w:val="auto"/>
              </w:rPr>
              <w:t>724</w:t>
            </w:r>
          </w:p>
        </w:tc>
        <w:tc>
          <w:tcPr>
            <w:tcW w:w="280" w:type="dxa"/>
            <w:vAlign w:val="bottom"/>
          </w:tcPr>
          <w:p>
            <w:pPr>
              <w:spacing w:after="0"/>
              <w:rPr>
                <w:sz w:val="23"/>
                <w:szCs w:val="23"/>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691</w:t>
            </w:r>
          </w:p>
        </w:tc>
      </w:tr>
      <w:tr>
        <w:trPr>
          <w:trHeight w:val="212"/>
        </w:trPr>
        <w:tc>
          <w:tcPr>
            <w:tcW w:w="5340" w:type="dxa"/>
            <w:vAlign w:val="bottom"/>
          </w:tcPr>
          <w:p>
            <w:pPr>
              <w:ind w:left="260"/>
              <w:spacing w:after="0"/>
              <w:rPr>
                <w:sz w:val="20"/>
                <w:szCs w:val="20"/>
                <w:color w:val="auto"/>
              </w:rPr>
            </w:pPr>
            <w:r>
              <w:rPr>
                <w:rFonts w:ascii="Arial" w:cs="Arial" w:eastAsia="Arial" w:hAnsi="Arial"/>
                <w:sz w:val="15"/>
                <w:szCs w:val="15"/>
                <w:color w:val="auto"/>
              </w:rPr>
              <w:t>Accumulated other comprehensive income (loss)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(24)</w:t>
            </w: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w:t>
            </w:r>
          </w:p>
        </w:tc>
      </w:tr>
      <w:tr>
        <w:trPr>
          <w:trHeight w:val="219"/>
        </w:trPr>
        <w:tc>
          <w:tcPr>
            <w:tcW w:w="5340" w:type="dxa"/>
            <w:vAlign w:val="bottom"/>
          </w:tcPr>
          <w:p>
            <w:pPr>
              <w:ind w:left="420"/>
              <w:spacing w:after="0"/>
              <w:rPr>
                <w:sz w:val="20"/>
                <w:szCs w:val="20"/>
                <w:color w:val="auto"/>
              </w:rPr>
            </w:pPr>
            <w:r>
              <w:rPr>
                <w:rFonts w:ascii="Arial" w:cs="Arial" w:eastAsia="Arial" w:hAnsi="Arial"/>
                <w:sz w:val="15"/>
                <w:szCs w:val="15"/>
                <w:color w:val="auto"/>
              </w:rPr>
              <w:t>Total Pacific Enterprises shareholders' equity</w:t>
            </w:r>
          </w:p>
        </w:tc>
        <w:tc>
          <w:tcPr>
            <w:tcW w:w="500" w:type="dxa"/>
            <w:vAlign w:val="bottom"/>
          </w:tcPr>
          <w:p>
            <w:pPr>
              <w:spacing w:after="0"/>
              <w:rPr>
                <w:sz w:val="19"/>
                <w:szCs w:val="19"/>
                <w:color w:val="auto"/>
              </w:rPr>
            </w:pPr>
          </w:p>
        </w:tc>
        <w:tc>
          <w:tcPr>
            <w:tcW w:w="860" w:type="dxa"/>
            <w:vAlign w:val="bottom"/>
          </w:tcPr>
          <w:p>
            <w:pPr>
              <w:jc w:val="right"/>
              <w:ind w:right="67"/>
              <w:spacing w:after="0"/>
              <w:rPr>
                <w:sz w:val="20"/>
                <w:szCs w:val="20"/>
                <w:color w:val="auto"/>
              </w:rPr>
            </w:pPr>
            <w:r>
              <w:rPr>
                <w:rFonts w:ascii="Arial" w:cs="Arial" w:eastAsia="Arial" w:hAnsi="Arial"/>
                <w:sz w:val="15"/>
                <w:szCs w:val="15"/>
                <w:color w:val="auto"/>
              </w:rPr>
              <w:t>2,242</w:t>
            </w:r>
          </w:p>
        </w:tc>
        <w:tc>
          <w:tcPr>
            <w:tcW w:w="2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2,208</w:t>
            </w:r>
          </w:p>
        </w:tc>
      </w:tr>
      <w:tr>
        <w:trPr>
          <w:trHeight w:val="212"/>
        </w:trPr>
        <w:tc>
          <w:tcPr>
            <w:tcW w:w="5340" w:type="dxa"/>
            <w:vAlign w:val="bottom"/>
          </w:tcPr>
          <w:p>
            <w:pPr>
              <w:ind w:left="260"/>
              <w:spacing w:after="0"/>
              <w:rPr>
                <w:sz w:val="20"/>
                <w:szCs w:val="20"/>
                <w:color w:val="auto"/>
              </w:rPr>
            </w:pPr>
            <w:r>
              <w:rPr>
                <w:rFonts w:ascii="Arial" w:cs="Arial" w:eastAsia="Arial" w:hAnsi="Arial"/>
                <w:sz w:val="15"/>
                <w:szCs w:val="15"/>
                <w:color w:val="auto"/>
              </w:rPr>
              <w:t>Preferred stock of subsidiary</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20</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w:t>
            </w:r>
          </w:p>
        </w:tc>
      </w:tr>
      <w:tr>
        <w:trPr>
          <w:trHeight w:val="211"/>
        </w:trPr>
        <w:tc>
          <w:tcPr>
            <w:tcW w:w="5340" w:type="dxa"/>
            <w:vAlign w:val="bottom"/>
          </w:tcPr>
          <w:p>
            <w:pPr>
              <w:ind w:left="420"/>
              <w:spacing w:after="0"/>
              <w:rPr>
                <w:sz w:val="20"/>
                <w:szCs w:val="20"/>
                <w:color w:val="auto"/>
              </w:rPr>
            </w:pPr>
            <w:r>
              <w:rPr>
                <w:rFonts w:ascii="Arial" w:cs="Arial" w:eastAsia="Arial" w:hAnsi="Arial"/>
                <w:sz w:val="15"/>
                <w:szCs w:val="15"/>
                <w:color w:val="auto"/>
              </w:rPr>
              <w:t>Total equity</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2,262</w:t>
            </w: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2,228</w:t>
            </w:r>
          </w:p>
        </w:tc>
      </w:tr>
      <w:tr>
        <w:trPr>
          <w:trHeight w:val="179"/>
        </w:trPr>
        <w:tc>
          <w:tcPr>
            <w:tcW w:w="53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liabilities and equity</w:t>
            </w:r>
          </w:p>
        </w:tc>
        <w:tc>
          <w:tcPr>
            <w:tcW w:w="500" w:type="dxa"/>
            <w:vAlign w:val="bottom"/>
            <w:tcBorders>
              <w:bottom w:val="single" w:sz="8" w:color="auto"/>
            </w:tcBorders>
          </w:tcPr>
          <w:p>
            <w:pPr>
              <w:jc w:val="right"/>
              <w:ind w:right="267"/>
              <w:spacing w:after="0" w:line="163"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7,904</w:t>
            </w:r>
          </w:p>
        </w:tc>
        <w:tc>
          <w:tcPr>
            <w:tcW w:w="28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rPr>
              <w:t>7,834</w:t>
            </w: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4097655" cy="440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97655" cy="440690"/>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PACIFIC ENTERPRISES AND SUBSIDIARIES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STATEMENTS OF CONSOLIDATED CASH FLOWS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47" w:lineRule="exact"/>
        <w:rPr>
          <w:sz w:val="20"/>
          <w:szCs w:val="20"/>
          <w:color w:val="auto"/>
        </w:rPr>
      </w:pPr>
    </w:p>
    <w:p>
      <w:pPr>
        <w:jc w:val="center"/>
        <w:ind w:right="-760"/>
        <w:spacing w:after="0"/>
        <w:rPr>
          <w:sz w:val="20"/>
          <w:szCs w:val="20"/>
          <w:color w:val="auto"/>
        </w:rPr>
      </w:pPr>
      <w:r>
        <w:rPr>
          <w:rFonts w:ascii="Arial" w:cs="Arial" w:eastAsia="Arial" w:hAnsi="Arial"/>
          <w:sz w:val="13"/>
          <w:szCs w:val="13"/>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18415</wp:posOffset>
            </wp:positionV>
            <wp:extent cx="12141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86" w:lineRule="exact"/>
        <w:rPr>
          <w:sz w:val="20"/>
          <w:szCs w:val="20"/>
          <w:color w:val="auto"/>
        </w:rPr>
      </w:pPr>
    </w:p>
    <w:p>
      <w:pPr>
        <w:ind w:left="4860"/>
        <w:spacing w:after="0"/>
        <w:tabs>
          <w:tab w:leader="none" w:pos="5820" w:val="left"/>
        </w:tabs>
        <w:rPr>
          <w:sz w:val="20"/>
          <w:szCs w:val="20"/>
          <w:color w:val="auto"/>
        </w:rPr>
      </w:pPr>
      <w:r>
        <w:rPr>
          <w:rFonts w:ascii="Arial" w:cs="Arial" w:eastAsia="Arial" w:hAnsi="Arial"/>
          <w:sz w:val="13"/>
          <w:szCs w:val="13"/>
          <w:color w:val="auto"/>
        </w:rPr>
        <w:t>2010</w:t>
      </w:r>
      <w:r>
        <w:rPr>
          <w:sz w:val="20"/>
          <w:szCs w:val="20"/>
          <w:color w:val="auto"/>
        </w:rPr>
        <w:tab/>
      </w:r>
      <w:r>
        <w:rPr>
          <w:rFonts w:ascii="Arial" w:cs="Arial" w:eastAsia="Arial" w:hAnsi="Arial"/>
          <w:sz w:val="13"/>
          <w:szCs w:val="13"/>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40976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spacing w:after="0" w:line="62"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(unaudited)</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FLOWS FROM OPERATING ACTIVITIES</w:t>
      </w:r>
    </w:p>
    <w:p>
      <w:pPr>
        <w:spacing w:after="0" w:line="22" w:lineRule="exact"/>
        <w:rPr>
          <w:sz w:val="20"/>
          <w:szCs w:val="20"/>
          <w:color w:val="auto"/>
        </w:rPr>
      </w:pPr>
    </w:p>
    <w:p>
      <w:pPr>
        <w:ind w:left="260" w:right="3899"/>
        <w:spacing w:after="0" w:line="275" w:lineRule="auto"/>
        <w:rPr>
          <w:sz w:val="20"/>
          <w:szCs w:val="20"/>
          <w:color w:val="auto"/>
        </w:rPr>
      </w:pPr>
      <w:r>
        <w:rPr>
          <w:rFonts w:ascii="Arial" w:cs="Arial" w:eastAsia="Arial" w:hAnsi="Arial"/>
          <w:sz w:val="15"/>
          <w:szCs w:val="15"/>
          <w:color w:val="auto"/>
        </w:rPr>
        <w:t>Net income $ 136 $ 122 Adjustments to reconcile net income to net cash provided by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operating activities:</w:t>
      </w:r>
    </w:p>
    <w:p>
      <w:pPr>
        <w:sectPr>
          <w:pgSz w:w="11900" w:h="16907" w:orient="portrait"/>
          <w:cols w:equalWidth="0" w:num="1">
            <w:col w:w="10219"/>
          </w:cols>
          <w:pgMar w:left="240" w:top="141" w:right="1440" w:bottom="0" w:gutter="0" w:footer="0" w:header="0"/>
        </w:sectPr>
      </w:pPr>
    </w:p>
    <w:p>
      <w:pPr>
        <w:spacing w:after="0" w:line="47" w:lineRule="exact"/>
        <w:rPr>
          <w:sz w:val="20"/>
          <w:szCs w:val="20"/>
          <w:color w:val="auto"/>
        </w:rPr>
      </w:pPr>
    </w:p>
    <w:p>
      <w:pPr>
        <w:ind w:left="660" w:hanging="285"/>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Depreciation</w:t>
      </w:r>
    </w:p>
    <w:p>
      <w:pPr>
        <w:spacing w:after="0" w:line="4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Deferred income taxes and investment tax credits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Net change in other working capital compon ents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Changes in other assets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Changes in other liabilities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Net cash provided by operating activities</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FLOWS FROM INVESTING ACTIVITIES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Expenditures for property, plant and equipment</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Decrease (increase) in loans to affiliates, net</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Net cash used in investing activities</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FLOWS FROM FINANCING ACTIVITIES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Common dividends paid</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Preferred dividends paid</w:t>
      </w:r>
    </w:p>
    <w:p>
      <w:pPr>
        <w:ind w:left="300"/>
        <w:spacing w:after="0"/>
        <w:rPr>
          <w:sz w:val="20"/>
          <w:szCs w:val="20"/>
          <w:color w:val="auto"/>
        </w:rPr>
      </w:pPr>
      <w:r>
        <w:rPr>
          <w:rFonts w:ascii="Arial" w:cs="Arial" w:eastAsia="Arial" w:hAnsi="Arial"/>
          <w:sz w:val="19"/>
          <w:szCs w:val="19"/>
          <w:color w:val="auto"/>
        </w:rPr>
        <w:t>Preferred dividends paid by subsidiary</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Net cash used in financing activities</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Increase in cash and cash equivalents</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and cash equivalents, January 1</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and cash equivalents, June 30</w:t>
      </w:r>
    </w:p>
    <w:p>
      <w:pPr>
        <w:spacing w:after="0" w:line="290" w:lineRule="exact"/>
        <w:rPr>
          <w:sz w:val="20"/>
          <w:szCs w:val="20"/>
          <w:color w:val="auto"/>
        </w:rPr>
      </w:pPr>
    </w:p>
    <w:p>
      <w:pPr>
        <w:ind w:left="260" w:hanging="162"/>
        <w:spacing w:after="0" w:line="293" w:lineRule="auto"/>
        <w:rPr>
          <w:sz w:val="20"/>
          <w:szCs w:val="20"/>
          <w:color w:val="auto"/>
        </w:rPr>
      </w:pPr>
      <w:r>
        <w:rPr>
          <w:rFonts w:ascii="Arial" w:cs="Arial" w:eastAsia="Arial" w:hAnsi="Arial"/>
          <w:sz w:val="15"/>
          <w:szCs w:val="15"/>
          <w:color w:val="auto"/>
        </w:rPr>
        <w:t>SUPPLEMENTAL DISCLOSURE OF CASH FLOW INFORMATION Interest payments, net of amounts capitalized</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Income tax payments, net of refunds</w:t>
      </w:r>
    </w:p>
    <w:p>
      <w:pPr>
        <w:spacing w:after="0" w:line="266" w:lineRule="exact"/>
        <w:rPr>
          <w:sz w:val="20"/>
          <w:szCs w:val="20"/>
          <w:color w:val="auto"/>
        </w:rPr>
      </w:pPr>
    </w:p>
    <w:p>
      <w:pPr>
        <w:ind w:left="260" w:right="340" w:hanging="162"/>
        <w:spacing w:after="0" w:line="293" w:lineRule="auto"/>
        <w:rPr>
          <w:sz w:val="20"/>
          <w:szCs w:val="20"/>
          <w:color w:val="auto"/>
        </w:rPr>
      </w:pPr>
      <w:r>
        <w:rPr>
          <w:rFonts w:ascii="Arial" w:cs="Arial" w:eastAsia="Arial" w:hAnsi="Arial"/>
          <w:sz w:val="15"/>
          <w:szCs w:val="15"/>
          <w:color w:val="auto"/>
        </w:rPr>
        <w:t>SUPPLEMENTAL DISCLOSURE OF NONCASH ACTIVITIES Dividends declared but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409765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9765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5"/>
          <w:szCs w:val="15"/>
          <w:color w:val="auto"/>
        </w:rPr>
        <w:t>147</w:t>
      </w:r>
    </w:p>
    <w:p>
      <w:pPr>
        <w:spacing w:after="0" w:line="47" w:lineRule="exact"/>
        <w:rPr>
          <w:sz w:val="20"/>
          <w:szCs w:val="20"/>
          <w:color w:val="auto"/>
        </w:rPr>
      </w:pPr>
    </w:p>
    <w:p>
      <w:pPr>
        <w:ind w:left="1620" w:hanging="838"/>
        <w:spacing w:after="0"/>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20</w:t>
      </w:r>
    </w:p>
    <w:p>
      <w:pPr>
        <w:spacing w:after="0" w:line="46" w:lineRule="exact"/>
        <w:rPr>
          <w:rFonts w:ascii="Arial" w:cs="Arial" w:eastAsia="Arial" w:hAnsi="Arial"/>
          <w:sz w:val="15"/>
          <w:szCs w:val="15"/>
          <w:color w:val="auto"/>
        </w:rPr>
      </w:pPr>
    </w:p>
    <w:p>
      <w:pPr>
        <w:ind w:left="1120" w:hanging="979"/>
        <w:spacing w:after="0"/>
        <w:tabs>
          <w:tab w:leader="none" w:pos="1120" w:val="left"/>
        </w:tabs>
        <w:numPr>
          <w:ilvl w:val="0"/>
          <w:numId w:val="9"/>
        </w:numPr>
        <w:rPr>
          <w:rFonts w:ascii="Arial" w:cs="Arial" w:eastAsia="Arial" w:hAnsi="Arial"/>
          <w:sz w:val="15"/>
          <w:szCs w:val="15"/>
          <w:color w:val="auto"/>
        </w:rPr>
      </w:pPr>
      <w:r>
        <w:rPr>
          <w:rFonts w:ascii="Arial" w:cs="Arial" w:eastAsia="Arial" w:hAnsi="Arial"/>
          <w:sz w:val="15"/>
          <w:szCs w:val="15"/>
          <w:color w:val="auto"/>
        </w:rPr>
        <w:t>4</w:t>
      </w:r>
    </w:p>
    <w:p>
      <w:pPr>
        <w:spacing w:after="0" w:line="4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5"/>
          <w:szCs w:val="15"/>
          <w:color w:val="auto"/>
        </w:rPr>
        <w:t>316</w:t>
      </w:r>
      <w:r>
        <w:rPr>
          <w:sz w:val="20"/>
          <w:szCs w:val="20"/>
          <w:color w:val="auto"/>
        </w:rPr>
        <w:tab/>
      </w:r>
      <w:r>
        <w:rPr>
          <w:rFonts w:ascii="Arial" w:cs="Arial" w:eastAsia="Arial" w:hAnsi="Arial"/>
          <w:sz w:val="15"/>
          <w:szCs w:val="15"/>
          <w:color w:val="auto"/>
        </w:rPr>
        <w:t>266</w:t>
      </w:r>
    </w:p>
    <w:p>
      <w:pPr>
        <w:spacing w:after="0" w:line="47" w:lineRule="exact"/>
        <w:rPr>
          <w:sz w:val="20"/>
          <w:szCs w:val="20"/>
          <w:color w:val="auto"/>
        </w:rPr>
      </w:pPr>
    </w:p>
    <w:p>
      <w:pPr>
        <w:ind w:left="1700" w:hanging="930"/>
        <w:spacing w:after="0"/>
        <w:tabs>
          <w:tab w:leader="none" w:pos="17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7</w:t>
      </w:r>
    </w:p>
    <w:p>
      <w:pPr>
        <w:spacing w:after="0" w:line="47" w:lineRule="exact"/>
        <w:rPr>
          <w:sz w:val="20"/>
          <w:szCs w:val="20"/>
          <w:color w:val="auto"/>
        </w:rPr>
      </w:pPr>
    </w:p>
    <w:p>
      <w:pPr>
        <w:ind w:left="1640" w:hanging="1008"/>
        <w:spacing w:after="0"/>
        <w:tabs>
          <w:tab w:leader="none" w:pos="1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(9)</w:t>
      </w:r>
    </w:p>
    <w:p>
      <w:pPr>
        <w:spacing w:after="0" w:line="58"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610</w:t>
      </w:r>
      <w:r>
        <w:rPr>
          <w:rFonts w:ascii="Arial" w:cs="Arial" w:eastAsia="Arial" w:hAnsi="Arial"/>
          <w:sz w:val="14"/>
          <w:szCs w:val="14"/>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8502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02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12141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480" w:hanging="929"/>
        <w:spacing w:after="0"/>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(227)</w:t>
      </w:r>
    </w:p>
    <w:p>
      <w:pPr>
        <w:spacing w:after="0" w:line="47" w:lineRule="exact"/>
        <w:rPr>
          <w:sz w:val="20"/>
          <w:szCs w:val="20"/>
          <w:color w:val="auto"/>
        </w:rPr>
      </w:pPr>
    </w:p>
    <w:p>
      <w:pPr>
        <w:ind w:left="1700" w:hanging="1149"/>
        <w:spacing w:after="0"/>
        <w:tabs>
          <w:tab w:leader="none" w:pos="1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141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39" w:lineRule="exact"/>
        <w:rPr>
          <w:sz w:val="20"/>
          <w:szCs w:val="20"/>
          <w:color w:val="auto"/>
        </w:rPr>
      </w:pPr>
    </w:p>
    <w:p>
      <w:pPr>
        <w:ind w:left="1480" w:hanging="929"/>
        <w:spacing w:after="0"/>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141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720" w:hanging="1169"/>
        <w:spacing w:after="0"/>
        <w:tabs>
          <w:tab w:leader="none" w:pos="1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t>
      </w:r>
    </w:p>
    <w:p>
      <w:pPr>
        <w:spacing w:after="0" w:line="47" w:lineRule="exact"/>
        <w:rPr>
          <w:sz w:val="20"/>
          <w:szCs w:val="20"/>
          <w:color w:val="auto"/>
        </w:rPr>
      </w:pPr>
    </w:p>
    <w:p>
      <w:pPr>
        <w:ind w:left="1640" w:hanging="926"/>
        <w:spacing w:after="0"/>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w:t>
      </w:r>
    </w:p>
    <w:p>
      <w:pPr>
        <w:spacing w:after="0" w:line="47" w:lineRule="exact"/>
        <w:rPr>
          <w:sz w:val="20"/>
          <w:szCs w:val="20"/>
          <w:color w:val="auto"/>
        </w:rPr>
      </w:pPr>
    </w:p>
    <w:p>
      <w:pPr>
        <w:ind w:left="1640" w:hanging="926"/>
        <w:spacing w:after="0"/>
        <w:tabs>
          <w:tab w:leader="none" w:pos="1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141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ind w:left="1580" w:hanging="1029"/>
        <w:spacing w:after="0"/>
        <w:tabs>
          <w:tab w:leader="none" w:pos="1580" w:val="left"/>
        </w:tabs>
        <w:numPr>
          <w:ilvl w:val="0"/>
          <w:numId w:val="18"/>
        </w:numPr>
        <w:rPr>
          <w:rFonts w:ascii="Arial" w:cs="Arial" w:eastAsia="Arial" w:hAnsi="Arial"/>
          <w:sz w:val="15"/>
          <w:szCs w:val="15"/>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2141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Arial" w:cs="Arial" w:eastAsia="Arial" w:hAnsi="Arial"/>
                <w:sz w:val="15"/>
                <w:szCs w:val="15"/>
                <w:color w:val="auto"/>
              </w:rPr>
              <w:t>52</w:t>
            </w:r>
          </w:p>
        </w:tc>
        <w:tc>
          <w:tcPr>
            <w:tcW w:w="380" w:type="dxa"/>
            <w:vAlign w:val="bottom"/>
          </w:tcPr>
          <w:p>
            <w:pPr>
              <w:spacing w:after="0"/>
              <w:rPr>
                <w:sz w:val="15"/>
                <w:szCs w:val="15"/>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332</w:t>
            </w:r>
          </w:p>
        </w:tc>
      </w:tr>
      <w:tr>
        <w:trPr>
          <w:trHeight w:val="212"/>
        </w:trPr>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49</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206</w:t>
            </w:r>
          </w:p>
        </w:tc>
      </w:tr>
      <w:tr>
        <w:trPr>
          <w:trHeight w:val="191"/>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101</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538</w:t>
            </w:r>
          </w:p>
        </w:tc>
      </w:tr>
      <w:tr>
        <w:trPr>
          <w:trHeight w:val="653"/>
        </w:trPr>
        <w:tc>
          <w:tcPr>
            <w:tcW w:w="4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7"/>
              <w:spacing w:after="0"/>
              <w:rPr>
                <w:sz w:val="20"/>
                <w:szCs w:val="20"/>
                <w:color w:val="auto"/>
              </w:rPr>
            </w:pPr>
            <w:r>
              <w:rPr>
                <w:rFonts w:ascii="Arial" w:cs="Arial" w:eastAsia="Arial" w:hAnsi="Arial"/>
                <w:sz w:val="15"/>
                <w:szCs w:val="15"/>
                <w:color w:val="auto"/>
              </w:rPr>
              <w:t>29</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30</w:t>
            </w:r>
          </w:p>
        </w:tc>
      </w:tr>
      <w:tr>
        <w:trPr>
          <w:trHeight w:val="219"/>
        </w:trPr>
        <w:tc>
          <w:tcPr>
            <w:tcW w:w="420" w:type="dxa"/>
            <w:vAlign w:val="bottom"/>
          </w:tcPr>
          <w:p>
            <w:pPr>
              <w:spacing w:after="0"/>
              <w:rPr>
                <w:sz w:val="19"/>
                <w:szCs w:val="19"/>
                <w:color w:val="auto"/>
              </w:rPr>
            </w:pPr>
          </w:p>
        </w:tc>
        <w:tc>
          <w:tcPr>
            <w:tcW w:w="540" w:type="dxa"/>
            <w:vAlign w:val="bottom"/>
          </w:tcPr>
          <w:p>
            <w:pPr>
              <w:jc w:val="right"/>
              <w:ind w:right="27"/>
              <w:spacing w:after="0"/>
              <w:rPr>
                <w:sz w:val="20"/>
                <w:szCs w:val="20"/>
                <w:color w:val="auto"/>
              </w:rPr>
            </w:pPr>
            <w:r>
              <w:rPr>
                <w:rFonts w:ascii="Arial" w:cs="Arial" w:eastAsia="Arial" w:hAnsi="Arial"/>
                <w:sz w:val="15"/>
                <w:szCs w:val="15"/>
                <w:color w:val="auto"/>
              </w:rPr>
              <w:t>44</w:t>
            </w:r>
          </w:p>
        </w:tc>
        <w:tc>
          <w:tcPr>
            <w:tcW w:w="380" w:type="dxa"/>
            <w:vAlign w:val="bottom"/>
          </w:tcPr>
          <w:p>
            <w:pPr>
              <w:spacing w:after="0"/>
              <w:rPr>
                <w:sz w:val="19"/>
                <w:szCs w:val="19"/>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29</w:t>
            </w:r>
          </w:p>
        </w:tc>
      </w:tr>
      <w:tr>
        <w:trPr>
          <w:trHeight w:val="645"/>
        </w:trPr>
        <w:tc>
          <w:tcPr>
            <w:tcW w:w="4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1</w:t>
            </w:r>
          </w:p>
        </w:tc>
      </w:tr>
    </w:tbl>
    <w:p>
      <w:pPr>
        <w:spacing w:after="0" w:line="67" w:lineRule="exact"/>
        <w:rPr>
          <w:sz w:val="20"/>
          <w:szCs w:val="20"/>
          <w:color w:val="auto"/>
        </w:rPr>
      </w:pPr>
    </w:p>
    <w:p>
      <w:pPr>
        <w:sectPr>
          <w:pgSz w:w="11900" w:h="16907" w:orient="portrait"/>
          <w:cols w:equalWidth="0" w:num="2">
            <w:col w:w="4440" w:space="100"/>
            <w:col w:w="5679"/>
          </w:cols>
          <w:pgMar w:left="240" w:top="141" w:right="1440" w:bottom="0" w:gutter="0" w:footer="0" w:header="0"/>
          <w:type w:val="continuous"/>
        </w:sect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4144010" cy="440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44010" cy="440690"/>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SOUTHERN CALIFORNIA GAS COMPANY AND SUBSIDIARIES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8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780" w:type="dxa"/>
            <w:vAlign w:val="bottom"/>
          </w:tcPr>
          <w:p>
            <w:pPr>
              <w:spacing w:after="0"/>
              <w:rPr>
                <w:sz w:val="17"/>
                <w:szCs w:val="17"/>
                <w:color w:val="auto"/>
              </w:rPr>
            </w:pPr>
          </w:p>
        </w:tc>
        <w:tc>
          <w:tcPr>
            <w:tcW w:w="19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3"/>
                <w:szCs w:val="13"/>
                <w:color w:val="auto"/>
              </w:rPr>
              <w:t>Three months ended June 30,</w:t>
            </w:r>
          </w:p>
        </w:tc>
        <w:tc>
          <w:tcPr>
            <w:tcW w:w="18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color w:val="auto"/>
              </w:rPr>
              <w:t>2009</w:t>
            </w: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2010</w:t>
            </w:r>
          </w:p>
        </w:tc>
        <w:tc>
          <w:tcPr>
            <w:tcW w:w="900" w:type="dxa"/>
            <w:vAlign w:val="bottom"/>
            <w:tcBorders>
              <w:bottom w:val="single" w:sz="8" w:color="auto"/>
            </w:tcBorders>
          </w:tcPr>
          <w:p>
            <w:pPr>
              <w:jc w:val="right"/>
              <w:ind w:right="185"/>
              <w:spacing w:after="0" w:line="212" w:lineRule="exact"/>
              <w:rPr>
                <w:sz w:val="20"/>
                <w:szCs w:val="20"/>
                <w:color w:val="auto"/>
              </w:rPr>
            </w:pPr>
            <w:r>
              <w:rPr>
                <w:rFonts w:ascii="Arial" w:cs="Arial" w:eastAsia="Arial" w:hAnsi="Arial"/>
                <w:sz w:val="19"/>
                <w:szCs w:val="19"/>
                <w:color w:val="auto"/>
              </w:rPr>
              <w:t>2009</w:t>
            </w:r>
          </w:p>
        </w:tc>
        <w:tc>
          <w:tcPr>
            <w:tcW w:w="0" w:type="dxa"/>
            <w:vAlign w:val="bottom"/>
          </w:tcPr>
          <w:p>
            <w:pPr>
              <w:spacing w:after="0"/>
              <w:rPr>
                <w:sz w:val="1"/>
                <w:szCs w:val="1"/>
                <w:color w:val="auto"/>
              </w:rPr>
            </w:pPr>
          </w:p>
        </w:tc>
      </w:tr>
      <w:tr>
        <w:trPr>
          <w:trHeight w:val="225"/>
        </w:trPr>
        <w:tc>
          <w:tcPr>
            <w:tcW w:w="2780" w:type="dxa"/>
            <w:vAlign w:val="bottom"/>
            <w:vMerge w:val="restart"/>
          </w:tcPr>
          <w:p>
            <w:pPr>
              <w:ind w:left="140"/>
              <w:spacing w:after="0"/>
              <w:rPr>
                <w:sz w:val="20"/>
                <w:szCs w:val="20"/>
                <w:color w:val="auto"/>
              </w:rPr>
            </w:pPr>
            <w:r>
              <w:rPr>
                <w:rFonts w:ascii="Arial" w:cs="Arial" w:eastAsia="Arial" w:hAnsi="Arial"/>
                <w:sz w:val="19"/>
                <w:szCs w:val="19"/>
                <w:color w:val="auto"/>
              </w:rPr>
              <w:t>&lt; /p&gt;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568"/>
              <w:spacing w:after="0"/>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5"/>
                <w:szCs w:val="15"/>
                <w:color w:val="auto"/>
              </w:rPr>
              <w:t>694</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100"/>
              <w:spacing w:after="0"/>
              <w:rPr>
                <w:sz w:val="20"/>
                <w:szCs w:val="20"/>
                <w:color w:val="auto"/>
              </w:rPr>
            </w:pPr>
            <w:r>
              <w:rPr>
                <w:rFonts w:ascii="Arial" w:cs="Arial" w:eastAsia="Arial" w:hAnsi="Arial"/>
                <w:sz w:val="15"/>
                <w:szCs w:val="15"/>
                <w:color w:val="auto"/>
              </w:rPr>
              <w:t>Operating revenues</w:t>
            </w: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w:t>
            </w:r>
          </w:p>
        </w:tc>
        <w:tc>
          <w:tcPr>
            <w:tcW w:w="2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   2,016</w:t>
            </w: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   1,614</w:t>
            </w:r>
          </w:p>
        </w:tc>
        <w:tc>
          <w:tcPr>
            <w:tcW w:w="0" w:type="dxa"/>
            <w:vAlign w:val="bottom"/>
          </w:tcPr>
          <w:p>
            <w:pPr>
              <w:spacing w:after="0"/>
              <w:rPr>
                <w:sz w:val="1"/>
                <w:szCs w:val="1"/>
                <w:color w:val="auto"/>
              </w:rPr>
            </w:pP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Operating expenses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Cost of natural gas</w:t>
            </w:r>
          </w:p>
        </w:tc>
        <w:tc>
          <w:tcPr>
            <w:tcW w:w="240" w:type="dxa"/>
            <w:vAlign w:val="bottom"/>
          </w:tcPr>
          <w:p>
            <w:pPr>
              <w:spacing w:after="0"/>
              <w:rPr>
                <w:sz w:val="19"/>
                <w:szCs w:val="19"/>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318</w:t>
            </w:r>
          </w:p>
        </w:tc>
        <w:tc>
          <w:tcPr>
            <w:tcW w:w="220" w:type="dxa"/>
            <w:vAlign w:val="bottom"/>
          </w:tcPr>
          <w:p>
            <w:pPr>
              <w:spacing w:after="0"/>
              <w:rPr>
                <w:sz w:val="19"/>
                <w:szCs w:val="19"/>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214</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992</w:t>
            </w:r>
          </w:p>
        </w:tc>
        <w:tc>
          <w:tcPr>
            <w:tcW w:w="900" w:type="dxa"/>
            <w:vAlign w:val="bottom"/>
          </w:tcPr>
          <w:p>
            <w:pPr>
              <w:jc w:val="right"/>
              <w:ind w:right="65"/>
              <w:spacing w:after="0"/>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Operation and maintenance</w:t>
            </w:r>
          </w:p>
        </w:tc>
        <w:tc>
          <w:tcPr>
            <w:tcW w:w="240" w:type="dxa"/>
            <w:vAlign w:val="bottom"/>
          </w:tcPr>
          <w:p>
            <w:pPr>
              <w:spacing w:after="0"/>
              <w:rPr>
                <w:sz w:val="19"/>
                <w:szCs w:val="19"/>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293</w:t>
            </w:r>
          </w:p>
        </w:tc>
        <w:tc>
          <w:tcPr>
            <w:tcW w:w="220" w:type="dxa"/>
            <w:vAlign w:val="bottom"/>
          </w:tcPr>
          <w:p>
            <w:pPr>
              <w:spacing w:after="0"/>
              <w:rPr>
                <w:sz w:val="19"/>
                <w:szCs w:val="19"/>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265</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555</w:t>
            </w:r>
          </w:p>
        </w:tc>
        <w:tc>
          <w:tcPr>
            <w:tcW w:w="900" w:type="dxa"/>
            <w:vAlign w:val="bottom"/>
          </w:tcPr>
          <w:p>
            <w:pPr>
              <w:jc w:val="right"/>
              <w:ind w:right="65"/>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19"/>
                <w:szCs w:val="19"/>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77</w:t>
            </w:r>
          </w:p>
        </w:tc>
        <w:tc>
          <w:tcPr>
            <w:tcW w:w="220" w:type="dxa"/>
            <w:vAlign w:val="bottom"/>
          </w:tcPr>
          <w:p>
            <w:pPr>
              <w:spacing w:after="0"/>
              <w:rPr>
                <w:sz w:val="19"/>
                <w:szCs w:val="19"/>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75</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152</w:t>
            </w:r>
          </w:p>
        </w:tc>
        <w:tc>
          <w:tcPr>
            <w:tcW w:w="900" w:type="dxa"/>
            <w:vAlign w:val="bottom"/>
          </w:tcPr>
          <w:p>
            <w:pPr>
              <w:jc w:val="right"/>
              <w:ind w:right="65"/>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12"/>
        </w:trPr>
        <w:tc>
          <w:tcPr>
            <w:tcW w:w="2780" w:type="dxa"/>
            <w:vAlign w:val="bottom"/>
          </w:tcPr>
          <w:p>
            <w:pPr>
              <w:ind w:left="260"/>
              <w:spacing w:after="0"/>
              <w:rPr>
                <w:sz w:val="20"/>
                <w:szCs w:val="20"/>
                <w:color w:val="auto"/>
              </w:rPr>
            </w:pPr>
            <w:r>
              <w:rPr>
                <w:rFonts w:ascii="Arial" w:cs="Arial" w:eastAsia="Arial" w:hAnsi="Arial"/>
                <w:sz w:val="15"/>
                <w:szCs w:val="15"/>
                <w:color w:val="auto"/>
              </w:rPr>
              <w:t>Franchise fees and other taxes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28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24</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65</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24"/>
        </w:trPr>
        <w:tc>
          <w:tcPr>
            <w:tcW w:w="2780" w:type="dxa"/>
            <w:vAlign w:val="bottom"/>
          </w:tcPr>
          <w:p>
            <w:pPr>
              <w:ind w:left="4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716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578</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1,764</w:t>
            </w: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1,388</w:t>
            </w:r>
          </w:p>
        </w:tc>
        <w:tc>
          <w:tcPr>
            <w:tcW w:w="0" w:type="dxa"/>
            <w:vAlign w:val="bottom"/>
          </w:tcPr>
          <w:p>
            <w:pPr>
              <w:spacing w:after="0"/>
              <w:rPr>
                <w:sz w:val="1"/>
                <w:szCs w:val="1"/>
                <w:color w:val="auto"/>
              </w:rPr>
            </w:pPr>
          </w:p>
        </w:tc>
      </w:tr>
      <w:tr>
        <w:trPr>
          <w:trHeight w:val="231"/>
        </w:trPr>
        <w:tc>
          <w:tcPr>
            <w:tcW w:w="2780" w:type="dxa"/>
            <w:vAlign w:val="bottom"/>
          </w:tcPr>
          <w:p>
            <w:pPr>
              <w:ind w:left="100"/>
              <w:spacing w:after="0"/>
              <w:rPr>
                <w:sz w:val="20"/>
                <w:szCs w:val="20"/>
                <w:color w:val="auto"/>
              </w:rPr>
            </w:pPr>
            <w:r>
              <w:rPr>
                <w:rFonts w:ascii="Arial" w:cs="Arial" w:eastAsia="Arial" w:hAnsi="Arial"/>
                <w:sz w:val="15"/>
                <w:szCs w:val="15"/>
                <w:color w:val="auto"/>
              </w:rPr>
              <w:t>Operating income</w:t>
            </w:r>
          </w:p>
        </w:tc>
        <w:tc>
          <w:tcPr>
            <w:tcW w:w="240" w:type="dxa"/>
            <w:vAlign w:val="bottom"/>
          </w:tcPr>
          <w:p>
            <w:pPr>
              <w:spacing w:after="0"/>
              <w:rPr>
                <w:sz w:val="20"/>
                <w:szCs w:val="20"/>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118</w:t>
            </w:r>
          </w:p>
        </w:tc>
        <w:tc>
          <w:tcPr>
            <w:tcW w:w="220" w:type="dxa"/>
            <w:vAlign w:val="bottom"/>
          </w:tcPr>
          <w:p>
            <w:pPr>
              <w:spacing w:after="0"/>
              <w:rPr>
                <w:sz w:val="20"/>
                <w:szCs w:val="20"/>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116</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252</w:t>
            </w:r>
          </w:p>
        </w:tc>
        <w:tc>
          <w:tcPr>
            <w:tcW w:w="900" w:type="dxa"/>
            <w:vAlign w:val="bottom"/>
          </w:tcPr>
          <w:p>
            <w:pPr>
              <w:jc w:val="right"/>
              <w:ind w:right="65"/>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44"/>
        </w:trPr>
        <w:tc>
          <w:tcPr>
            <w:tcW w:w="2780" w:type="dxa"/>
            <w:vAlign w:val="bottom"/>
          </w:tcPr>
          <w:p>
            <w:pPr>
              <w:ind w:left="100"/>
              <w:spacing w:after="0"/>
              <w:rPr>
                <w:sz w:val="20"/>
                <w:szCs w:val="20"/>
                <w:color w:val="auto"/>
              </w:rPr>
            </w:pPr>
            <w:r>
              <w:rPr>
                <w:rFonts w:ascii="Arial" w:cs="Arial" w:eastAsia="Arial" w:hAnsi="Arial"/>
                <w:sz w:val="15"/>
                <w:szCs w:val="15"/>
                <w:color w:val="auto"/>
              </w:rPr>
              <w:t>Other income, net</w:t>
            </w:r>
          </w:p>
        </w:tc>
        <w:tc>
          <w:tcPr>
            <w:tcW w:w="24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4</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6</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6"/>
        </w:trPr>
        <w:tc>
          <w:tcPr>
            <w:tcW w:w="278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1</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5"/>
        </w:trPr>
        <w:tc>
          <w:tcPr>
            <w:tcW w:w="2780" w:type="dxa"/>
            <w:vAlign w:val="bottom"/>
          </w:tcPr>
          <w:p>
            <w:pPr>
              <w:ind w:left="100"/>
              <w:spacing w:after="0"/>
              <w:rPr>
                <w:sz w:val="20"/>
                <w:szCs w:val="20"/>
                <w:color w:val="auto"/>
              </w:rPr>
            </w:pPr>
            <w:r>
              <w:rPr>
                <w:rFonts w:ascii="Arial" w:cs="Arial" w:eastAsia="Arial" w:hAnsi="Arial"/>
                <w:sz w:val="19"/>
                <w:szCs w:val="19"/>
                <w:color w:val="auto"/>
              </w:rPr>
              <w:t>Interest expense</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(18)</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(33)</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33"/>
        </w:trPr>
        <w:tc>
          <w:tcPr>
            <w:tcW w:w="2780" w:type="dxa"/>
            <w:vAlign w:val="bottom"/>
          </w:tcPr>
          <w:p>
            <w:pPr>
              <w:ind w:left="100"/>
              <w:spacing w:after="0"/>
              <w:rPr>
                <w:sz w:val="20"/>
                <w:szCs w:val="20"/>
                <w:color w:val="auto"/>
              </w:rPr>
            </w:pPr>
            <w:r>
              <w:rPr>
                <w:rFonts w:ascii="Arial" w:cs="Arial" w:eastAsia="Arial" w:hAnsi="Arial"/>
                <w:sz w:val="19"/>
                <w:szCs w:val="19"/>
                <w:color w:val="auto"/>
              </w:rPr>
              <w:t>Income before income taxes</w:t>
            </w:r>
          </w:p>
        </w:tc>
        <w:tc>
          <w:tcPr>
            <w:tcW w:w="240" w:type="dxa"/>
            <w:vAlign w:val="bottom"/>
          </w:tcPr>
          <w:p>
            <w:pPr>
              <w:spacing w:after="0"/>
              <w:rPr>
                <w:sz w:val="20"/>
                <w:szCs w:val="20"/>
                <w:color w:val="auto"/>
              </w:rPr>
            </w:pPr>
          </w:p>
        </w:tc>
        <w:tc>
          <w:tcPr>
            <w:tcW w:w="720" w:type="dxa"/>
            <w:vAlign w:val="bottom"/>
          </w:tcPr>
          <w:p>
            <w:pPr>
              <w:jc w:val="right"/>
              <w:ind w:right="88"/>
              <w:spacing w:after="0"/>
              <w:rPr>
                <w:sz w:val="20"/>
                <w:szCs w:val="20"/>
                <w:color w:val="auto"/>
              </w:rPr>
            </w:pPr>
            <w:r>
              <w:rPr>
                <w:rFonts w:ascii="Arial" w:cs="Arial" w:eastAsia="Arial" w:hAnsi="Arial"/>
                <w:sz w:val="15"/>
                <w:szCs w:val="15"/>
                <w:color w:val="auto"/>
              </w:rPr>
              <w:t>104</w:t>
            </w:r>
          </w:p>
        </w:tc>
        <w:tc>
          <w:tcPr>
            <w:tcW w:w="220" w:type="dxa"/>
            <w:vAlign w:val="bottom"/>
          </w:tcPr>
          <w:p>
            <w:pPr>
              <w:spacing w:after="0"/>
              <w:rPr>
                <w:sz w:val="20"/>
                <w:szCs w:val="20"/>
                <w:color w:val="auto"/>
              </w:rPr>
            </w:pP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103</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225</w:t>
            </w:r>
          </w:p>
        </w:tc>
        <w:tc>
          <w:tcPr>
            <w:tcW w:w="900" w:type="dxa"/>
            <w:vAlign w:val="bottom"/>
          </w:tcPr>
          <w:p>
            <w:pPr>
              <w:jc w:val="right"/>
              <w:ind w:right="65"/>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10"/>
        </w:trPr>
        <w:tc>
          <w:tcPr>
            <w:tcW w:w="2780" w:type="dxa"/>
            <w:vAlign w:val="bottom"/>
          </w:tcPr>
          <w:p>
            <w:pPr>
              <w:ind w:left="100"/>
              <w:spacing w:after="0"/>
              <w:rPr>
                <w:sz w:val="20"/>
                <w:szCs w:val="20"/>
                <w:color w:val="auto"/>
              </w:rPr>
            </w:pPr>
            <w:r>
              <w:rPr>
                <w:rFonts w:ascii="Arial" w:cs="Arial" w:eastAsia="Arial" w:hAnsi="Arial"/>
                <w:sz w:val="15"/>
                <w:szCs w:val="15"/>
                <w:color w:val="auto"/>
              </w:rPr>
              <w:t>Income tax expense</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(34)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(37)</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(90)</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0"/>
        </w:trPr>
        <w:tc>
          <w:tcPr>
            <w:tcW w:w="2780" w:type="dxa"/>
            <w:vAlign w:val="bottom"/>
          </w:tcPr>
          <w:p>
            <w:pPr>
              <w:ind w:left="100"/>
              <w:spacing w:after="0" w:line="167" w:lineRule="exact"/>
              <w:rPr>
                <w:sz w:val="20"/>
                <w:szCs w:val="20"/>
                <w:color w:val="auto"/>
              </w:rPr>
            </w:pPr>
            <w:r>
              <w:rPr>
                <w:rFonts w:ascii="Arial" w:cs="Arial" w:eastAsia="Arial" w:hAnsi="Arial"/>
                <w:sz w:val="15"/>
                <w:szCs w:val="15"/>
                <w:color w:val="auto"/>
              </w:rPr>
              <w:t>Net income</w:t>
            </w:r>
          </w:p>
        </w:tc>
        <w:tc>
          <w:tcPr>
            <w:tcW w:w="240" w:type="dxa"/>
            <w:vAlign w:val="bottom"/>
          </w:tcPr>
          <w:p>
            <w:pPr>
              <w:spacing w:after="0"/>
              <w:rPr>
                <w:sz w:val="14"/>
                <w:szCs w:val="14"/>
                <w:color w:val="auto"/>
              </w:rPr>
            </w:pPr>
          </w:p>
        </w:tc>
        <w:tc>
          <w:tcPr>
            <w:tcW w:w="720" w:type="dxa"/>
            <w:vAlign w:val="bottom"/>
          </w:tcPr>
          <w:p>
            <w:pPr>
              <w:jc w:val="right"/>
              <w:ind w:right="88"/>
              <w:spacing w:after="0" w:line="170" w:lineRule="exact"/>
              <w:rPr>
                <w:sz w:val="20"/>
                <w:szCs w:val="20"/>
                <w:color w:val="auto"/>
              </w:rPr>
            </w:pPr>
            <w:r>
              <w:rPr>
                <w:rFonts w:ascii="Arial" w:cs="Arial" w:eastAsia="Arial" w:hAnsi="Arial"/>
                <w:sz w:val="15"/>
                <w:szCs w:val="15"/>
                <w:color w:val="auto"/>
              </w:rPr>
              <w:t>70</w:t>
            </w:r>
          </w:p>
        </w:tc>
        <w:tc>
          <w:tcPr>
            <w:tcW w:w="22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rPr>
              <w:t>66</w:t>
            </w:r>
          </w:p>
        </w:tc>
        <w:tc>
          <w:tcPr>
            <w:tcW w:w="900" w:type="dxa"/>
            <w:vAlign w:val="bottom"/>
          </w:tcPr>
          <w:p>
            <w:pPr>
              <w:jc w:val="right"/>
              <w:ind w:right="68"/>
              <w:spacing w:after="0" w:line="170" w:lineRule="exact"/>
              <w:rPr>
                <w:sz w:val="20"/>
                <w:szCs w:val="20"/>
                <w:color w:val="auto"/>
              </w:rPr>
            </w:pPr>
            <w:r>
              <w:rPr>
                <w:rFonts w:ascii="Arial" w:cs="Arial" w:eastAsia="Arial" w:hAnsi="Arial"/>
                <w:sz w:val="15"/>
                <w:szCs w:val="15"/>
                <w:color w:val="auto"/>
              </w:rPr>
              <w:t>135</w:t>
            </w:r>
          </w:p>
        </w:tc>
        <w:tc>
          <w:tcPr>
            <w:tcW w:w="900" w:type="dxa"/>
            <w:vAlign w:val="bottom"/>
          </w:tcPr>
          <w:p>
            <w:pPr>
              <w:jc w:val="right"/>
              <w:ind w:right="65"/>
              <w:spacing w:after="0" w:line="170" w:lineRule="exact"/>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bl>
    <w:p>
      <w:pPr>
        <w:sectPr>
          <w:pgSz w:w="11900" w:h="16907" w:orient="portrait"/>
          <w:cols w:equalWidth="0" w:num="1">
            <w:col w:w="10219"/>
          </w:cols>
          <w:pgMar w:left="240" w:top="141" w:right="1440" w:bottom="0" w:gutter="0" w:footer="0" w:header="0"/>
          <w:type w:val="continuous"/>
        </w:sectPr>
      </w:pPr>
    </w:p>
    <w:bookmarkStart w:id="10" w:name="page11"/>
    <w:bookmarkEnd w:id="10"/>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ind w:left="100"/>
              <w:spacing w:after="0"/>
              <w:rPr>
                <w:sz w:val="20"/>
                <w:szCs w:val="20"/>
                <w:color w:val="auto"/>
              </w:rPr>
            </w:pPr>
            <w:r>
              <w:rPr>
                <w:rFonts w:ascii="Arial" w:cs="Arial" w:eastAsia="Arial" w:hAnsi="Arial"/>
                <w:sz w:val="15"/>
                <w:szCs w:val="15"/>
                <w:color w:val="auto"/>
              </w:rPr>
              <w:t>Preferred dividend requirements</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r>
      <w:tr>
        <w:trPr>
          <w:trHeight w:val="228"/>
        </w:trPr>
        <w:tc>
          <w:tcPr>
            <w:tcW w:w="31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Earnings attributable to common shares   $</w:t>
            </w: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69</w:t>
            </w:r>
          </w:p>
        </w:tc>
        <w:tc>
          <w:tcPr>
            <w:tcW w:w="440" w:type="dxa"/>
            <w:vAlign w:val="bottom"/>
            <w:tcBorders>
              <w:bottom w:val="single" w:sz="8" w:color="auto"/>
            </w:tcBorders>
          </w:tcPr>
          <w:p>
            <w:pPr>
              <w:jc w:val="right"/>
              <w:ind w:right="143"/>
              <w:spacing w:after="0" w:line="212" w:lineRule="exact"/>
              <w:rPr>
                <w:sz w:val="20"/>
                <w:szCs w:val="20"/>
                <w:color w:val="auto"/>
              </w:rPr>
            </w:pPr>
            <w:r>
              <w:rPr>
                <w:rFonts w:ascii="Arial" w:cs="Arial" w:eastAsia="Arial" w:hAnsi="Arial"/>
                <w:sz w:val="19"/>
                <w:szCs w:val="19"/>
                <w:color w:val="auto"/>
              </w:rPr>
              <w:t>$</w:t>
            </w: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65</w:t>
            </w:r>
          </w:p>
        </w:tc>
        <w:tc>
          <w:tcPr>
            <w:tcW w:w="3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134</w:t>
            </w:r>
          </w:p>
        </w:tc>
        <w:tc>
          <w:tcPr>
            <w:tcW w:w="3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124</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4121150" cy="440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1150" cy="440690"/>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SOUTHERN CALIFORNIA GAS COMPANY AND SUBSIDI 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9"/>
        </w:trPr>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right="148"/>
              <w:spacing w:after="0"/>
              <w:rPr>
                <w:sz w:val="20"/>
                <w:szCs w:val="20"/>
                <w:color w:val="auto"/>
              </w:rPr>
            </w:pPr>
            <w:r>
              <w:rPr>
                <w:rFonts w:ascii="Arial" w:cs="Arial" w:eastAsia="Arial" w:hAnsi="Arial"/>
                <w:sz w:val="13"/>
                <w:szCs w:val="13"/>
                <w:color w:val="auto"/>
              </w:rPr>
              <w:t>June 30,</w:t>
            </w:r>
          </w:p>
        </w:tc>
        <w:tc>
          <w:tcPr>
            <w:tcW w:w="1000" w:type="dxa"/>
            <w:vAlign w:val="bottom"/>
            <w:gridSpan w:val="2"/>
          </w:tcPr>
          <w:p>
            <w:pPr>
              <w:ind w:left="100"/>
              <w:spacing w:after="0"/>
              <w:rPr>
                <w:sz w:val="20"/>
                <w:szCs w:val="20"/>
                <w:color w:val="auto"/>
              </w:rPr>
            </w:pPr>
            <w:r>
              <w:rPr>
                <w:rFonts w:ascii="Arial" w:cs="Arial" w:eastAsia="Arial" w:hAnsi="Arial"/>
                <w:sz w:val="13"/>
                <w:szCs w:val="13"/>
                <w:color w:val="auto"/>
              </w:rPr>
              <w:t>December 31,</w:t>
            </w:r>
          </w:p>
        </w:tc>
      </w:tr>
      <w:tr>
        <w:trPr>
          <w:trHeight w:val="206"/>
        </w:trPr>
        <w:tc>
          <w:tcPr>
            <w:tcW w:w="4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color w:val="auto"/>
                <w:w w:val="96"/>
              </w:rPr>
              <w:t>2010</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color w:val="auto"/>
              </w:rPr>
              <w:t>2009</w:t>
            </w:r>
          </w:p>
        </w:tc>
      </w:tr>
      <w:tr>
        <w:trPr>
          <w:trHeight w:val="225"/>
        </w:trPr>
        <w:tc>
          <w:tcPr>
            <w:tcW w:w="452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3"/>
        </w:trPr>
        <w:tc>
          <w:tcPr>
            <w:tcW w:w="4520" w:type="dxa"/>
            <w:vAlign w:val="bottom"/>
          </w:tcPr>
          <w:p>
            <w:pPr>
              <w:ind w:left="100"/>
              <w:spacing w:after="0"/>
              <w:rPr>
                <w:sz w:val="20"/>
                <w:szCs w:val="20"/>
                <w:color w:val="auto"/>
              </w:rPr>
            </w:pPr>
            <w:r>
              <w:rPr>
                <w:rFonts w:ascii="Arial" w:cs="Arial" w:eastAsia="Arial" w:hAnsi="Arial"/>
                <w:sz w:val="15"/>
                <w:szCs w:val="15"/>
                <w:color w:val="auto"/>
              </w:rPr>
              <w:t>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520" w:type="dxa"/>
            <w:vAlign w:val="bottom"/>
          </w:tcPr>
          <w:p>
            <w:pPr>
              <w:ind w:left="10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5"/>
        </w:trPr>
        <w:tc>
          <w:tcPr>
            <w:tcW w:w="452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101</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49</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Accounts receivable - trade</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344</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567</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Accounts receivable - other</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37</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44</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Due from unconsolidated affiliate</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260</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6</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35</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Inventories</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44</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93</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Other regulatory assets</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w:t>
            </w: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40</w:t>
            </w: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Total current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835</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843</w:t>
            </w:r>
          </w:p>
        </w:tc>
      </w:tr>
      <w:tr>
        <w:trPr>
          <w:trHeight w:val="438"/>
        </w:trPr>
        <w:tc>
          <w:tcPr>
            <w:tcW w:w="4520" w:type="dxa"/>
            <w:vAlign w:val="bottom"/>
          </w:tcPr>
          <w:p>
            <w:pPr>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w w:val="99"/>
              </w:rPr>
              <w:t>Regulatory assets arising from pension and other postretirement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4520" w:type="dxa"/>
            <w:vAlign w:val="bottom"/>
          </w:tcPr>
          <w:p>
            <w:pPr>
              <w:ind w:left="380"/>
              <w:spacing w:after="0"/>
              <w:rPr>
                <w:sz w:val="20"/>
                <w:szCs w:val="20"/>
                <w:color w:val="auto"/>
              </w:rPr>
            </w:pPr>
            <w:r>
              <w:rPr>
                <w:rFonts w:ascii="Arial" w:cs="Arial" w:eastAsia="Arial" w:hAnsi="Arial"/>
                <w:sz w:val="15"/>
                <w:szCs w:val="15"/>
                <w:color w:val="auto"/>
              </w:rPr>
              <w:t>benefit obligations</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621</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617</w:t>
            </w: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Other regulatory assets</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132</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131</w:t>
            </w: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Sundry</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w:t>
            </w: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Total 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766</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762</w:t>
            </w:r>
          </w:p>
        </w:tc>
      </w:tr>
      <w:tr>
        <w:trPr>
          <w:trHeight w:val="438"/>
        </w:trPr>
        <w:tc>
          <w:tcPr>
            <w:tcW w:w="4520" w:type="dxa"/>
            <w:vAlign w:val="bottom"/>
          </w:tcPr>
          <w:p>
            <w:pPr>
              <w:ind w:left="100"/>
              <w:spacing w:after="0"/>
              <w:rPr>
                <w:sz w:val="20"/>
                <w:szCs w:val="20"/>
                <w:color w:val="auto"/>
              </w:rPr>
            </w:pPr>
            <w:r>
              <w:rPr>
                <w:rFonts w:ascii="Arial" w:cs="Arial" w:eastAsia="Arial" w:hAnsi="Arial"/>
                <w:sz w:val="15"/>
                <w:szCs w:val="15"/>
                <w:color w:val="auto"/>
              </w:rPr>
              <w:t>Property, plant and equipment:</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9"/>
        </w:trPr>
        <w:tc>
          <w:tcPr>
            <w:tcW w:w="4520" w:type="dxa"/>
            <w:vAlign w:val="bottom"/>
          </w:tcPr>
          <w:p>
            <w:pPr>
              <w:ind w:left="260"/>
              <w:spacing w:after="0"/>
              <w:rPr>
                <w:sz w:val="20"/>
                <w:szCs w:val="20"/>
                <w:color w:val="auto"/>
              </w:rPr>
            </w:pPr>
            <w:r>
              <w:rPr>
                <w:rFonts w:ascii="Arial" w:cs="Arial" w:eastAsia="Arial" w:hAnsi="Arial"/>
                <w:sz w:val="15"/>
                <w:szCs w:val="15"/>
                <w:color w:val="auto"/>
              </w:rPr>
              <w:t>Property, plant and equipment</w:t>
            </w:r>
          </w:p>
        </w:tc>
        <w:tc>
          <w:tcPr>
            <w:tcW w:w="20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5"/>
                <w:szCs w:val="15"/>
                <w:color w:val="auto"/>
              </w:rPr>
              <w:t>9,443</w:t>
            </w:r>
          </w:p>
        </w:tc>
        <w:tc>
          <w:tcPr>
            <w:tcW w:w="260" w:type="dxa"/>
            <w:vAlign w:val="bottom"/>
          </w:tcPr>
          <w:p>
            <w:pPr>
              <w:spacing w:after="0"/>
              <w:rPr>
                <w:sz w:val="19"/>
                <w:szCs w:val="19"/>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9,297</w:t>
            </w:r>
          </w:p>
        </w:tc>
      </w:tr>
      <w:tr>
        <w:trPr>
          <w:trHeight w:val="212"/>
        </w:trPr>
        <w:tc>
          <w:tcPr>
            <w:tcW w:w="4520" w:type="dxa"/>
            <w:vAlign w:val="bottom"/>
          </w:tcPr>
          <w:p>
            <w:pPr>
              <w:ind w:left="260"/>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(3,682)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(3,615)</w:t>
            </w:r>
          </w:p>
        </w:tc>
      </w:tr>
      <w:tr>
        <w:trPr>
          <w:trHeight w:val="211"/>
        </w:trPr>
        <w:tc>
          <w:tcPr>
            <w:tcW w:w="4520" w:type="dxa"/>
            <w:vAlign w:val="bottom"/>
          </w:tcPr>
          <w:p>
            <w:pPr>
              <w:ind w:left="420"/>
              <w:spacing w:after="0"/>
              <w:rPr>
                <w:sz w:val="20"/>
                <w:szCs w:val="20"/>
                <w:color w:val="auto"/>
              </w:rPr>
            </w:pPr>
            <w:r>
              <w:rPr>
                <w:rFonts w:ascii="Arial" w:cs="Arial" w:eastAsia="Arial" w:hAnsi="Arial"/>
                <w:sz w:val="15"/>
                <w:szCs w:val="15"/>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5,761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5,682</w:t>
            </w:r>
          </w:p>
        </w:tc>
      </w:tr>
      <w:tr>
        <w:trPr>
          <w:trHeight w:val="170"/>
        </w:trPr>
        <w:tc>
          <w:tcPr>
            <w:tcW w:w="4520" w:type="dxa"/>
            <w:vAlign w:val="bottom"/>
          </w:tcPr>
          <w:p>
            <w:pPr>
              <w:spacing w:after="0" w:line="170" w:lineRule="exact"/>
              <w:rPr>
                <w:sz w:val="20"/>
                <w:szCs w:val="20"/>
                <w:color w:val="auto"/>
              </w:rPr>
            </w:pPr>
            <w:r>
              <w:rPr>
                <w:rFonts w:ascii="Arial" w:cs="Arial" w:eastAsia="Arial" w:hAnsi="Arial"/>
                <w:sz w:val="15"/>
                <w:szCs w:val="15"/>
                <w:color w:val="auto"/>
              </w:rPr>
              <w:t>Total assets</w:t>
            </w:r>
          </w:p>
        </w:tc>
        <w:tc>
          <w:tcPr>
            <w:tcW w:w="2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68"/>
              <w:spacing w:after="0" w:line="170" w:lineRule="exact"/>
              <w:rPr>
                <w:sz w:val="20"/>
                <w:szCs w:val="20"/>
                <w:color w:val="auto"/>
              </w:rPr>
            </w:pPr>
            <w:r>
              <w:rPr>
                <w:rFonts w:ascii="Arial" w:cs="Arial" w:eastAsia="Arial" w:hAnsi="Arial"/>
                <w:sz w:val="15"/>
                <w:szCs w:val="15"/>
                <w:color w:val="auto"/>
              </w:rPr>
              <w:t>7,362</w:t>
            </w:r>
          </w:p>
        </w:tc>
        <w:tc>
          <w:tcPr>
            <w:tcW w:w="260" w:type="dxa"/>
            <w:vAlign w:val="bottom"/>
          </w:tcPr>
          <w:p>
            <w:pPr>
              <w:ind w:left="80"/>
              <w:spacing w:after="0" w:line="170"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47"/>
              <w:spacing w:after="0" w:line="170" w:lineRule="exact"/>
              <w:rPr>
                <w:sz w:val="20"/>
                <w:szCs w:val="20"/>
                <w:color w:val="auto"/>
              </w:rPr>
            </w:pPr>
            <w:r>
              <w:rPr>
                <w:rFonts w:ascii="Arial" w:cs="Arial" w:eastAsia="Arial" w:hAnsi="Arial"/>
                <w:sz w:val="15"/>
                <w:szCs w:val="15"/>
                <w:color w:val="auto"/>
              </w:rPr>
              <w:t>7,287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412115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1150" cy="234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i w:val="1"/>
          <w:iCs w:val="1"/>
          <w:color w:val="auto"/>
        </w:rPr>
        <w:t>See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taxes refundable in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9955" cy="440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955" cy="440690"/>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SOUTHERN CALIFORNIA GAS COMPANY AND SUBSIDIARIES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4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9"/>
        </w:trPr>
        <w:tc>
          <w:tcPr>
            <w:tcW w:w="7940" w:type="dxa"/>
            <w:vAlign w:val="bottom"/>
          </w:tcPr>
          <w:p>
            <w:pPr>
              <w:spacing w:after="0"/>
              <w:rPr>
                <w:sz w:val="19"/>
                <w:szCs w:val="19"/>
                <w:color w:val="auto"/>
              </w:rPr>
            </w:pPr>
          </w:p>
        </w:tc>
        <w:tc>
          <w:tcPr>
            <w:tcW w:w="1220" w:type="dxa"/>
            <w:vAlign w:val="bottom"/>
          </w:tcPr>
          <w:p>
            <w:pPr>
              <w:jc w:val="center"/>
              <w:ind w:left="452"/>
              <w:spacing w:after="0"/>
              <w:rPr>
                <w:sz w:val="20"/>
                <w:szCs w:val="20"/>
                <w:color w:val="auto"/>
              </w:rPr>
            </w:pPr>
            <w:r>
              <w:rPr>
                <w:rFonts w:ascii="Arial" w:cs="Arial" w:eastAsia="Arial" w:hAnsi="Arial"/>
                <w:sz w:val="13"/>
                <w:szCs w:val="13"/>
                <w:color w:val="auto"/>
              </w:rPr>
              <w:t>June 30,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407"/>
              <w:spacing w:after="0"/>
              <w:rPr>
                <w:sz w:val="20"/>
                <w:szCs w:val="20"/>
                <w:color w:val="auto"/>
              </w:rPr>
            </w:pPr>
            <w:r>
              <w:rPr>
                <w:rFonts w:ascii="Arial" w:cs="Arial" w:eastAsia="Arial" w:hAnsi="Arial"/>
                <w:sz w:val="13"/>
                <w:szCs w:val="13"/>
                <w:color w:val="auto"/>
              </w:rPr>
              <w:t>December 31,</w:t>
            </w:r>
          </w:p>
        </w:tc>
      </w:tr>
      <w:tr>
        <w:trPr>
          <w:trHeight w:val="206"/>
        </w:trPr>
        <w:tc>
          <w:tcPr>
            <w:tcW w:w="79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12"/>
              <w:spacing w:after="0"/>
              <w:rPr>
                <w:sz w:val="20"/>
                <w:szCs w:val="20"/>
                <w:color w:val="auto"/>
              </w:rPr>
            </w:pPr>
            <w:r>
              <w:rPr>
                <w:rFonts w:ascii="Arial" w:cs="Arial" w:eastAsia="Arial" w:hAnsi="Arial"/>
                <w:sz w:val="13"/>
                <w:szCs w:val="13"/>
                <w:color w:val="auto"/>
              </w:rPr>
              <w:t>2010</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687"/>
              <w:spacing w:after="0"/>
              <w:rPr>
                <w:sz w:val="20"/>
                <w:szCs w:val="20"/>
                <w:color w:val="auto"/>
              </w:rPr>
            </w:pPr>
            <w:r>
              <w:rPr>
                <w:rFonts w:ascii="Arial" w:cs="Arial" w:eastAsia="Arial" w:hAnsi="Arial"/>
                <w:sz w:val="13"/>
                <w:szCs w:val="13"/>
                <w:color w:val="auto"/>
              </w:rPr>
              <w:t>2009</w:t>
            </w:r>
          </w:p>
        </w:tc>
      </w:tr>
      <w:tr>
        <w:trPr>
          <w:trHeight w:val="240"/>
        </w:trPr>
        <w:tc>
          <w:tcPr>
            <w:tcW w:w="7940" w:type="dxa"/>
            <w:vAlign w:val="bottom"/>
          </w:tcPr>
          <w:p>
            <w:pPr>
              <w:ind w:left="100"/>
              <w:spacing w:after="0"/>
              <w:rPr>
                <w:sz w:val="20"/>
                <w:szCs w:val="20"/>
                <w:color w:val="auto"/>
              </w:rPr>
            </w:pPr>
            <w:r>
              <w:rPr>
                <w:rFonts w:ascii="Arial" w:cs="Arial" w:eastAsia="Arial" w:hAnsi="Arial"/>
                <w:sz w:val="19"/>
                <w:szCs w:val="19"/>
                <w:color w:val="auto"/>
              </w:rPr>
              <w:t>&amp; nbsp;</w:t>
            </w:r>
          </w:p>
        </w:tc>
        <w:tc>
          <w:tcPr>
            <w:tcW w:w="1220" w:type="dxa"/>
            <w:vAlign w:val="bottom"/>
          </w:tcPr>
          <w:p>
            <w:pPr>
              <w:jc w:val="center"/>
              <w:ind w:left="452"/>
              <w:spacing w:after="0"/>
              <w:rPr>
                <w:sz w:val="20"/>
                <w:szCs w:val="20"/>
                <w:color w:val="auto"/>
              </w:rPr>
            </w:pPr>
            <w:r>
              <w:rPr>
                <w:rFonts w:ascii="Arial" w:cs="Arial" w:eastAsia="Arial" w:hAnsi="Arial"/>
                <w:sz w:val="13"/>
                <w:szCs w:val="13"/>
                <w:color w:val="auto"/>
              </w:rPr>
              <w:t>(unaudited)</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7940" w:type="dxa"/>
            <w:vAlign w:val="bottom"/>
          </w:tcPr>
          <w:p>
            <w:pPr>
              <w:ind w:left="100"/>
              <w:spacing w:after="0"/>
              <w:rPr>
                <w:sz w:val="20"/>
                <w:szCs w:val="20"/>
                <w:color w:val="auto"/>
              </w:rPr>
            </w:pPr>
            <w:r>
              <w:rPr>
                <w:rFonts w:ascii="Arial" w:cs="Arial" w:eastAsia="Arial" w:hAnsi="Arial"/>
                <w:sz w:val="15"/>
                <w:szCs w:val="15"/>
                <w:color w:val="auto"/>
              </w:rPr>
              <w:t>LIABILITIES AND SHAREHOLDERS' EQUITY</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7940" w:type="dxa"/>
            <w:vAlign w:val="bottom"/>
          </w:tcPr>
          <w:p>
            <w:pPr>
              <w:ind w:left="100"/>
              <w:spacing w:after="0"/>
              <w:rPr>
                <w:sz w:val="20"/>
                <w:szCs w:val="20"/>
                <w:color w:val="auto"/>
              </w:rPr>
            </w:pPr>
            <w:r>
              <w:rPr>
                <w:rFonts w:ascii="Arial" w:cs="Arial" w:eastAsia="Arial" w:hAnsi="Arial"/>
                <w:sz w:val="15"/>
                <w:szCs w:val="15"/>
                <w:color w:val="auto"/>
              </w:rPr>
              <w:t>Current liabilities: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68"/>
        </w:trPr>
        <w:tc>
          <w:tcPr>
            <w:tcW w:w="7940" w:type="dxa"/>
            <w:vAlign w:val="bottom"/>
          </w:tcPr>
          <w:p>
            <w:pPr>
              <w:ind w:left="260"/>
              <w:spacing w:after="0" w:line="169" w:lineRule="exact"/>
              <w:rPr>
                <w:sz w:val="20"/>
                <w:szCs w:val="20"/>
                <w:color w:val="auto"/>
              </w:rPr>
            </w:pPr>
            <w:r>
              <w:rPr>
                <w:rFonts w:ascii="Arial" w:cs="Arial" w:eastAsia="Arial" w:hAnsi="Arial"/>
                <w:sz w:val="15"/>
                <w:szCs w:val="15"/>
                <w:color w:val="auto"/>
              </w:rPr>
              <w:t>Accounts payable - trade</w:t>
            </w:r>
          </w:p>
        </w:tc>
        <w:tc>
          <w:tcPr>
            <w:tcW w:w="1220" w:type="dxa"/>
            <w:vAlign w:val="bottom"/>
          </w:tcPr>
          <w:p>
            <w:pPr>
              <w:jc w:val="right"/>
              <w:ind w:right="972"/>
              <w:spacing w:after="0" w:line="169"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66"/>
              <w:spacing w:after="0" w:line="169" w:lineRule="exact"/>
              <w:rPr>
                <w:sz w:val="20"/>
                <w:szCs w:val="20"/>
                <w:color w:val="auto"/>
              </w:rPr>
            </w:pPr>
            <w:r>
              <w:rPr>
                <w:rFonts w:ascii="Arial" w:cs="Arial" w:eastAsia="Arial" w:hAnsi="Arial"/>
                <w:sz w:val="15"/>
                <w:szCs w:val="15"/>
                <w:color w:val="auto"/>
              </w:rPr>
              <w:t>160</w:t>
            </w:r>
          </w:p>
        </w:tc>
        <w:tc>
          <w:tcPr>
            <w:tcW w:w="2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1480" w:type="dxa"/>
            <w:vAlign w:val="bottom"/>
            <w:gridSpan w:val="2"/>
          </w:tcPr>
          <w:p>
            <w:pPr>
              <w:jc w:val="right"/>
              <w:ind w:right="67"/>
              <w:spacing w:after="0" w:line="169" w:lineRule="exact"/>
              <w:rPr>
                <w:sz w:val="20"/>
                <w:szCs w:val="20"/>
                <w:color w:val="auto"/>
              </w:rPr>
            </w:pPr>
            <w:r>
              <w:rPr>
                <w:rFonts w:ascii="Arial" w:cs="Arial" w:eastAsia="Arial" w:hAnsi="Arial"/>
                <w:sz w:val="15"/>
                <w:szCs w:val="15"/>
                <w:color w:val="auto"/>
              </w:rPr>
              <w:t>207</w:t>
            </w:r>
          </w:p>
        </w:tc>
      </w:tr>
      <w:tr>
        <w:trPr>
          <w:trHeight w:val="248"/>
        </w:trPr>
        <w:tc>
          <w:tcPr>
            <w:tcW w:w="7940" w:type="dxa"/>
            <w:vAlign w:val="bottom"/>
          </w:tcPr>
          <w:p>
            <w:pPr>
              <w:ind w:left="260"/>
              <w:spacing w:after="0"/>
              <w:rPr>
                <w:sz w:val="20"/>
                <w:szCs w:val="20"/>
                <w:color w:val="auto"/>
              </w:rPr>
            </w:pPr>
            <w:r>
              <w:rPr>
                <w:rFonts w:ascii="Arial" w:cs="Arial" w:eastAsia="Arial" w:hAnsi="Arial"/>
                <w:sz w:val="15"/>
                <w:szCs w:val="15"/>
                <w:color w:val="auto"/>
              </w:rPr>
              <w:t>Accounts payable - other</w:t>
            </w:r>
          </w:p>
        </w:tc>
        <w:tc>
          <w:tcPr>
            <w:tcW w:w="1220" w:type="dxa"/>
            <w:vAlign w:val="bottom"/>
          </w:tcPr>
          <w:p>
            <w:pPr>
              <w:spacing w:after="0"/>
              <w:rPr>
                <w:sz w:val="21"/>
                <w:szCs w:val="21"/>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62</w:t>
            </w:r>
          </w:p>
        </w:tc>
        <w:tc>
          <w:tcPr>
            <w:tcW w:w="280" w:type="dxa"/>
            <w:vAlign w:val="bottom"/>
          </w:tcPr>
          <w:p>
            <w:pPr>
              <w:spacing w:after="0"/>
              <w:rPr>
                <w:sz w:val="21"/>
                <w:szCs w:val="21"/>
                <w:color w:val="auto"/>
              </w:rPr>
            </w:pPr>
          </w:p>
        </w:tc>
        <w:tc>
          <w:tcPr>
            <w:tcW w:w="1480" w:type="dxa"/>
            <w:vAlign w:val="bottom"/>
            <w:gridSpan w:val="2"/>
          </w:tcPr>
          <w:p>
            <w:pPr>
              <w:jc w:val="right"/>
              <w:ind w:right="87"/>
              <w:spacing w:after="0"/>
              <w:rPr>
                <w:sz w:val="20"/>
                <w:szCs w:val="20"/>
                <w:color w:val="auto"/>
              </w:rPr>
            </w:pPr>
            <w:r>
              <w:rPr>
                <w:rFonts w:ascii="Arial" w:cs="Arial" w:eastAsia="Arial" w:hAnsi="Arial"/>
                <w:sz w:val="19"/>
                <w:szCs w:val="19"/>
                <w:color w:val="auto"/>
              </w:rPr>
              <w:t>120</w:t>
            </w:r>
          </w:p>
        </w:tc>
      </w:tr>
      <w:tr>
        <w:trPr>
          <w:trHeight w:val="204"/>
        </w:trPr>
        <w:tc>
          <w:tcPr>
            <w:tcW w:w="7940" w:type="dxa"/>
            <w:vAlign w:val="bottom"/>
          </w:tcPr>
          <w:p>
            <w:pPr>
              <w:ind w:left="260"/>
              <w:spacing w:after="0"/>
              <w:rPr>
                <w:sz w:val="20"/>
                <w:szCs w:val="20"/>
                <w:color w:val="auto"/>
              </w:rPr>
            </w:pPr>
            <w:r>
              <w:rPr>
                <w:rFonts w:ascii="Arial" w:cs="Arial" w:eastAsia="Arial" w:hAnsi="Arial"/>
                <w:sz w:val="15"/>
                <w:szCs w:val="15"/>
                <w:color w:val="auto"/>
              </w:rPr>
              <w:t>Due to unconsolidated affiliate</w:t>
            </w:r>
          </w:p>
        </w:tc>
        <w:tc>
          <w:tcPr>
            <w:tcW w:w="1220" w:type="dxa"/>
            <w:vAlign w:val="bottom"/>
          </w:tcPr>
          <w:p>
            <w:pPr>
              <w:spacing w:after="0"/>
              <w:rPr>
                <w:sz w:val="17"/>
                <w:szCs w:val="17"/>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11</w:t>
            </w:r>
          </w:p>
        </w:tc>
        <w:tc>
          <w:tcPr>
            <w:tcW w:w="280" w:type="dxa"/>
            <w:vAlign w:val="bottom"/>
          </w:tcPr>
          <w:p>
            <w:pPr>
              <w:spacing w:after="0"/>
              <w:rPr>
                <w:sz w:val="17"/>
                <w:szCs w:val="17"/>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3</w:t>
            </w:r>
          </w:p>
        </w:tc>
      </w:tr>
      <w:tr>
        <w:trPr>
          <w:trHeight w:val="234"/>
        </w:trPr>
        <w:tc>
          <w:tcPr>
            <w:tcW w:w="7940" w:type="dxa"/>
            <w:vAlign w:val="bottom"/>
          </w:tcPr>
          <w:p>
            <w:pPr>
              <w:ind w:left="300"/>
              <w:spacing w:after="0"/>
              <w:rPr>
                <w:sz w:val="20"/>
                <w:szCs w:val="20"/>
                <w:color w:val="auto"/>
              </w:rPr>
            </w:pPr>
            <w:r>
              <w:rPr>
                <w:rFonts w:ascii="Arial" w:cs="Arial" w:eastAsia="Arial" w:hAnsi="Arial"/>
                <w:sz w:val="19"/>
                <w:szCs w:val="19"/>
                <w:color w:val="auto"/>
              </w:rPr>
              <w:t>Deferred income taxes</w:t>
            </w:r>
          </w:p>
        </w:tc>
        <w:tc>
          <w:tcPr>
            <w:tcW w:w="1220" w:type="dxa"/>
            <w:vAlign w:val="bottom"/>
          </w:tcPr>
          <w:p>
            <w:pPr>
              <w:spacing w:after="0"/>
              <w:rPr>
                <w:sz w:val="20"/>
                <w:szCs w:val="20"/>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5</w:t>
            </w: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w:t>
            </w:r>
          </w:p>
        </w:tc>
      </w:tr>
      <w:tr>
        <w:trPr>
          <w:trHeight w:val="217"/>
        </w:trPr>
        <w:tc>
          <w:tcPr>
            <w:tcW w:w="7940" w:type="dxa"/>
            <w:vAlign w:val="bottom"/>
          </w:tcPr>
          <w:p>
            <w:pPr>
              <w:ind w:left="260"/>
              <w:spacing w:after="0"/>
              <w:rPr>
                <w:sz w:val="20"/>
                <w:szCs w:val="20"/>
                <w:color w:val="auto"/>
              </w:rPr>
            </w:pPr>
            <w:r>
              <w:rPr>
                <w:rFonts w:ascii="Arial" w:cs="Arial" w:eastAsia="Arial" w:hAnsi="Arial"/>
                <w:sz w:val="15"/>
                <w:szCs w:val="15"/>
                <w:color w:val="auto"/>
              </w:rPr>
              <w:t>Regulatory balancing accounts, net</w:t>
            </w:r>
          </w:p>
        </w:tc>
        <w:tc>
          <w:tcPr>
            <w:tcW w:w="1220" w:type="dxa"/>
            <w:vAlign w:val="bottom"/>
          </w:tcPr>
          <w:p>
            <w:pPr>
              <w:spacing w:after="0"/>
              <w:rPr>
                <w:sz w:val="18"/>
                <w:szCs w:val="18"/>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337</w:t>
            </w:r>
          </w:p>
        </w:tc>
        <w:tc>
          <w:tcPr>
            <w:tcW w:w="280" w:type="dxa"/>
            <w:vAlign w:val="bottom"/>
          </w:tcPr>
          <w:p>
            <w:pPr>
              <w:spacing w:after="0"/>
              <w:rPr>
                <w:sz w:val="18"/>
                <w:szCs w:val="18"/>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223</w:t>
            </w: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Customer deposits</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80</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87</w:t>
            </w: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88</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86</w:t>
            </w: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Current portion of long-term debt</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264</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11</w:t>
            </w:r>
          </w:p>
        </w:tc>
      </w:tr>
      <w:tr>
        <w:trPr>
          <w:trHeight w:val="212"/>
        </w:trPr>
        <w:tc>
          <w:tcPr>
            <w:tcW w:w="7940" w:type="dxa"/>
            <w:vAlign w:val="bottom"/>
          </w:tcPr>
          <w:p>
            <w:pPr>
              <w:ind w:left="260"/>
              <w:spacing w:after="0"/>
              <w:rPr>
                <w:sz w:val="20"/>
                <w:szCs w:val="20"/>
                <w:color w:val="auto"/>
              </w:rPr>
            </w:pPr>
            <w:r>
              <w:rPr>
                <w:rFonts w:ascii="Arial" w:cs="Arial" w:eastAsia="Arial" w:hAnsi="Arial"/>
                <w:sz w:val="15"/>
                <w:szCs w:val="15"/>
                <w:color w:val="auto"/>
              </w:rPr>
              <w:t>Other</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158</w:t>
            </w:r>
          </w:p>
        </w:tc>
      </w:tr>
      <w:tr>
        <w:trPr>
          <w:trHeight w:val="211"/>
        </w:trPr>
        <w:tc>
          <w:tcPr>
            <w:tcW w:w="794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1,154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901</w:t>
            </w:r>
          </w:p>
        </w:tc>
      </w:tr>
      <w:tr>
        <w:trPr>
          <w:trHeight w:val="211"/>
        </w:trPr>
        <w:tc>
          <w:tcPr>
            <w:tcW w:w="7940" w:type="dxa"/>
            <w:vAlign w:val="bottom"/>
          </w:tcPr>
          <w:p>
            <w:pPr>
              <w:ind w:left="100"/>
              <w:spacing w:after="0"/>
              <w:rPr>
                <w:sz w:val="20"/>
                <w:szCs w:val="20"/>
                <w:color w:val="auto"/>
              </w:rPr>
            </w:pPr>
            <w:r>
              <w:rPr>
                <w:rFonts w:ascii="Arial" w:cs="Arial" w:eastAsia="Arial" w:hAnsi="Arial"/>
                <w:sz w:val="15"/>
                <w:szCs w:val="15"/>
                <w:color w:val="auto"/>
              </w:rPr>
              <w:t>Long-term debt</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1,022</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1,283</w:t>
            </w:r>
          </w:p>
        </w:tc>
      </w:tr>
      <w:tr>
        <w:trPr>
          <w:trHeight w:val="255"/>
        </w:trPr>
        <w:tc>
          <w:tcPr>
            <w:tcW w:w="7940" w:type="dxa"/>
            <w:vAlign w:val="bottom"/>
          </w:tcPr>
          <w:p>
            <w:pPr>
              <w:ind w:left="100"/>
              <w:spacing w:after="0"/>
              <w:rPr>
                <w:sz w:val="20"/>
                <w:szCs w:val="20"/>
                <w:color w:val="auto"/>
              </w:rPr>
            </w:pPr>
            <w:r>
              <w:rPr>
                <w:rFonts w:ascii="Arial" w:cs="Arial" w:eastAsia="Arial" w:hAnsi="Arial"/>
                <w:sz w:val="15"/>
                <w:szCs w:val="15"/>
                <w:color w:val="auto"/>
              </w:rPr>
              <w:t>Deferred credits and other liabilities:</w:t>
            </w: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Customer advances for construction</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125</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123</w:t>
            </w: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Pension and other postretirement benefit obligations, net of plan assets</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649</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644</w:t>
            </w:r>
          </w:p>
        </w:tc>
      </w:tr>
      <w:tr>
        <w:trPr>
          <w:trHeight w:val="206"/>
        </w:trPr>
        <w:tc>
          <w:tcPr>
            <w:tcW w:w="794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220" w:type="dxa"/>
            <w:vAlign w:val="bottom"/>
          </w:tcPr>
          <w:p>
            <w:pPr>
              <w:spacing w:after="0"/>
              <w:rPr>
                <w:sz w:val="17"/>
                <w:szCs w:val="17"/>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317</w:t>
            </w:r>
          </w:p>
        </w:tc>
        <w:tc>
          <w:tcPr>
            <w:tcW w:w="280" w:type="dxa"/>
            <w:vAlign w:val="bottom"/>
          </w:tcPr>
          <w:p>
            <w:pPr>
              <w:spacing w:after="0"/>
              <w:rPr>
                <w:sz w:val="17"/>
                <w:szCs w:val="17"/>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280</w:t>
            </w:r>
          </w:p>
        </w:tc>
      </w:tr>
      <w:tr>
        <w:trPr>
          <w:trHeight w:val="234"/>
        </w:trPr>
        <w:tc>
          <w:tcPr>
            <w:tcW w:w="7940" w:type="dxa"/>
            <w:vAlign w:val="bottom"/>
          </w:tcPr>
          <w:p>
            <w:pPr>
              <w:ind w:left="260"/>
              <w:spacing w:after="0"/>
              <w:rPr>
                <w:sz w:val="20"/>
                <w:szCs w:val="20"/>
                <w:color w:val="auto"/>
              </w:rPr>
            </w:pPr>
            <w:r>
              <w:rPr>
                <w:rFonts w:ascii="Arial" w:cs="Arial" w:eastAsia="Arial" w:hAnsi="Arial"/>
                <w:sz w:val="15"/>
                <w:szCs w:val="15"/>
                <w:color w:val="auto"/>
              </w:rPr>
              <w:t>Deferred investment tax credits</w:t>
            </w:r>
          </w:p>
        </w:tc>
        <w:tc>
          <w:tcPr>
            <w:tcW w:w="1220" w:type="dxa"/>
            <w:vAlign w:val="bottom"/>
          </w:tcPr>
          <w:p>
            <w:pPr>
              <w:spacing w:after="0"/>
              <w:rPr>
                <w:sz w:val="20"/>
                <w:szCs w:val="20"/>
                <w:color w:val="auto"/>
              </w:rPr>
            </w:pPr>
          </w:p>
        </w:tc>
        <w:tc>
          <w:tcPr>
            <w:tcW w:w="520" w:type="dxa"/>
            <w:vAlign w:val="bottom"/>
          </w:tcPr>
          <w:p>
            <w:pPr>
              <w:jc w:val="right"/>
              <w:ind w:right="86"/>
              <w:spacing w:after="0"/>
              <w:rPr>
                <w:sz w:val="20"/>
                <w:szCs w:val="20"/>
                <w:color w:val="auto"/>
              </w:rPr>
            </w:pPr>
            <w:r>
              <w:rPr>
                <w:rFonts w:ascii="Arial" w:cs="Arial" w:eastAsia="Arial" w:hAnsi="Arial"/>
                <w:sz w:val="19"/>
                <w:szCs w:val="19"/>
                <w:color w:val="auto"/>
              </w:rPr>
              <w:t>26</w:t>
            </w:r>
          </w:p>
        </w:tc>
        <w:tc>
          <w:tcPr>
            <w:tcW w:w="280" w:type="dxa"/>
            <w:vAlign w:val="bottom"/>
          </w:tcPr>
          <w:p>
            <w:pPr>
              <w:spacing w:after="0"/>
              <w:rPr>
                <w:sz w:val="20"/>
                <w:szCs w:val="20"/>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28</w:t>
            </w:r>
          </w:p>
        </w:tc>
      </w:tr>
      <w:tr>
        <w:trPr>
          <w:trHeight w:val="217"/>
        </w:trPr>
        <w:tc>
          <w:tcPr>
            <w:tcW w:w="7940" w:type="dxa"/>
            <w:vAlign w:val="bottom"/>
          </w:tcPr>
          <w:p>
            <w:pPr>
              <w:ind w:left="240"/>
              <w:spacing w:after="0"/>
              <w:rPr>
                <w:sz w:val="20"/>
                <w:szCs w:val="20"/>
                <w:color w:val="auto"/>
              </w:rPr>
            </w:pPr>
            <w:r>
              <w:rPr>
                <w:rFonts w:ascii="Arial" w:cs="Arial" w:eastAsia="Arial" w:hAnsi="Arial"/>
                <w:sz w:val="15"/>
                <w:szCs w:val="15"/>
                <w:color w:val="auto"/>
              </w:rPr>
              <w:t>Regulatory liabilities arising from removal obligations</w:t>
            </w:r>
          </w:p>
        </w:tc>
        <w:tc>
          <w:tcPr>
            <w:tcW w:w="1220" w:type="dxa"/>
            <w:vAlign w:val="bottom"/>
          </w:tcPr>
          <w:p>
            <w:pPr>
              <w:spacing w:after="0"/>
              <w:rPr>
                <w:sz w:val="18"/>
                <w:szCs w:val="18"/>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w w:val="95"/>
              </w:rPr>
              <w:t>1,240</w:t>
            </w:r>
          </w:p>
        </w:tc>
        <w:tc>
          <w:tcPr>
            <w:tcW w:w="280" w:type="dxa"/>
            <w:vAlign w:val="bottom"/>
          </w:tcPr>
          <w:p>
            <w:pPr>
              <w:spacing w:after="0"/>
              <w:rPr>
                <w:sz w:val="18"/>
                <w:szCs w:val="18"/>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1,227</w:t>
            </w: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Asset retirement obligations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681</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662</w:t>
            </w:r>
          </w:p>
        </w:tc>
      </w:tr>
      <w:tr>
        <w:trPr>
          <w:trHeight w:val="219"/>
        </w:trPr>
        <w:tc>
          <w:tcPr>
            <w:tcW w:w="794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5"/>
                <w:szCs w:val="15"/>
                <w:color w:val="auto"/>
              </w:rPr>
              <w:t>154</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175</w:t>
            </w:r>
          </w:p>
        </w:tc>
        <w:tc>
          <w:tcPr>
            <w:tcW w:w="980" w:type="dxa"/>
            <w:vAlign w:val="bottom"/>
          </w:tcPr>
          <w:p>
            <w:pPr>
              <w:spacing w:after="0"/>
              <w:rPr>
                <w:sz w:val="19"/>
                <w:szCs w:val="19"/>
                <w:color w:val="auto"/>
              </w:rPr>
            </w:pPr>
          </w:p>
        </w:tc>
      </w:tr>
      <w:tr>
        <w:trPr>
          <w:trHeight w:val="212"/>
        </w:trPr>
        <w:tc>
          <w:tcPr>
            <w:tcW w:w="7940" w:type="dxa"/>
            <w:vAlign w:val="bottom"/>
          </w:tcPr>
          <w:p>
            <w:pPr>
              <w:ind w:left="260"/>
              <w:spacing w:after="0"/>
              <w:rPr>
                <w:sz w:val="20"/>
                <w:szCs w:val="20"/>
                <w:color w:val="auto"/>
              </w:rPr>
            </w:pPr>
            <w:r>
              <w:rPr>
                <w:rFonts w:ascii="Arial" w:cs="Arial" w:eastAsia="Arial" w:hAnsi="Arial"/>
                <w:sz w:val="15"/>
                <w:szCs w:val="15"/>
                <w:color w:val="auto"/>
              </w:rPr>
              <w:t>Deferred credits and other</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193</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198</w:t>
            </w:r>
          </w:p>
        </w:tc>
      </w:tr>
      <w:tr>
        <w:trPr>
          <w:trHeight w:val="211"/>
        </w:trPr>
        <w:tc>
          <w:tcPr>
            <w:tcW w:w="7940" w:type="dxa"/>
            <w:vAlign w:val="bottom"/>
          </w:tcPr>
          <w:p>
            <w:pPr>
              <w:ind w:left="420"/>
              <w:spacing w:after="0"/>
              <w:rPr>
                <w:sz w:val="20"/>
                <w:szCs w:val="20"/>
                <w:color w:val="auto"/>
              </w:rPr>
            </w:pPr>
            <w:r>
              <w:rPr>
                <w:rFonts w:ascii="Arial" w:cs="Arial" w:eastAsia="Arial" w:hAnsi="Arial"/>
                <w:sz w:val="15"/>
                <w:szCs w:val="15"/>
                <w:color w:val="auto"/>
              </w:rPr>
              <w:t>Total deferred credits and other liabilities</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3,385</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3,337</w:t>
            </w:r>
          </w:p>
        </w:tc>
      </w:tr>
      <w:tr>
        <w:trPr>
          <w:trHeight w:val="438"/>
        </w:trPr>
        <w:tc>
          <w:tcPr>
            <w:tcW w:w="7940" w:type="dxa"/>
            <w:vAlign w:val="bottom"/>
          </w:tcPr>
          <w:p>
            <w:pPr>
              <w:ind w:left="100"/>
              <w:spacing w:after="0"/>
              <w:rPr>
                <w:sz w:val="20"/>
                <w:szCs w:val="20"/>
                <w:color w:val="auto"/>
              </w:rPr>
            </w:pPr>
            <w:r>
              <w:rPr>
                <w:rFonts w:ascii="Arial" w:cs="Arial" w:eastAsia="Arial" w:hAnsi="Arial"/>
                <w:sz w:val="15"/>
                <w:szCs w:val="15"/>
                <w:color w:val="auto"/>
              </w:rPr>
              <w:t>Commitments and contingencies (Note 10)</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8"/>
        </w:trPr>
        <w:tc>
          <w:tcPr>
            <w:tcW w:w="7940" w:type="dxa"/>
            <w:vAlign w:val="bottom"/>
          </w:tcPr>
          <w:p>
            <w:pPr>
              <w:ind w:left="100"/>
              <w:spacing w:after="0"/>
              <w:rPr>
                <w:sz w:val="20"/>
                <w:szCs w:val="20"/>
                <w:color w:val="auto"/>
              </w:rPr>
            </w:pPr>
            <w:r>
              <w:rPr>
                <w:rFonts w:ascii="Arial" w:cs="Arial" w:eastAsia="Arial" w:hAnsi="Arial"/>
                <w:sz w:val="15"/>
                <w:szCs w:val="15"/>
                <w:color w:val="auto"/>
              </w:rPr>
              <w:t>Shareholders' equity:</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9"/>
        </w:trPr>
        <w:tc>
          <w:tcPr>
            <w:tcW w:w="7940" w:type="dxa"/>
            <w:vAlign w:val="bottom"/>
          </w:tcPr>
          <w:p>
            <w:pPr>
              <w:ind w:left="260"/>
              <w:spacing w:after="0"/>
              <w:rPr>
                <w:sz w:val="20"/>
                <w:szCs w:val="20"/>
                <w:color w:val="auto"/>
              </w:rPr>
            </w:pPr>
            <w:r>
              <w:rPr>
                <w:rFonts w:ascii="Arial" w:cs="Arial" w:eastAsia="Arial" w:hAnsi="Arial"/>
                <w:sz w:val="15"/>
                <w:szCs w:val="15"/>
                <w:color w:val="auto"/>
              </w:rPr>
              <w:t>Preferred stock</w:t>
            </w:r>
          </w:p>
        </w:tc>
        <w:tc>
          <w:tcPr>
            <w:tcW w:w="1220" w:type="dxa"/>
            <w:vAlign w:val="bottom"/>
          </w:tcPr>
          <w:p>
            <w:pPr>
              <w:spacing w:after="0"/>
              <w:rPr>
                <w:sz w:val="19"/>
                <w:szCs w:val="19"/>
                <w:color w:val="auto"/>
              </w:rPr>
            </w:pPr>
          </w:p>
        </w:tc>
        <w:tc>
          <w:tcPr>
            <w:tcW w:w="520" w:type="dxa"/>
            <w:vAlign w:val="bottom"/>
          </w:tcPr>
          <w:p>
            <w:pPr>
              <w:jc w:val="right"/>
              <w:ind w:right="66"/>
              <w:spacing w:after="0"/>
              <w:rPr>
                <w:sz w:val="20"/>
                <w:szCs w:val="20"/>
                <w:color w:val="auto"/>
              </w:rPr>
            </w:pPr>
            <w:r>
              <w:rPr>
                <w:rFonts w:ascii="Arial" w:cs="Arial" w:eastAsia="Arial" w:hAnsi="Arial"/>
                <w:sz w:val="15"/>
                <w:szCs w:val="15"/>
                <w:color w:val="auto"/>
              </w:rPr>
              <w:t>22</w:t>
            </w:r>
          </w:p>
        </w:tc>
        <w:tc>
          <w:tcPr>
            <w:tcW w:w="280" w:type="dxa"/>
            <w:vAlign w:val="bottom"/>
          </w:tcPr>
          <w:p>
            <w:pPr>
              <w:spacing w:after="0"/>
              <w:rPr>
                <w:sz w:val="19"/>
                <w:szCs w:val="19"/>
                <w:color w:val="auto"/>
              </w:rPr>
            </w:pPr>
          </w:p>
        </w:tc>
        <w:tc>
          <w:tcPr>
            <w:tcW w:w="1480" w:type="dxa"/>
            <w:vAlign w:val="bottom"/>
            <w:gridSpan w:val="2"/>
          </w:tcPr>
          <w:p>
            <w:pPr>
              <w:jc w:val="right"/>
              <w:ind w:right="67"/>
              <w:spacing w:after="0"/>
              <w:rPr>
                <w:sz w:val="20"/>
                <w:szCs w:val="20"/>
                <w:color w:val="auto"/>
              </w:rPr>
            </w:pPr>
            <w:r>
              <w:rPr>
                <w:rFonts w:ascii="Arial" w:cs="Arial" w:eastAsia="Arial" w:hAnsi="Arial"/>
                <w:sz w:val="15"/>
                <w:szCs w:val="15"/>
                <w:color w:val="auto"/>
              </w:rPr>
              <w:t>22</w:t>
            </w:r>
          </w:p>
        </w:tc>
      </w:tr>
    </w:tbl>
    <w:p>
      <w:pPr>
        <w:sectPr>
          <w:pgSz w:w="11900" w:h="16895" w:orient="portrait"/>
          <w:cols w:equalWidth="0" w:num="1">
            <w:col w:w="11440"/>
          </w:cols>
          <w:pgMar w:left="240" w:top="405" w:right="219" w:bottom="0" w:gutter="0" w:footer="0" w:header="0"/>
        </w:sectPr>
      </w:pPr>
    </w:p>
    <w:bookmarkStart w:id="11" w:name="page12"/>
    <w:bookmarkEnd w:id="1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7840" w:type="dxa"/>
            <w:vAlign w:val="bottom"/>
          </w:tcPr>
          <w:p>
            <w:pPr>
              <w:ind w:left="160"/>
              <w:spacing w:after="0"/>
              <w:rPr>
                <w:sz w:val="20"/>
                <w:szCs w:val="20"/>
                <w:color w:val="auto"/>
              </w:rPr>
            </w:pPr>
            <w:r>
              <w:rPr>
                <w:rFonts w:ascii="Arial" w:cs="Arial" w:eastAsia="Arial" w:hAnsi="Arial"/>
                <w:sz w:val="15"/>
                <w:szCs w:val="15"/>
                <w:color w:val="auto"/>
              </w:rPr>
              <w:t>Common stock (100 million shares authorized; 91 million shares outstanding;</w:t>
            </w: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8"/>
        </w:trPr>
        <w:tc>
          <w:tcPr>
            <w:tcW w:w="7840" w:type="dxa"/>
            <w:vAlign w:val="bottom"/>
          </w:tcPr>
          <w:p>
            <w:pPr>
              <w:ind w:left="320"/>
              <w:spacing w:after="0"/>
              <w:rPr>
                <w:sz w:val="20"/>
                <w:szCs w:val="20"/>
                <w:color w:val="auto"/>
              </w:rPr>
            </w:pPr>
            <w:r>
              <w:rPr>
                <w:rFonts w:ascii="Arial" w:cs="Arial" w:eastAsia="Arial" w:hAnsi="Arial"/>
                <w:sz w:val="15"/>
                <w:szCs w:val="15"/>
                <w:color w:val="auto"/>
              </w:rPr>
              <w:t>no par value)</w:t>
            </w:r>
          </w:p>
        </w:tc>
        <w:tc>
          <w:tcPr>
            <w:tcW w:w="700" w:type="dxa"/>
            <w:vAlign w:val="bottom"/>
          </w:tcPr>
          <w:p>
            <w:pPr>
              <w:spacing w:after="0"/>
              <w:rPr>
                <w:sz w:val="23"/>
                <w:szCs w:val="23"/>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color w:val="auto"/>
              </w:rPr>
              <w:t>866</w:t>
            </w:r>
          </w:p>
        </w:tc>
        <w:tc>
          <w:tcPr>
            <w:tcW w:w="720" w:type="dxa"/>
            <w:vAlign w:val="bottom"/>
          </w:tcPr>
          <w:p>
            <w:pPr>
              <w:spacing w:after="0"/>
              <w:rPr>
                <w:sz w:val="23"/>
                <w:szCs w:val="23"/>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color w:val="auto"/>
              </w:rPr>
              <w:t>866</w:t>
            </w:r>
          </w:p>
        </w:tc>
      </w:tr>
      <w:tr>
        <w:trPr>
          <w:trHeight w:val="219"/>
        </w:trPr>
        <w:tc>
          <w:tcPr>
            <w:tcW w:w="7840" w:type="dxa"/>
            <w:vAlign w:val="bottom"/>
          </w:tcPr>
          <w:p>
            <w:pPr>
              <w:ind w:left="60"/>
              <w:spacing w:after="0"/>
              <w:rPr>
                <w:sz w:val="20"/>
                <w:szCs w:val="20"/>
                <w:color w:val="auto"/>
              </w:rPr>
            </w:pPr>
            <w:r>
              <w:rPr>
                <w:rFonts w:ascii="Arial" w:cs="Arial" w:eastAsia="Arial" w:hAnsi="Arial"/>
                <w:sz w:val="15"/>
                <w:szCs w:val="15"/>
                <w:color w:val="auto"/>
              </w:rPr>
              <w:t>Retained earnings</w:t>
            </w:r>
          </w:p>
        </w:tc>
        <w:tc>
          <w:tcPr>
            <w:tcW w:w="700" w:type="dxa"/>
            <w:vAlign w:val="bottom"/>
          </w:tcPr>
          <w:p>
            <w:pPr>
              <w:spacing w:after="0"/>
              <w:rPr>
                <w:sz w:val="19"/>
                <w:szCs w:val="19"/>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color w:val="auto"/>
              </w:rPr>
              <w:t>937</w:t>
            </w:r>
          </w:p>
        </w:tc>
        <w:tc>
          <w:tcPr>
            <w:tcW w:w="720" w:type="dxa"/>
            <w:vAlign w:val="bottom"/>
          </w:tcPr>
          <w:p>
            <w:pPr>
              <w:spacing w:after="0"/>
              <w:rPr>
                <w:sz w:val="19"/>
                <w:szCs w:val="19"/>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color w:val="auto"/>
              </w:rPr>
              <w:t>903</w:t>
            </w:r>
          </w:p>
        </w:tc>
      </w:tr>
      <w:tr>
        <w:trPr>
          <w:trHeight w:val="212"/>
        </w:trPr>
        <w:tc>
          <w:tcPr>
            <w:tcW w:w="7840" w:type="dxa"/>
            <w:vAlign w:val="bottom"/>
          </w:tcPr>
          <w:p>
            <w:pPr>
              <w:ind w:left="160"/>
              <w:spacing w:after="0"/>
              <w:rPr>
                <w:sz w:val="20"/>
                <w:szCs w:val="20"/>
                <w:color w:val="auto"/>
              </w:rPr>
            </w:pPr>
            <w:r>
              <w:rPr>
                <w:rFonts w:ascii="Arial" w:cs="Arial" w:eastAsia="Arial" w:hAnsi="Arial"/>
                <w:sz w:val="15"/>
                <w:szCs w:val="15"/>
                <w:color w:val="auto"/>
              </w:rPr>
              <w:t>Accumulated other comprehensive income (loss)</w:t>
            </w: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(24)</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(25)</w:t>
            </w:r>
          </w:p>
        </w:tc>
      </w:tr>
      <w:tr>
        <w:trPr>
          <w:trHeight w:val="211"/>
        </w:trPr>
        <w:tc>
          <w:tcPr>
            <w:tcW w:w="7840" w:type="dxa"/>
            <w:vAlign w:val="bottom"/>
          </w:tcPr>
          <w:p>
            <w:pPr>
              <w:ind w:left="320"/>
              <w:spacing w:after="0"/>
              <w:rPr>
                <w:sz w:val="20"/>
                <w:szCs w:val="20"/>
                <w:color w:val="auto"/>
              </w:rPr>
            </w:pPr>
            <w:r>
              <w:rPr>
                <w:rFonts w:ascii="Arial" w:cs="Arial" w:eastAsia="Arial" w:hAnsi="Arial"/>
                <w:sz w:val="15"/>
                <w:szCs w:val="15"/>
                <w:color w:val="auto"/>
              </w:rPr>
              <w:t>Total shareholders' equity</w:t>
            </w: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1,801</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1,766</w:t>
            </w:r>
          </w:p>
        </w:tc>
      </w:tr>
      <w:tr>
        <w:trPr>
          <w:trHeight w:val="170"/>
        </w:trPr>
        <w:tc>
          <w:tcPr>
            <w:tcW w:w="7840" w:type="dxa"/>
            <w:vAlign w:val="bottom"/>
          </w:tcPr>
          <w:p>
            <w:pPr>
              <w:spacing w:after="0" w:line="170" w:lineRule="exact"/>
              <w:rPr>
                <w:sz w:val="20"/>
                <w:szCs w:val="20"/>
                <w:color w:val="auto"/>
              </w:rPr>
            </w:pPr>
            <w:r>
              <w:rPr>
                <w:rFonts w:ascii="Arial" w:cs="Arial" w:eastAsia="Arial" w:hAnsi="Arial"/>
                <w:sz w:val="15"/>
                <w:szCs w:val="15"/>
                <w:color w:val="auto"/>
              </w:rPr>
              <w:t>Total liabilities and shareholders' equity</w:t>
            </w:r>
          </w:p>
        </w:tc>
        <w:tc>
          <w:tcPr>
            <w:tcW w:w="700" w:type="dxa"/>
            <w:vAlign w:val="bottom"/>
          </w:tcPr>
          <w:p>
            <w:pPr>
              <w:jc w:val="right"/>
              <w:ind w:right="447"/>
              <w:spacing w:after="0" w:line="17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7"/>
              <w:spacing w:after="0" w:line="170" w:lineRule="exact"/>
              <w:rPr>
                <w:sz w:val="20"/>
                <w:szCs w:val="20"/>
                <w:color w:val="auto"/>
              </w:rPr>
            </w:pPr>
            <w:r>
              <w:rPr>
                <w:rFonts w:ascii="Arial" w:cs="Arial" w:eastAsia="Arial" w:hAnsi="Arial"/>
                <w:sz w:val="15"/>
                <w:szCs w:val="15"/>
                <w:color w:val="auto"/>
              </w:rPr>
              <w:t>7,362</w:t>
            </w:r>
          </w:p>
        </w:tc>
        <w:tc>
          <w:tcPr>
            <w:tcW w:w="720" w:type="dxa"/>
            <w:vAlign w:val="bottom"/>
          </w:tcPr>
          <w:p>
            <w:pPr>
              <w:jc w:val="right"/>
              <w:ind w:right="467"/>
              <w:spacing w:after="0" w:line="17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7"/>
              <w:spacing w:after="0" w:line="170" w:lineRule="exact"/>
              <w:rPr>
                <w:sz w:val="20"/>
                <w:szCs w:val="20"/>
                <w:color w:val="auto"/>
              </w:rPr>
            </w:pPr>
            <w:r>
              <w:rPr>
                <w:rFonts w:ascii="Arial" w:cs="Arial" w:eastAsia="Arial" w:hAnsi="Arial"/>
                <w:sz w:val="15"/>
                <w:szCs w:val="15"/>
                <w:color w:val="auto"/>
              </w:rPr>
              <w:t>7,287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23495"/>
                    </a:xfrm>
                    <a:prstGeom prst="rect">
                      <a:avLst/>
                    </a:prstGeom>
                    <a:noFill/>
                  </pic:spPr>
                </pic:pic>
              </a:graphicData>
            </a:graphic>
          </wp:anchor>
        </w:drawing>
      </w:r>
    </w:p>
    <w:p>
      <w:pPr>
        <w:ind w:left="100" w:right="1040" w:hanging="9"/>
        <w:spacing w:after="0" w:line="272" w:lineRule="auto"/>
        <w:tabs>
          <w:tab w:leader="none" w:pos="280" w:val="left"/>
        </w:tabs>
        <w:numPr>
          <w:ilvl w:val="0"/>
          <w:numId w:val="19"/>
        </w:numPr>
        <w:rPr>
          <w:rFonts w:ascii="Arial" w:cs="Arial" w:eastAsia="Arial" w:hAnsi="Arial"/>
          <w:sz w:val="19"/>
          <w:szCs w:val="19"/>
          <w:i w:val="1"/>
          <w:iCs w:val="1"/>
          <w:color w:val="auto"/>
        </w:rPr>
      </w:pPr>
      <w:r>
        <w:rPr>
          <w:rFonts w:ascii="Arial" w:cs="Arial" w:eastAsia="Arial" w:hAnsi="Arial"/>
          <w:sz w:val="19"/>
          <w:szCs w:val="19"/>
          <w:i w:val="1"/>
          <w:iCs w:val="1"/>
          <w:color w:val="auto"/>
        </w:rPr>
        <w:t>font style="FONT-SIZE:8pt; COLOR:black; FONT-FAMILY:'Arial','sans-serif'"&gt;See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3982085" cy="146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82085" cy="14668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SOUTHERN CALIFORNIA GAS COMPANY AND SUBSIDIARIES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CONDENSED STATEMENTS OF CONSOLIDATED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40" w:type="dxa"/>
            <w:vAlign w:val="bottom"/>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r>
      <w:tr>
        <w:trPr>
          <w:trHeight w:val="219"/>
        </w:trPr>
        <w:tc>
          <w:tcPr>
            <w:tcW w:w="4540" w:type="dxa"/>
            <w:vAlign w:val="bottom"/>
          </w:tcPr>
          <w:p>
            <w:pPr>
              <w:spacing w:after="0"/>
              <w:rPr>
                <w:sz w:val="19"/>
                <w:szCs w:val="19"/>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rPr>
              <w:t>Six months ended June 30,</w:t>
            </w:r>
          </w:p>
        </w:tc>
      </w:tr>
      <w:tr>
        <w:trPr>
          <w:trHeight w:val="199"/>
        </w:trPr>
        <w:tc>
          <w:tcPr>
            <w:tcW w:w="4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color w:val="auto"/>
              </w:rPr>
              <w:t>2010</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3"/>
                <w:szCs w:val="13"/>
                <w:color w:val="auto"/>
              </w:rPr>
              <w:t>2009</w:t>
            </w:r>
          </w:p>
        </w:tc>
      </w:tr>
      <w:tr>
        <w:trPr>
          <w:trHeight w:val="226"/>
        </w:trPr>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4"/>
          </w:tcPr>
          <w:p>
            <w:pPr>
              <w:jc w:val="right"/>
              <w:ind w:right="287"/>
              <w:spacing w:after="0"/>
              <w:rPr>
                <w:sz w:val="20"/>
                <w:szCs w:val="20"/>
                <w:color w:val="auto"/>
              </w:rPr>
            </w:pPr>
            <w:r>
              <w:rPr>
                <w:rFonts w:ascii="Arial" w:cs="Arial" w:eastAsia="Arial" w:hAnsi="Arial"/>
                <w:sz w:val="19"/>
                <w:szCs w:val="19"/>
                <w:color w:val="auto"/>
              </w:rPr>
              <w:t>(unaudited)</w:t>
            </w:r>
          </w:p>
        </w:tc>
      </w:tr>
      <w:tr>
        <w:trPr>
          <w:trHeight w:val="211"/>
        </w:trPr>
        <w:tc>
          <w:tcPr>
            <w:tcW w:w="4540" w:type="dxa"/>
            <w:vAlign w:val="bottom"/>
          </w:tcPr>
          <w:p>
            <w:pPr>
              <w:ind w:left="10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5"/>
        </w:trPr>
        <w:tc>
          <w:tcPr>
            <w:tcW w:w="454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135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125</w:t>
            </w:r>
          </w:p>
        </w:tc>
      </w:tr>
      <w:tr>
        <w:trPr>
          <w:trHeight w:val="219"/>
        </w:trPr>
        <w:tc>
          <w:tcPr>
            <w:tcW w:w="4540" w:type="dxa"/>
            <w:vAlign w:val="bottom"/>
          </w:tcPr>
          <w:p>
            <w:pPr>
              <w:ind w:left="260"/>
              <w:spacing w:after="0"/>
              <w:rPr>
                <w:sz w:val="20"/>
                <w:szCs w:val="20"/>
                <w:color w:val="auto"/>
              </w:rPr>
            </w:pPr>
            <w:r>
              <w:rPr>
                <w:rFonts w:ascii="Arial" w:cs="Arial" w:eastAsia="Arial" w:hAnsi="Arial"/>
                <w:sz w:val="15"/>
                <w:szCs w:val="15"/>
                <w:color w:val="auto"/>
              </w:rPr>
              <w:t>Adjustments to reconcile net income to net cash provided by</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7"/>
        </w:trPr>
        <w:tc>
          <w:tcPr>
            <w:tcW w:w="4540" w:type="dxa"/>
            <w:vAlign w:val="bottom"/>
          </w:tcPr>
          <w:p>
            <w:pPr>
              <w:ind w:left="380"/>
              <w:spacing w:after="0"/>
              <w:rPr>
                <w:sz w:val="20"/>
                <w:szCs w:val="20"/>
                <w:color w:val="auto"/>
              </w:rPr>
            </w:pPr>
            <w:r>
              <w:rPr>
                <w:rFonts w:ascii="Arial" w:cs="Arial" w:eastAsia="Arial" w:hAnsi="Arial"/>
                <w:sz w:val="15"/>
                <w:szCs w:val="15"/>
                <w:color w:val="auto"/>
              </w:rPr>
              <w:t>operating activities: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1"/>
        </w:trPr>
        <w:tc>
          <w:tcPr>
            <w:tcW w:w="4540" w:type="dxa"/>
            <w:vAlign w:val="bottom"/>
          </w:tcPr>
          <w:p>
            <w:pPr>
              <w:ind w:left="58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20"/>
                <w:szCs w:val="20"/>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20"/>
                <w:szCs w:val="20"/>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147</w:t>
            </w:r>
          </w:p>
        </w:tc>
      </w:tr>
      <w:tr>
        <w:trPr>
          <w:trHeight w:val="219"/>
        </w:trPr>
        <w:tc>
          <w:tcPr>
            <w:tcW w:w="4540" w:type="dxa"/>
            <w:vAlign w:val="bottom"/>
          </w:tcPr>
          <w:p>
            <w:pPr>
              <w:ind w:left="580"/>
              <w:spacing w:after="0"/>
              <w:rPr>
                <w:sz w:val="20"/>
                <w:szCs w:val="20"/>
                <w:color w:val="auto"/>
              </w:rPr>
            </w:pPr>
            <w:r>
              <w:rPr>
                <w:rFonts w:ascii="Arial" w:cs="Arial" w:eastAsia="Arial" w:hAnsi="Arial"/>
                <w:sz w:val="15"/>
                <w:szCs w:val="15"/>
                <w:color w:val="auto"/>
              </w:rPr>
              <w:t>Deferred income taxes and investment tax credits</w:t>
            </w:r>
          </w:p>
        </w:tc>
        <w:tc>
          <w:tcPr>
            <w:tcW w:w="240" w:type="dxa"/>
            <w:vAlign w:val="bottom"/>
          </w:tcPr>
          <w:p>
            <w:pPr>
              <w:spacing w:after="0"/>
              <w:rPr>
                <w:sz w:val="19"/>
                <w:szCs w:val="19"/>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9"/>
                <w:szCs w:val="19"/>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20</w:t>
            </w:r>
          </w:p>
        </w:tc>
      </w:tr>
      <w:tr>
        <w:trPr>
          <w:trHeight w:val="206"/>
        </w:trPr>
        <w:tc>
          <w:tcPr>
            <w:tcW w:w="4540" w:type="dxa"/>
            <w:vAlign w:val="bottom"/>
          </w:tcPr>
          <w:p>
            <w:pPr>
              <w:ind w:left="58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7"/>
                <w:szCs w:val="17"/>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4</w:t>
            </w:r>
          </w:p>
        </w:tc>
      </w:tr>
      <w:tr>
        <w:trPr>
          <w:trHeight w:val="234"/>
        </w:trPr>
        <w:tc>
          <w:tcPr>
            <w:tcW w:w="4540" w:type="dxa"/>
            <w:vAlign w:val="bottom"/>
          </w:tcPr>
          <w:p>
            <w:pPr>
              <w:ind w:left="260"/>
              <w:spacing w:after="0"/>
              <w:rPr>
                <w:sz w:val="20"/>
                <w:szCs w:val="20"/>
                <w:color w:val="auto"/>
              </w:rPr>
            </w:pPr>
            <w:r>
              <w:rPr>
                <w:rFonts w:ascii="Arial" w:cs="Arial" w:eastAsia="Arial" w:hAnsi="Arial"/>
                <w:sz w:val="15"/>
                <w:szCs w:val="15"/>
                <w:color w:val="auto"/>
              </w:rPr>
              <w:t>Net change in other working capital components</w:t>
            </w:r>
          </w:p>
        </w:tc>
        <w:tc>
          <w:tcPr>
            <w:tcW w:w="240" w:type="dxa"/>
            <w:vAlign w:val="bottom"/>
          </w:tcPr>
          <w:p>
            <w:pPr>
              <w:spacing w:after="0"/>
              <w:rPr>
                <w:sz w:val="20"/>
                <w:szCs w:val="20"/>
                <w:color w:val="auto"/>
              </w:rPr>
            </w:pPr>
          </w:p>
        </w:tc>
        <w:tc>
          <w:tcPr>
            <w:tcW w:w="700" w:type="dxa"/>
            <w:vAlign w:val="bottom"/>
          </w:tcPr>
          <w:p>
            <w:pPr>
              <w:jc w:val="right"/>
              <w:ind w:right="124"/>
              <w:spacing w:after="0"/>
              <w:rPr>
                <w:sz w:val="20"/>
                <w:szCs w:val="20"/>
                <w:color w:val="auto"/>
              </w:rPr>
            </w:pPr>
            <w:r>
              <w:rPr>
                <w:rFonts w:ascii="Arial" w:cs="Arial" w:eastAsia="Arial" w:hAnsi="Arial"/>
                <w:sz w:val="19"/>
                <w:szCs w:val="19"/>
                <w:color w:val="auto"/>
              </w:rPr>
              <w:t>325</w:t>
            </w:r>
          </w:p>
        </w:tc>
        <w:tc>
          <w:tcPr>
            <w:tcW w:w="160" w:type="dxa"/>
            <w:vAlign w:val="bottom"/>
          </w:tcPr>
          <w:p>
            <w:pPr>
              <w:spacing w:after="0"/>
              <w:rPr>
                <w:sz w:val="20"/>
                <w:szCs w:val="20"/>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263</w:t>
            </w:r>
          </w:p>
        </w:tc>
      </w:tr>
      <w:tr>
        <w:trPr>
          <w:trHeight w:val="217"/>
        </w:trPr>
        <w:tc>
          <w:tcPr>
            <w:tcW w:w="4540" w:type="dxa"/>
            <w:vAlign w:val="bottom"/>
          </w:tcPr>
          <w:p>
            <w:pPr>
              <w:ind w:left="240"/>
              <w:spacing w:after="0"/>
              <w:rPr>
                <w:sz w:val="20"/>
                <w:szCs w:val="20"/>
                <w:color w:val="auto"/>
              </w:rPr>
            </w:pPr>
            <w:r>
              <w:rPr>
                <w:rFonts w:ascii="Arial" w:cs="Arial" w:eastAsia="Arial" w:hAnsi="Arial"/>
                <w:sz w:val="15"/>
                <w:szCs w:val="15"/>
                <w:color w:val="auto"/>
              </w:rPr>
              <w:t>Changes in other assets</w:t>
            </w:r>
          </w:p>
        </w:tc>
        <w:tc>
          <w:tcPr>
            <w:tcW w:w="240" w:type="dxa"/>
            <w:vAlign w:val="bottom"/>
          </w:tcPr>
          <w:p>
            <w:pPr>
              <w:spacing w:after="0"/>
              <w:rPr>
                <w:sz w:val="18"/>
                <w:szCs w:val="18"/>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7</w:t>
            </w:r>
          </w:p>
        </w:tc>
      </w:tr>
      <w:tr>
        <w:trPr>
          <w:trHeight w:val="212"/>
        </w:trPr>
        <w:tc>
          <w:tcPr>
            <w:tcW w:w="4540" w:type="dxa"/>
            <w:vAlign w:val="bottom"/>
          </w:tcPr>
          <w:p>
            <w:pPr>
              <w:ind w:left="260"/>
              <w:spacing w:after="0"/>
              <w:rPr>
                <w:sz w:val="20"/>
                <w:szCs w:val="20"/>
                <w:color w:val="auto"/>
              </w:rPr>
            </w:pPr>
            <w:r>
              <w:rPr>
                <w:rFonts w:ascii="Arial" w:cs="Arial" w:eastAsia="Arial" w:hAnsi="Arial"/>
                <w:sz w:val="15"/>
                <w:szCs w:val="15"/>
                <w:color w:val="auto"/>
              </w:rPr>
              <w:t>Changes in other liabilities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rPr>
              <w:t>(6)</w:t>
            </w:r>
          </w:p>
        </w:tc>
      </w:tr>
      <w:tr>
        <w:trPr>
          <w:trHeight w:val="211"/>
        </w:trPr>
        <w:tc>
          <w:tcPr>
            <w:tcW w:w="4540" w:type="dxa"/>
            <w:vAlign w:val="bottom"/>
          </w:tcPr>
          <w:p>
            <w:pPr>
              <w:ind w:left="3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621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560</w:t>
            </w:r>
          </w:p>
        </w:tc>
      </w:tr>
      <w:tr>
        <w:trPr>
          <w:trHeight w:val="438"/>
        </w:trPr>
        <w:tc>
          <w:tcPr>
            <w:tcW w:w="4540" w:type="dxa"/>
            <w:vAlign w:val="bottom"/>
          </w:tcPr>
          <w:p>
            <w:pPr>
              <w:ind w:left="10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9"/>
        </w:trPr>
        <w:tc>
          <w:tcPr>
            <w:tcW w:w="4540" w:type="dxa"/>
            <w:vAlign w:val="bottom"/>
          </w:tcPr>
          <w:p>
            <w:pPr>
              <w:ind w:left="260"/>
              <w:spacing w:after="0"/>
              <w:rPr>
                <w:sz w:val="20"/>
                <w:szCs w:val="20"/>
                <w:color w:val="auto"/>
              </w:rPr>
            </w:pPr>
            <w:r>
              <w:rPr>
                <w:rFonts w:ascii="Arial" w:cs="Arial" w:eastAsia="Arial" w:hAnsi="Arial"/>
                <w:sz w:val="15"/>
                <w:szCs w:val="15"/>
                <w:color w:val="auto"/>
              </w:rPr>
              <w:t>Expenditures for property, plant and equipment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(216)</w:t>
            </w:r>
          </w:p>
        </w:tc>
        <w:tc>
          <w:tcPr>
            <w:tcW w:w="160" w:type="dxa"/>
            <w:vAlign w:val="bottom"/>
          </w:tcPr>
          <w:p>
            <w:pPr>
              <w:spacing w:after="0"/>
              <w:rPr>
                <w:sz w:val="19"/>
                <w:szCs w:val="1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rPr>
              <w:t>(227)</w:t>
            </w:r>
          </w:p>
        </w:tc>
      </w:tr>
      <w:tr>
        <w:trPr>
          <w:trHeight w:val="212"/>
        </w:trPr>
        <w:tc>
          <w:tcPr>
            <w:tcW w:w="4540" w:type="dxa"/>
            <w:vAlign w:val="bottom"/>
          </w:tcPr>
          <w:p>
            <w:pPr>
              <w:ind w:left="260"/>
              <w:spacing w:after="0"/>
              <w:rPr>
                <w:sz w:val="20"/>
                <w:szCs w:val="20"/>
                <w:color w:val="auto"/>
              </w:rPr>
            </w:pPr>
            <w:r>
              <w:rPr>
                <w:rFonts w:ascii="Arial" w:cs="Arial" w:eastAsia="Arial" w:hAnsi="Arial"/>
                <w:sz w:val="15"/>
                <w:szCs w:val="15"/>
                <w:color w:val="auto"/>
              </w:rPr>
              <w:t>Increase in loans to affiliates, net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(252)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w:t>
            </w:r>
          </w:p>
        </w:tc>
      </w:tr>
      <w:tr>
        <w:trPr>
          <w:trHeight w:val="211"/>
        </w:trPr>
        <w:tc>
          <w:tcPr>
            <w:tcW w:w="4540" w:type="dxa"/>
            <w:vAlign w:val="bottom"/>
          </w:tcPr>
          <w:p>
            <w:pPr>
              <w:ind w:left="420"/>
              <w:spacing w:after="0"/>
              <w:rPr>
                <w:sz w:val="20"/>
                <w:szCs w:val="20"/>
                <w:color w:val="auto"/>
              </w:rPr>
            </w:pPr>
            <w:r>
              <w:rPr>
                <w:rFonts w:ascii="Arial" w:cs="Arial" w:eastAsia="Arial" w:hAnsi="Arial"/>
                <w:sz w:val="15"/>
                <w:szCs w:val="15"/>
                <w:color w:val="auto"/>
              </w:rPr>
              <w:t>Net cash used in i nvesting activities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(468)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rPr>
              <w:t>(227)</w:t>
            </w:r>
          </w:p>
        </w:tc>
      </w:tr>
      <w:tr>
        <w:trPr>
          <w:trHeight w:val="438"/>
        </w:trPr>
        <w:tc>
          <w:tcPr>
            <w:tcW w:w="4540" w:type="dxa"/>
            <w:vAlign w:val="bottom"/>
          </w:tcPr>
          <w:p>
            <w:pPr>
              <w:ind w:left="10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9"/>
        </w:trPr>
        <w:tc>
          <w:tcPr>
            <w:tcW w:w="4540" w:type="dxa"/>
            <w:vAlign w:val="bottom"/>
          </w:tcPr>
          <w:p>
            <w:pPr>
              <w:ind w:left="260"/>
              <w:spacing w:after="0"/>
              <w:rPr>
                <w:sz w:val="20"/>
                <w:szCs w:val="20"/>
                <w:color w:val="auto"/>
              </w:rPr>
            </w:pPr>
            <w:r>
              <w:rPr>
                <w:rFonts w:ascii="Arial" w:cs="Arial" w:eastAsia="Arial" w:hAnsi="Arial"/>
                <w:sz w:val="15"/>
                <w:szCs w:val="15"/>
                <w:color w:val="auto"/>
              </w:rPr>
              <w:t>Common dividends paid</w:t>
            </w:r>
          </w:p>
        </w:tc>
        <w:tc>
          <w:tcPr>
            <w:tcW w:w="24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(100)</w:t>
            </w:r>
          </w:p>
        </w:tc>
        <w:tc>
          <w:tcPr>
            <w:tcW w:w="160" w:type="dxa"/>
            <w:vAlign w:val="bottom"/>
          </w:tcPr>
          <w:p>
            <w:pPr>
              <w:spacing w:after="0"/>
              <w:rPr>
                <w:sz w:val="19"/>
                <w:szCs w:val="19"/>
                <w:color w:val="auto"/>
              </w:rPr>
            </w:pPr>
          </w:p>
        </w:tc>
        <w:tc>
          <w:tcPr>
            <w:tcW w:w="62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r>
      <w:tr>
        <w:trPr>
          <w:trHeight w:val="212"/>
        </w:trPr>
        <w:tc>
          <w:tcPr>
            <w:tcW w:w="4540" w:type="dxa"/>
            <w:vAlign w:val="bottom"/>
          </w:tcPr>
          <w:p>
            <w:pPr>
              <w:ind w:left="260"/>
              <w:spacing w:after="0"/>
              <w:rPr>
                <w:sz w:val="20"/>
                <w:szCs w:val="20"/>
                <w:color w:val="auto"/>
              </w:rPr>
            </w:pPr>
            <w:r>
              <w:rPr>
                <w:rFonts w:ascii="Arial" w:cs="Arial" w:eastAsia="Arial" w:hAnsi="Arial"/>
                <w:sz w:val="15"/>
                <w:szCs w:val="15"/>
                <w:color w:val="auto"/>
              </w:rPr>
              <w:t>Preferred dividends paid</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(1)</w:t>
            </w:r>
          </w:p>
        </w:tc>
      </w:tr>
      <w:tr>
        <w:trPr>
          <w:trHeight w:val="211"/>
        </w:trPr>
        <w:tc>
          <w:tcPr>
            <w:tcW w:w="4540" w:type="dxa"/>
            <w:vAlign w:val="bottom"/>
          </w:tcPr>
          <w:p>
            <w:pPr>
              <w:ind w:left="420"/>
              <w:spacing w:after="0"/>
              <w:rPr>
                <w:sz w:val="20"/>
                <w:szCs w:val="20"/>
                <w:color w:val="auto"/>
              </w:rPr>
            </w:pPr>
            <w:r>
              <w:rPr>
                <w:rFonts w:ascii="Arial" w:cs="Arial" w:eastAsia="Arial" w:hAnsi="Arial"/>
                <w:sz w:val="15"/>
                <w:szCs w:val="15"/>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rPr>
              <w:t>(1)</w:t>
            </w:r>
          </w:p>
        </w:tc>
      </w:tr>
    </w:tbl>
    <w:p>
      <w:pPr>
        <w:spacing w:after="0" w:line="200" w:lineRule="exact"/>
        <w:rPr>
          <w:sz w:val="20"/>
          <w:szCs w:val="20"/>
          <w:color w:val="auto"/>
        </w:rPr>
      </w:pPr>
    </w:p>
    <w:p>
      <w:pPr>
        <w:sectPr>
          <w:pgSz w:w="11900" w:h="16838" w:orient="portrait"/>
          <w:cols w:equalWidth="0" w:num="1">
            <w:col w:w="11440"/>
          </w:cols>
          <w:pgMar w:left="240" w:top="141" w:right="219" w:bottom="0" w:gutter="0" w:footer="0" w:header="0"/>
        </w:sectPr>
      </w:pPr>
    </w:p>
    <w:p>
      <w:pPr>
        <w:spacing w:after="0" w:line="7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Increase in cash and cash equivalents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and cash equivalents, January 1</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and cash equivalents, June 30</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ind w:left="500"/>
        <w:spacing w:after="0"/>
        <w:tabs>
          <w:tab w:leader="none" w:pos="12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color w:val="auto"/>
        </w:rPr>
        <w:t>332</w:t>
      </w:r>
    </w:p>
    <w:p>
      <w:pPr>
        <w:spacing w:after="0" w:line="47" w:lineRule="exact"/>
        <w:rPr>
          <w:sz w:val="20"/>
          <w:szCs w:val="20"/>
          <w:color w:val="auto"/>
        </w:rPr>
      </w:pPr>
    </w:p>
    <w:p>
      <w:pPr>
        <w:ind w:left="1260" w:hanging="768"/>
        <w:spacing w:after="0"/>
        <w:tabs>
          <w:tab w:leader="none" w:pos="1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206</w:t>
      </w:r>
    </w:p>
    <w:p>
      <w:pPr>
        <w:spacing w:after="0" w:line="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$101   $</w:t>
      </w:r>
      <w:r>
        <w:rPr>
          <w:rFonts w:ascii="Arial" w:cs="Arial" w:eastAsia="Arial" w:hAnsi="Arial"/>
          <w:sz w:val="14"/>
          <w:szCs w:val="14"/>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wp:posOffset>
            </wp:positionV>
            <wp:extent cx="109791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2349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-117475</wp:posOffset>
            </wp:positionV>
            <wp:extent cx="10979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762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3920" w:space="720"/>
            <w:col w:w="6800"/>
          </w:cols>
          <w:pgMar w:left="240" w:top="141" w:right="219" w:bottom="0" w:gutter="0" w:footer="0" w:header="0"/>
          <w:type w:val="continuous"/>
        </w:sectPr>
      </w:pP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4440" w:type="dxa"/>
            <w:vAlign w:val="bottom"/>
          </w:tcPr>
          <w:p>
            <w:pPr>
              <w:spacing w:after="0"/>
              <w:rPr>
                <w:sz w:val="20"/>
                <w:szCs w:val="20"/>
                <w:color w:val="auto"/>
              </w:rPr>
            </w:pPr>
            <w:r>
              <w:rPr>
                <w:rFonts w:ascii="Arial" w:cs="Arial" w:eastAsia="Arial" w:hAnsi="Arial"/>
                <w:sz w:val="15"/>
                <w:szCs w:val="15"/>
                <w:color w:val="auto"/>
                <w:w w:val="98"/>
              </w:rPr>
              <w:t>SUPPLEMENTAL DISCLOSURE OF CASH FLOW INFORMATION</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07"/>
        </w:trPr>
        <w:tc>
          <w:tcPr>
            <w:tcW w:w="4440" w:type="dxa"/>
            <w:vAlign w:val="bottom"/>
          </w:tcPr>
          <w:p>
            <w:pPr>
              <w:ind w:left="160"/>
              <w:spacing w:after="0"/>
              <w:rPr>
                <w:sz w:val="20"/>
                <w:szCs w:val="20"/>
                <w:color w:val="auto"/>
              </w:rPr>
            </w:pPr>
            <w:r>
              <w:rPr>
                <w:rFonts w:ascii="Arial" w:cs="Arial" w:eastAsia="Arial" w:hAnsi="Arial"/>
                <w:sz w:val="15"/>
                <w:szCs w:val="15"/>
                <w:color w:val="auto"/>
              </w:rPr>
              <w:t>Interest payments, net of amounts capitalized</w:t>
            </w:r>
          </w:p>
        </w:tc>
        <w:tc>
          <w:tcPr>
            <w:tcW w:w="38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29</w:t>
            </w:r>
          </w:p>
        </w:tc>
        <w:tc>
          <w:tcPr>
            <w:tcW w:w="38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47"/>
              <w:spacing w:after="0"/>
              <w:rPr>
                <w:sz w:val="20"/>
                <w:szCs w:val="20"/>
                <w:color w:val="auto"/>
              </w:rPr>
            </w:pPr>
            <w:r>
              <w:rPr>
                <w:rFonts w:ascii="Arial" w:cs="Arial" w:eastAsia="Arial" w:hAnsi="Arial"/>
                <w:sz w:val="15"/>
                <w:szCs w:val="15"/>
                <w:color w:val="auto"/>
              </w:rPr>
              <w:t>30</w:t>
            </w:r>
          </w:p>
        </w:tc>
      </w:tr>
      <w:tr>
        <w:trPr>
          <w:trHeight w:val="228"/>
        </w:trPr>
        <w:tc>
          <w:tcPr>
            <w:tcW w:w="4440" w:type="dxa"/>
            <w:vAlign w:val="bottom"/>
          </w:tcPr>
          <w:p>
            <w:pPr>
              <w:ind w:left="160"/>
              <w:spacing w:after="0"/>
              <w:rPr>
                <w:sz w:val="20"/>
                <w:szCs w:val="20"/>
                <w:color w:val="auto"/>
              </w:rPr>
            </w:pPr>
            <w:r>
              <w:rPr>
                <w:rFonts w:ascii="Arial" w:cs="Arial" w:eastAsia="Arial" w:hAnsi="Arial"/>
                <w:sz w:val="15"/>
                <w:szCs w:val="15"/>
                <w:color w:val="auto"/>
              </w:rPr>
              <w:t>Income tax payments, net of refunds</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44</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29</w:t>
            </w: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SEMPRA ENERGY AND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514350</wp:posOffset>
            </wp:positionV>
            <wp:extent cx="72599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NOTE 1. GENERAL</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60"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Sempra Energy's Condensed Consolidated Financial Statements include the accounts of Sempra Energy, a California-based Fortune 500 holding company, and its consolidated subsidiaries and a variable interest entity (VIE). Sempra Energy 6;s principal subsidiaries are</w:t>
      </w:r>
    </w:p>
    <w:p>
      <w:pPr>
        <w:spacing w:after="0" w:line="15" w:lineRule="exact"/>
        <w:rPr>
          <w:sz w:val="20"/>
          <w:szCs w:val="20"/>
          <w:color w:val="auto"/>
        </w:rPr>
      </w:pPr>
    </w:p>
    <w:p>
      <w:pPr>
        <w:ind w:left="140" w:right="1200"/>
        <w:spacing w:after="0" w:line="422" w:lineRule="auto"/>
        <w:rPr>
          <w:sz w:val="20"/>
          <w:szCs w:val="20"/>
          <w:color w:val="auto"/>
        </w:rPr>
      </w:pPr>
      <w:r>
        <w:rPr>
          <w:rFonts w:ascii="Arial" w:cs="Arial" w:eastAsia="Arial" w:hAnsi="Arial"/>
          <w:sz w:val="14"/>
          <w:szCs w:val="14"/>
          <w:color w:val="auto"/>
        </w:rPr>
        <w:t>§San Diego Gas &amp; Electric Company (SDG&amp;E) and Southern California Gas Company (SoCalGas), which we collectively refer to as the Sempra Utilities; and §Sempra Global, which is the holding company for Sempra Commodities, Sempra Generation, Sempra Pipelines &amp; Storage, and Sempra LNG.</w:t>
      </w:r>
    </w:p>
    <w:p>
      <w:pPr>
        <w:spacing w:after="0" w:line="18" w:lineRule="exact"/>
        <w:rPr>
          <w:sz w:val="20"/>
          <w:szCs w:val="20"/>
          <w:color w:val="auto"/>
        </w:rPr>
      </w:pPr>
    </w:p>
    <w:p>
      <w:pPr>
        <w:ind w:right="380"/>
        <w:spacing w:after="0" w:line="350" w:lineRule="auto"/>
        <w:rPr>
          <w:sz w:val="20"/>
          <w:szCs w:val="20"/>
          <w:color w:val="auto"/>
        </w:rPr>
      </w:pPr>
      <w:r>
        <w:rPr>
          <w:rFonts w:ascii="Arial" w:cs="Arial" w:eastAsia="Arial" w:hAnsi="Arial"/>
          <w:sz w:val="14"/>
          <w:szCs w:val="14"/>
          <w:color w:val="auto"/>
        </w:rPr>
        <w:t>Sempra Energy uses the equity method to account for investments in affiliated companies over which we have the ability to exercise significant influence, but not control. We discuss our investments in unconsolidated subsidiaries in Note 4 below and Note 4 of the Notes to Consolidated Financial Statements in the Annual Report.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60" w:lineRule="exact"/>
        <w:rPr>
          <w:sz w:val="20"/>
          <w:szCs w:val="20"/>
          <w:color w:val="auto"/>
        </w:rPr>
      </w:pPr>
    </w:p>
    <w:p>
      <w:pPr>
        <w:ind w:right="400"/>
        <w:spacing w:after="0" w:line="350" w:lineRule="auto"/>
        <w:rPr>
          <w:sz w:val="20"/>
          <w:szCs w:val="20"/>
          <w:color w:val="auto"/>
        </w:rPr>
      </w:pPr>
      <w:r>
        <w:rPr>
          <w:rFonts w:ascii="Arial" w:cs="Arial" w:eastAsia="Arial" w:hAnsi="Arial"/>
          <w:sz w:val="14"/>
          <w:szCs w:val="14"/>
          <w:color w:val="auto"/>
        </w:rPr>
        <w:t>SDG&amp;E's Condensed Consolidated Financial Statements include its accounts and the accounts of a variable interest entity of which SDG&amp;E is the primary beneficiary, as we discuss in Note 5 under "Variable Interest Entities." SDG&amp;E’s common stock is wholly owned by Enova Corporation, which is a wholly owned subsidiary of Sempra Energy.</w:t>
      </w:r>
    </w:p>
    <w:p>
      <w:pPr>
        <w:sectPr>
          <w:pgSz w:w="11900" w:h="16838" w:orient="portrait"/>
          <w:cols w:equalWidth="0" w:num="1">
            <w:col w:w="11440"/>
          </w:cols>
          <w:pgMar w:left="240" w:top="141" w:right="219" w:bottom="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Pacific Enterprises and SoCalGas</w:t>
      </w:r>
    </w:p>
    <w:p>
      <w:pPr>
        <w:sectPr>
          <w:pgSz w:w="11900" w:h="16838" w:orient="portrait"/>
          <w:cols w:equalWidth="0" w:num="1">
            <w:col w:w="11440"/>
          </w:cols>
          <w:pgMar w:left="240" w:top="141" w:right="219" w:bottom="0" w:gutter="0" w:footer="0" w:header="0"/>
          <w:type w:val="continuous"/>
        </w:sectPr>
      </w:pPr>
    </w:p>
    <w:bookmarkStart w:id="12" w:name="page13"/>
    <w:bookmarkEnd w:id="12"/>
    <w:p>
      <w:pPr>
        <w:jc w:val="both"/>
        <w:ind w:right="40"/>
        <w:spacing w:after="0" w:line="265" w:lineRule="auto"/>
        <w:rPr>
          <w:sz w:val="20"/>
          <w:szCs w:val="20"/>
          <w:color w:val="auto"/>
        </w:rPr>
      </w:pPr>
      <w:r>
        <w:rPr>
          <w:rFonts w:ascii="Arial" w:cs="Arial" w:eastAsia="Arial" w:hAnsi="Arial"/>
          <w:sz w:val="16"/>
          <w:szCs w:val="16"/>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serving as a holding company for SoCalGas.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is a combined report of Sempra Energy, SDG&amp;E, PE and SoCalGas. We provide separate information for SDG&amp;E, PE and SoCalGas as required. In the Notes to Condensed Consolidated Financial Statements (except in Note 11),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74"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June 30, 2010 through the date the financial statements were issued, and in the opinion of management, the accompanying statements reflect all adjustments necessary for a fair presentation. These adjustments are only of a normal, recurring nature.</w:t>
      </w:r>
    </w:p>
    <w:p>
      <w:pPr>
        <w:spacing w:after="0" w:line="15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You should read the information in this Quarterly Report in conjunction with our Annual Report on Form 10-K for the year ended December 31, 2009 (the Annual Report), and our Quarterly Report on Form 10-Q for the quarter ended March 31, 2010, which are combined reports for Sempra Energy, SDG&amp;E, PE and SoCalGas.</w:t>
      </w:r>
    </w:p>
    <w:p>
      <w:pPr>
        <w:spacing w:after="0" w:line="41"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Our significant accounting policies are described in Note 1 of the Notes to Consolidated Financial Statements in the Annual Report. We follow the same accounting policies for interim reporting purposes, except for the adoption of new accounting standards as we discuss in Note 2.</w:t>
      </w:r>
    </w:p>
    <w:p>
      <w:pPr>
        <w:spacing w:after="0" w:line="64" w:lineRule="exact"/>
        <w:rPr>
          <w:sz w:val="20"/>
          <w:szCs w:val="20"/>
          <w:color w:val="auto"/>
        </w:rPr>
      </w:pPr>
    </w:p>
    <w:p>
      <w:pPr>
        <w:ind w:right="160"/>
        <w:spacing w:after="0" w:line="350" w:lineRule="auto"/>
        <w:rPr>
          <w:sz w:val="20"/>
          <w:szCs w:val="20"/>
          <w:color w:val="auto"/>
        </w:rPr>
      </w:pPr>
      <w:r>
        <w:rPr>
          <w:rFonts w:ascii="Arial" w:cs="Arial" w:eastAsia="Arial" w:hAnsi="Arial"/>
          <w:sz w:val="14"/>
          <w:szCs w:val="14"/>
          <w:color w:val="auto"/>
        </w:rPr>
        <w:t>The Sempra Utilities and Sempra Pipelines &amp; Storage's Mobile Gas Service Corporation (Mobile Gas) and Ecogas Mexico, S de RL de CV (Ecogas) prepare their financial statements in accordance with GAAP provisions governing regulated operations, as we discuss in Note 1 of the Notes to Consolidated Financial Statements in the Annual Report.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Orange Grove Energy L.P.</w:t>
      </w:r>
    </w:p>
    <w:p>
      <w:pPr>
        <w:spacing w:after="0" w:line="5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SDG&amp;E has a 25-year tolling agreement to purchase power generated by Orange Grove Energy L.P. (Orange Gr ove) at its 99-megawatt (MW) generating facility located in San Diego County, California. Under a tolling agreement, SDG&amp;E purchases power generated by facilities for which it supplies all of the natural gas to fuel the power plant. In the third quarter of 2009, Sempra Energy and SDG&amp;E determined that Orange Grove was a VIE and that SDG&amp;E was the primary beneficiary of the VIE based on the criteria in GAAP as written at that time and applicable through December 31, 2009. Sempra Energy and SDG&amp;E therefore consolidated Orange Grove beginning in the third quarter of 2009 through December 31, 2009.</w:t>
      </w:r>
    </w:p>
    <w:p>
      <w:pPr>
        <w:spacing w:after="0" w:line="71"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 xml:space="preserve">In the first quarter of 2010, Accounting Standards Update (ASU) 2009-17, </w:t>
      </w:r>
      <w:r>
        <w:rPr>
          <w:rFonts w:ascii="Arial" w:cs="Arial" w:eastAsia="Arial" w:hAnsi="Arial"/>
          <w:sz w:val="16"/>
          <w:szCs w:val="16"/>
          <w:i w:val="1"/>
          <w:iCs w:val="1"/>
          <w:color w:val="auto"/>
        </w:rPr>
        <w:t>“Improvements to Financial Reporting by Enterprises Involved with Variable Interest Entities”</w:t>
      </w:r>
      <w:r>
        <w:rPr>
          <w:rFonts w:ascii="Arial" w:cs="Arial" w:eastAsia="Arial" w:hAnsi="Arial"/>
          <w:sz w:val="16"/>
          <w:szCs w:val="16"/>
          <w:color w:val="auto"/>
        </w:rPr>
        <w:t xml:space="preserve"> (ASU 2009-17), which we discuss in Note 2 below, became effective. Applying the guidance in ASU 2009-17, which indicated that because of SDG&amp;E’s obligation to absor b the natural gas costs for the fuel to operate the facility, along with the power to direct the dispatch, Sempra Energy and SDG&amp;E continued to consolidate Orange Grove in the first quarter of 2010.</w:t>
      </w:r>
    </w:p>
    <w:p>
      <w:pPr>
        <w:spacing w:after="0" w:line="70"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current quarter, Sempra Energy and SDG&amp;E reevaluated the provisions of ASU 2009-17 as they apply to Orange Grove. Sempra Energy and SDG&amp;E determined that because the Orange Grove facility is a peaker plant, it operates infrequently to meet peak power needs. We believe that the owners of Orange Grove retain the most significant economic power through their control over operations and maintenance of the plant, which impacts the capacity payments under the agreement that are expected to have the greatest effect on the overall economic performance of the entity. Accordingly, SDG&amp;E does not have the right to direct activities that most significantly impact the economic performance of Orange Grove, and Sempra Energy and SDG&amp;E should not co nsolidate Orange Grove, but instead should record the agreement as a capital lease. The effect of this change has no effect on Sempra Energy’s or SDG&amp;E’s earnings and is not material to their previously issued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Presentation of Restricted Cash</w:t>
      </w:r>
    </w:p>
    <w:p>
      <w:pPr>
        <w:spacing w:after="0" w:line="60"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In Sempra Energy’s previously issued financial statements, we presented all restricted cash as a current asset on the balance sheet. At both June 30, 2010 and December 31, 2009, $27 million of restricted cash represents funds held in trust for construction financing of certain natural gas storage facilities of Sempra Pipelines &amp; Storage. Because this restricted cash will be expended for construction of long-lived assets, we have concluded that these amounts should be presented as a noncurrent asset. At June 30, 2010, this restricted cash is presented as Restricted Cash under Investments and Other Assets on t he Condensed Consolidated Balance Sheet. We believe that the effect of presentation of restricted cash is not material to the previously issued balance sheets and have not corrected the classification of the restricted cash amount at December 31, 2009. The presentation of restricted cash on the balance sheet has no impact on earnings or cash flows for any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370840</wp:posOffset>
            </wp:positionV>
            <wp:extent cx="72599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NOTE 2. NEW ACCOUNTING STANDARDS</w:t>
      </w:r>
    </w:p>
    <w:p>
      <w:pPr>
        <w:spacing w:after="0" w:line="95"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PE AND SOCALGAS</w:t>
      </w:r>
    </w:p>
    <w:p>
      <w:pPr>
        <w:spacing w:after="0" w:line="104"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i w:val="1"/>
          <w:iCs w:val="1"/>
          <w:color w:val="auto"/>
        </w:rPr>
        <w:t xml:space="preserve">ASU 2009-17, "Improvements to Financial Reporting by Enterprises Involved with Variable Interest Entities" (ASU 2009-17): </w:t>
      </w:r>
      <w:r>
        <w:rPr>
          <w:rFonts w:ascii="Arial" w:cs="Arial" w:eastAsia="Arial" w:hAnsi="Arial"/>
          <w:sz w:val="16"/>
          <w:szCs w:val="16"/>
          <w:color w:val="auto"/>
        </w:rPr>
        <w:t>ASU 2009-17 amends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Standards Board (FASB) Interpretation No. 46(R), </w:t>
      </w:r>
      <w:r>
        <w:rPr>
          <w:rFonts w:ascii="Arial" w:cs="Arial" w:eastAsia="Arial" w:hAnsi="Arial"/>
          <w:sz w:val="16"/>
          <w:szCs w:val="16"/>
          <w:i w:val="1"/>
          <w:iCs w:val="1"/>
          <w:color w:val="auto"/>
        </w:rPr>
        <w:t>Consolidation of Variable Interest Entities – an interpretation of ARB No. 51</w:t>
      </w:r>
      <w:r>
        <w:rPr>
          <w:rFonts w:ascii="Arial" w:cs="Arial" w:eastAsia="Arial" w:hAnsi="Arial"/>
          <w:sz w:val="16"/>
          <w:szCs w:val="16"/>
          <w:color w:val="auto"/>
        </w:rPr>
        <w:t xml:space="preserve"> (FIN 46(R)), which provides consolidation guidance related to variable interest entities.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ASU 2009-17 amends FASB Accounting Standards Codification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requires</w:t>
      </w:r>
    </w:p>
    <w:p>
      <w:pPr>
        <w:spacing w:after="0" w:line="60" w:lineRule="exact"/>
        <w:rPr>
          <w:sz w:val="20"/>
          <w:szCs w:val="20"/>
          <w:color w:val="auto"/>
        </w:rPr>
      </w:pPr>
    </w:p>
    <w:p>
      <w:pPr>
        <w:ind w:left="140" w:right="1500"/>
        <w:spacing w:after="0" w:line="326" w:lineRule="auto"/>
        <w:rPr>
          <w:sz w:val="20"/>
          <w:szCs w:val="20"/>
          <w:color w:val="auto"/>
        </w:rPr>
      </w:pPr>
      <w:r>
        <w:rPr>
          <w:rFonts w:ascii="Arial" w:cs="Arial" w:eastAsia="Arial" w:hAnsi="Arial"/>
          <w:sz w:val="14"/>
          <w:szCs w:val="14"/>
          <w:color w:val="auto"/>
        </w:rPr>
        <w:t>§a qualitative approach for identifying the primary beneficiary of a variable interest entity based on 1) the power to direct activities that most significantly impact the economic performance of the entity, and 2) the obligation to absorb losses or right to receive benefits that could be significant to the entity;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§ongoing reassessments of whether an enterprise is the primary beneficiary of a variable interest entity; and</w:t>
      </w:r>
    </w:p>
    <w:p>
      <w:pPr>
        <w:spacing w:after="0" w:line="60" w:lineRule="exact"/>
        <w:rPr>
          <w:sz w:val="20"/>
          <w:szCs w:val="20"/>
          <w:color w:val="auto"/>
        </w:rPr>
      </w:pPr>
    </w:p>
    <w:p>
      <w:pPr>
        <w:ind w:left="140" w:right="1360"/>
        <w:spacing w:after="0" w:line="276" w:lineRule="auto"/>
        <w:rPr>
          <w:sz w:val="20"/>
          <w:szCs w:val="20"/>
          <w:color w:val="auto"/>
        </w:rPr>
      </w:pPr>
      <w:r>
        <w:rPr>
          <w:rFonts w:ascii="Arial" w:cs="Arial" w:eastAsia="Arial" w:hAnsi="Arial"/>
          <w:sz w:val="16"/>
          <w:szCs w:val="16"/>
          <w:color w:val="auto"/>
        </w:rPr>
        <w:t>§separate disclosure by the primary beneficiary on the face of the balance sheet to identify 1) assets that can only be used to settle obligations of the variable interest entity, and 2) liabilities for which creditors do not have recourse to the primary beneficiary.</w:t>
      </w:r>
    </w:p>
    <w:p>
      <w:pPr>
        <w:spacing w:after="0" w:line="113"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We adopted ASU 2009-17 on January 1, 2010 and it did not have a mate rial effect on earnings, nor on presentation on the interim Condensed Consolidated Balance Sheets for Sempra Energy and SDG&amp;E. We provide the required additional disclosure in Note 5. ASU 2009-17 did not impact PE’s nor SoCalGas’ condensed consolidated financial statements.</w:t>
      </w:r>
    </w:p>
    <w:p>
      <w:pPr>
        <w:spacing w:after="0" w:line="7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 xml:space="preserve">ASU 2010-06, "Improving Disclosures About Fair Value Measurements" (ASU 2010-06): </w:t>
      </w:r>
      <w:r>
        <w:rPr>
          <w:rFonts w:ascii="Arial" w:cs="Arial" w:eastAsia="Arial" w:hAnsi="Arial"/>
          <w:sz w:val="16"/>
          <w:szCs w:val="16"/>
          <w:color w:val="auto"/>
        </w:rPr>
        <w:t>ASU 2010-06 amends ASC Topic 820,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 and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the following additional fair value measurement disclosures: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into and out of Levels 1 and 2</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§segregation of classes of asse ts and liabilities measured at fair value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§valuation techniques and inputs used for Level 2 and Level 3 instruments</w:t>
      </w:r>
    </w:p>
    <w:p>
      <w:pPr>
        <w:sectPr>
          <w:pgSz w:w="11900" w:h="16838" w:orient="portrait"/>
          <w:cols w:equalWidth="0" w:num="1">
            <w:col w:w="11420"/>
          </w:cols>
          <w:pgMar w:left="240" w:top="131" w:right="239" w:bottom="0" w:gutter="0" w:footer="0" w:header="0"/>
        </w:sectPr>
      </w:pPr>
    </w:p>
    <w:bookmarkStart w:id="13" w:name="page14"/>
    <w:bookmarkEnd w:id="13"/>
    <w:p>
      <w:pPr>
        <w:ind w:right="3660" w:firstLine="152"/>
        <w:spacing w:after="0" w:line="514" w:lineRule="auto"/>
        <w:rPr>
          <w:sz w:val="20"/>
          <w:szCs w:val="20"/>
          <w:color w:val="auto"/>
        </w:rPr>
      </w:pPr>
      <w:r>
        <w:rPr>
          <w:rFonts w:ascii="Arial" w:cs="Arial" w:eastAsia="Arial" w:hAnsi="Arial"/>
          <w:sz w:val="15"/>
          <w:szCs w:val="15"/>
          <w:color w:val="auto"/>
        </w:rPr>
        <w:t>§detailed activity for Level 3 instruments, including separate presentation of purchases, sales, issuances and settlements We adopted ASU 2010-06on January 1, 2010, and we provide the additional disclosure in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2599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NOTE 3. RECENT INVESTMENT ACTIVITY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Mexican Pipeline and Natural Gas Infrastructure</w:t>
      </w:r>
    </w:p>
    <w:p>
      <w:pPr>
        <w:spacing w:after="0" w:line="60" w:lineRule="exact"/>
        <w:rPr>
          <w:sz w:val="20"/>
          <w:szCs w:val="20"/>
          <w:color w:val="auto"/>
        </w:rPr>
      </w:pPr>
    </w:p>
    <w:p>
      <w:pPr>
        <w:ind w:right="620"/>
        <w:spacing w:after="0" w:line="276" w:lineRule="auto"/>
        <w:rPr>
          <w:sz w:val="20"/>
          <w:szCs w:val="20"/>
          <w:color w:val="auto"/>
        </w:rPr>
      </w:pPr>
      <w:r>
        <w:rPr>
          <w:rFonts w:ascii="Arial" w:cs="Arial" w:eastAsia="Arial" w:hAnsi="Arial"/>
          <w:sz w:val="16"/>
          <w:szCs w:val="16"/>
          <w:color w:val="auto"/>
        </w:rPr>
        <w:t>On April 30, 2010, Sempra Pipelines &amp; Storage completed an acquisition resulting in the purchase of the Mexican pipeline and natural gas infrastructure assets of El Paso Corporation for $307 million ($292 million, net of cash acquired).</w:t>
      </w:r>
    </w:p>
    <w:p>
      <w:pPr>
        <w:spacing w:after="0" w:line="6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The acquisition consists of El Paso Corporation’s wholly owned natural gas pipeline and compression assets in the Mexican border state of Sonora and its 50-percent interest in a joint venture with PEMEX, the Mexican state-owned oil company. The joint venture operates two natural gas pipelines and a propane system in northern Mexico. The acquisition expands our scale and geographic footprint in a strong growth region in Mexico. The pipeline assets are backe d substantially by long-term contracts with a history of consistent revenue streams, allowing us to expand our natural gas infrastructure business in northern Mexico.</w:t>
      </w:r>
    </w:p>
    <w:p>
      <w:pPr>
        <w:spacing w:after="0" w:line="25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allocation of the purchase price is preliminary and will be completed when we receive final closing information from El Paso Corporation. The following table summarizes the preliminary consideration paid in the acquisition and the recognized amounts of the assets acquired and liabilities assumed at April 30, 2010:</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&lt; tr style=HEIGHT:12.75pt&gt;</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Cash consideration (fair value of total consideration)</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Recognized amounts of identifiable assets acquired and liabilities assumed:</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Cash</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Accounts receivable</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Investment in equity method investee</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Property, plant &amp; equipment</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Other liabilities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identifiable net assets</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Goodwill(1)</w:t>
      </w:r>
    </w:p>
    <w:p>
      <w:pPr>
        <w:spacing w:after="0" w:line="278" w:lineRule="exact"/>
        <w:rPr>
          <w:sz w:val="20"/>
          <w:szCs w:val="20"/>
          <w:color w:val="auto"/>
        </w:rPr>
      </w:pPr>
    </w:p>
    <w:p>
      <w:pPr>
        <w:ind w:left="440" w:right="3200" w:hanging="352"/>
        <w:spacing w:after="0" w:line="288" w:lineRule="auto"/>
        <w:rPr>
          <w:sz w:val="20"/>
          <w:szCs w:val="20"/>
          <w:color w:val="auto"/>
        </w:rPr>
      </w:pPr>
      <w:r>
        <w:rPr>
          <w:rFonts w:ascii="Arial" w:cs="Arial" w:eastAsia="Arial" w:hAnsi="Arial"/>
          <w:sz w:val="15"/>
          <w:szCs w:val="15"/>
          <w:color w:val="auto"/>
        </w:rPr>
        <w:t>Acquisition-related costs (included in Other Operation and Maintenance expense in the Condensed Consolidated Statements of Operations for the three months and six months ended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725995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16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13608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258"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15</w:t>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4</w:t>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256</w:t>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25</w:t>
      </w:r>
    </w:p>
    <w:p>
      <w:pPr>
        <w:spacing w:after="0" w:line="4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13608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&amp;n bsp;289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13608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15" w:lineRule="exact"/>
        <w:rPr>
          <w:sz w:val="20"/>
          <w:szCs w:val="20"/>
          <w:color w:val="auto"/>
        </w:rPr>
      </w:pPr>
    </w:p>
    <w:p>
      <w:pPr>
        <w:spacing w:after="0"/>
        <w:tabs>
          <w:tab w:leader="none" w:pos="17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13608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608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w:t>
      </w:r>
    </w:p>
    <w:p>
      <w:pPr>
        <w:spacing w:after="0" w:line="11" w:lineRule="exact"/>
        <w:rPr>
          <w:sz w:val="20"/>
          <w:szCs w:val="20"/>
          <w:color w:val="auto"/>
        </w:rPr>
      </w:pPr>
    </w:p>
    <w:p>
      <w:pPr>
        <w:sectPr>
          <w:pgSz w:w="11900" w:h="16838" w:orient="portrait"/>
          <w:cols w:equalWidth="0" w:num="2">
            <w:col w:w="8660" w:space="720"/>
            <w:col w:w="2020"/>
          </w:cols>
          <w:pgMar w:left="240" w:top="131" w:right="259" w:bottom="0" w:gutter="0" w:footer="0" w:header="0"/>
          <w:type w:val="continuous"/>
        </w:sectPr>
      </w:pPr>
    </w:p>
    <w:p>
      <w:pPr>
        <w:ind w:left="440" w:right="100" w:hanging="349"/>
        <w:spacing w:after="0" w:line="266" w:lineRule="auto"/>
        <w:tabs>
          <w:tab w:leader="none" w:pos="4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The goodwill, which represents the residual of the consideration paid over the identifiable net assets, is assigned to the Sempra Pipelines &amp; Storage segment and is attributed to the strategic value of the transaction. None of the goodwill recorded is deductible in Mexico for income tax purposes.</w:t>
      </w:r>
    </w:p>
    <w:p>
      <w:pPr>
        <w:spacing w:after="0" w:line="200" w:lineRule="exact"/>
        <w:rPr>
          <w:sz w:val="20"/>
          <w:szCs w:val="20"/>
          <w:color w:val="auto"/>
        </w:rPr>
      </w:pPr>
    </w:p>
    <w:p>
      <w:pPr>
        <w:spacing w:after="0" w:line="28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Included in our Condensed Consolidated Statements of Operations are revenues and earnings of $1 million and $5 million, respectively, for the period May 1, 2010 to June 30, 2010 related to the assets acquired from El Paso Corporation. Proforma impacts on revenues and earnings for Sempra Energy had the acquisition occurred on January 1, 2009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Gas Storage Projects</w:t>
      </w:r>
    </w:p>
    <w:p>
      <w:pPr>
        <w:spacing w:after="0" w:line="6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Sempra Pipelines &amp; Storage’s Sempra Midstream owned 60 percent of Mississippi Hub, LLC (Mississippi Hub) through December 31, 2008 and on January 16, 2009, purchased the remaining 40-percent ownership interest for $94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2599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NOTE 4. INVESTMENTS IN UNCONSOLIDATED ENTITIES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AND SDG&amp;E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vailable-for-Sale Securities</w:t>
      </w:r>
    </w:p>
    <w:p>
      <w:pPr>
        <w:spacing w:after="0" w:line="60" w:lineRule="exact"/>
        <w:rPr>
          <w:sz w:val="20"/>
          <w:szCs w:val="20"/>
          <w:color w:val="auto"/>
        </w:rPr>
      </w:pPr>
    </w:p>
    <w:p>
      <w:pPr>
        <w:ind w:right="300"/>
        <w:spacing w:after="0" w:line="350" w:lineRule="auto"/>
        <w:rPr>
          <w:sz w:val="20"/>
          <w:szCs w:val="20"/>
          <w:color w:val="auto"/>
        </w:rPr>
      </w:pPr>
      <w:r>
        <w:rPr>
          <w:rFonts w:ascii="Arial" w:cs="Arial" w:eastAsia="Arial" w:hAnsi="Arial"/>
          <w:sz w:val="14"/>
          <w:szCs w:val="14"/>
          <w:color w:val="auto"/>
        </w:rPr>
        <w:t>In June 2009, SDG&amp;E remarketed $176 million of its industrial development bonds at a fixed rate of 5.875 percent, maturing in 2034. Prior to SDG&amp;E's remarketing, SDG&amp;E purchased $152 million of the bonds from Sempra Energy. We discuss these bonds further in Note 6 of the Notes to Consolidated Financial Statements in the Annual Report.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COMMODITIES</w:t>
      </w:r>
    </w:p>
    <w:p>
      <w:pPr>
        <w:spacing w:after="0" w:line="10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RBS Sempra Commodities LLP (RBS Sempra Commodities) is a limited liability partnership formed in the United Kingdom to own and operate the commodities-marketing businesses previously operated through wholly owned subsidiaries of Sempra Energy. We account for our investment in RBS Sempra Commodities under the equity method, and report our share of partnership earnings in the Sempra Commodities segment.</w:t>
      </w:r>
    </w:p>
    <w:p>
      <w:pPr>
        <w:spacing w:after="0" w:line="133"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For the three months and six months ended June 30, 2010, we recorded pretax equity losses of $16 million and $9 million, respectively, from RBS Sempra Commodities. Pretax equity earnings from RBS Sempra Commodities were $126 million and $279 million for the three months and six months ended June 30, 2009, respectively. The partnership income that is distributable to us on an annual basis is computed on the partnership's basis of accounting, International Financial Reporting Standards (IFRS), as adopted by the European Union. For the three months and six months ended June 30, 2010, our share of distributable income, on an IFRS basis, was $32 million and $31 million, respectively. In the three months and six months ended June 30, 2009, our share of distributable income, on an IFRS basis, was $102 million and $216 million, respectively. In the second quarter of 2010, we received the remaining distribution of 2009 partnership income of $198 million. In the first six months of 2009, we received cash distributions from the partnership of $375 million. We discuss the equity method investment in RBS Sempra Commodities further in Note 4 of the Notes to Consolidated Financial Statements in the Annual Report.</w:t>
      </w:r>
    </w:p>
    <w:p>
      <w:pPr>
        <w:spacing w:after="0" w:line="11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We have indemnified the partnership for certain litigation and tax liabilities related to the businesses purchased by the partnership. We recorded these obligations at a fair value of $5 million on April 1, 2008, the date we formed the partnership. This liability is being amortized over its expected life.</w:t>
      </w:r>
    </w:p>
    <w:p>
      <w:pPr>
        <w:sectPr>
          <w:pgSz w:w="11900" w:h="16838" w:orient="portrait"/>
          <w:cols w:equalWidth="0" w:num="1">
            <w:col w:w="11400"/>
          </w:cols>
          <w:pgMar w:left="240" w:top="131" w:right="259" w:bottom="0" w:gutter="0" w:footer="0" w:header="0"/>
          <w:type w:val="continuous"/>
        </w:sectPr>
      </w:pPr>
    </w:p>
    <w:bookmarkStart w:id="14" w:name="page15"/>
    <w:bookmarkEnd w:id="14"/>
    <w:p>
      <w:pPr>
        <w:spacing w:after="0" w:line="71"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In November 2009, RBS announced its intention to divest its interest in RBS Sempra Commodities in connection with a directive from the European Commission to dispose of certain assets. In February 2010, Sempra Energy, RBS and the partnership (Seller Parties) entered into an agreement (the Purchase Agreement) with J.P. Morgan Ventures Energy Corporation (J.P. Morgan Ve ntures), for J.P. Morgan Ventures to purchase the following businesses from the joint venture:</w:t>
      </w:r>
    </w:p>
    <w:p>
      <w:pPr>
        <w:spacing w:after="0" w:line="57" w:lineRule="exact"/>
        <w:rPr>
          <w:sz w:val="20"/>
          <w:szCs w:val="20"/>
          <w:color w:val="auto"/>
        </w:rPr>
      </w:pPr>
    </w:p>
    <w:p>
      <w:pPr>
        <w:ind w:left="140" w:right="1320"/>
        <w:spacing w:after="0" w:line="276" w:lineRule="auto"/>
        <w:rPr>
          <w:sz w:val="20"/>
          <w:szCs w:val="20"/>
          <w:color w:val="auto"/>
        </w:rPr>
      </w:pPr>
      <w:r>
        <w:rPr>
          <w:rFonts w:ascii="Arial" w:cs="Arial" w:eastAsia="Arial" w:hAnsi="Arial"/>
          <w:sz w:val="16"/>
          <w:szCs w:val="16"/>
          <w:color w:val="auto"/>
        </w:rPr>
        <w:t>§the global oil, metals, coal, emissions (other than emissions related to the partnership’s North American power business), plastics, agricultural commodities and concentrates commodities trading and marketing business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European power and gas business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investor products business</w:t>
      </w:r>
    </w:p>
    <w:p>
      <w:pPr>
        <w:spacing w:after="0" w:line="1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Purchase Agreement does not include RBS Sempra Commodities' North American power and natural gas trading businesses and its retail energy solutions business. These businesses have historic ally generated 40 to 60 percent of total earnings of the businesses in the partnership, and have averaged more than 50 percent. RBS and Sempra Energy are actively soliciting offers for the sale of these remaining businesses.</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The transaction with J.P. Morgan Ventures was completed on July 1, 2010 and we received the majority of the proceeds in early July 2010. The purchase price was $1.6 billion, and our share of the proceeds is approximately $1 billion, including distributions of 2009 partnership income attributable to the businesses sold, which were $134 million of the $198 million in distributions we received in April 2010. We and RBS continue to engage in an active sales process for the remaining partnership businesses. Based on preliminary indications of value from potential buyers and discussions with our partner with respect to the ultimate allocation of proceeds, we currently believe that our share of the proceeds from the partnership for the sale to J.P. Morgan Ventures and proceeds from the sale or ultimate disposition of the remaining joint venture assets will be sufficient such that their application to our equity method investment will not have a material effect on our earnings. We and RBS are also continuing to discuss amending various provisions to our partnership agreement in light of the sale to J.P. Morgan Ventures and the sales process for the remaining businesses.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summarized financial information for RBS Sempra Commodities (on a GAAP basis):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Three months ended June 30,</w:t>
            </w: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color w:val="auto"/>
              </w:rPr>
              <w:t>Six months ended June 30,</w:t>
            </w:r>
          </w:p>
        </w:tc>
      </w:tr>
      <w:tr>
        <w:trPr>
          <w:trHeight w:val="150"/>
        </w:trPr>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color w:val="auto"/>
              </w:rPr>
              <w:t>2009</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2010</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3"/>
                <w:szCs w:val="13"/>
                <w:color w:val="auto"/>
              </w:rPr>
              <w:t>2009</w:t>
            </w:r>
          </w:p>
        </w:tc>
      </w:tr>
      <w:tr>
        <w:trPr>
          <w:trHeight w:val="226"/>
        </w:trPr>
        <w:tc>
          <w:tcPr>
            <w:tcW w:w="2960" w:type="dxa"/>
            <w:vAlign w:val="bottom"/>
          </w:tcPr>
          <w:p>
            <w:pPr>
              <w:ind w:left="100"/>
              <w:spacing w:after="0"/>
              <w:rPr>
                <w:sz w:val="20"/>
                <w:szCs w:val="20"/>
                <w:color w:val="auto"/>
              </w:rPr>
            </w:pPr>
            <w:r>
              <w:rPr>
                <w:rFonts w:ascii="Arial" w:cs="Arial" w:eastAsia="Arial" w:hAnsi="Arial"/>
                <w:sz w:val="19"/>
                <w:szCs w:val="19"/>
                <w:color w:val="auto"/>
              </w:rPr>
              <w:t>Gross revenues and fee income</w:t>
            </w:r>
          </w:p>
        </w:tc>
        <w:tc>
          <w:tcPr>
            <w:tcW w:w="240" w:type="dxa"/>
            <w:vAlign w:val="bottom"/>
          </w:tcPr>
          <w:p>
            <w:pPr>
              <w:ind w:left="8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188</w:t>
            </w:r>
          </w:p>
        </w:tc>
        <w:tc>
          <w:tcPr>
            <w:tcW w:w="2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9"/>
              <w:spacing w:after="0"/>
              <w:rPr>
                <w:sz w:val="20"/>
                <w:szCs w:val="20"/>
                <w:color w:val="auto"/>
              </w:rPr>
            </w:pPr>
            <w:r>
              <w:rPr>
                <w:rFonts w:ascii="Arial" w:cs="Arial" w:eastAsia="Arial" w:hAnsi="Arial"/>
                <w:sz w:val="15"/>
                <w:szCs w:val="15"/>
                <w:color w:val="auto"/>
              </w:rPr>
              <w:t>367</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9"/>
              <w:spacing w:after="0"/>
              <w:rPr>
                <w:sz w:val="20"/>
                <w:szCs w:val="20"/>
                <w:color w:val="auto"/>
              </w:rPr>
            </w:pPr>
            <w:r>
              <w:rPr>
                <w:rFonts w:ascii="Arial" w:cs="Arial" w:eastAsia="Arial" w:hAnsi="Arial"/>
                <w:sz w:val="15"/>
                <w:szCs w:val="15"/>
                <w:color w:val="auto"/>
              </w:rPr>
              <w:t>394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47"/>
              <w:spacing w:after="0"/>
              <w:rPr>
                <w:sz w:val="20"/>
                <w:szCs w:val="20"/>
                <w:color w:val="auto"/>
              </w:rPr>
            </w:pPr>
            <w:r>
              <w:rPr>
                <w:rFonts w:ascii="Arial" w:cs="Arial" w:eastAsia="Arial" w:hAnsi="Arial"/>
                <w:sz w:val="15"/>
                <w:szCs w:val="15"/>
                <w:color w:val="auto"/>
              </w:rPr>
              <w:t>876</w:t>
            </w:r>
          </w:p>
        </w:tc>
      </w:tr>
      <w:tr>
        <w:trPr>
          <w:trHeight w:val="211"/>
        </w:trPr>
        <w:tc>
          <w:tcPr>
            <w:tcW w:w="2960" w:type="dxa"/>
            <w:vAlign w:val="bottom"/>
          </w:tcPr>
          <w:p>
            <w:pPr>
              <w:ind w:left="100"/>
              <w:spacing w:after="0"/>
              <w:rPr>
                <w:sz w:val="20"/>
                <w:szCs w:val="20"/>
                <w:color w:val="auto"/>
              </w:rPr>
            </w:pPr>
            <w:r>
              <w:rPr>
                <w:rFonts w:ascii="Arial" w:cs="Arial" w:eastAsia="Arial" w:hAnsi="Arial"/>
                <w:sz w:val="15"/>
                <w:szCs w:val="15"/>
                <w:color w:val="auto"/>
              </w:rPr>
              <w:t>Gross profit</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174</w:t>
            </w:r>
          </w:p>
        </w:tc>
        <w:tc>
          <w:tcPr>
            <w:tcW w:w="260" w:type="dxa"/>
            <w:vAlign w:val="bottom"/>
          </w:tcPr>
          <w:p>
            <w:pPr>
              <w:spacing w:after="0"/>
              <w:rPr>
                <w:sz w:val="18"/>
                <w:szCs w:val="18"/>
                <w:color w:val="auto"/>
              </w:rPr>
            </w:pPr>
          </w:p>
        </w:tc>
        <w:tc>
          <w:tcPr>
            <w:tcW w:w="720" w:type="dxa"/>
            <w:vAlign w:val="bottom"/>
          </w:tcPr>
          <w:p>
            <w:pPr>
              <w:jc w:val="right"/>
              <w:ind w:right="69"/>
              <w:spacing w:after="0"/>
              <w:rPr>
                <w:sz w:val="20"/>
                <w:szCs w:val="20"/>
                <w:color w:val="auto"/>
              </w:rPr>
            </w:pPr>
            <w:r>
              <w:rPr>
                <w:rFonts w:ascii="Arial" w:cs="Arial" w:eastAsia="Arial" w:hAnsi="Arial"/>
                <w:sz w:val="15"/>
                <w:szCs w:val="15"/>
                <w:color w:val="auto"/>
              </w:rPr>
              <w:t>342</w:t>
            </w:r>
          </w:p>
        </w:tc>
        <w:tc>
          <w:tcPr>
            <w:tcW w:w="240" w:type="dxa"/>
            <w:vAlign w:val="bottom"/>
          </w:tcPr>
          <w:p>
            <w:pPr>
              <w:spacing w:after="0"/>
              <w:rPr>
                <w:sz w:val="18"/>
                <w:szCs w:val="18"/>
                <w:color w:val="auto"/>
              </w:rPr>
            </w:pPr>
          </w:p>
        </w:tc>
        <w:tc>
          <w:tcPr>
            <w:tcW w:w="640" w:type="dxa"/>
            <w:vAlign w:val="bottom"/>
          </w:tcPr>
          <w:p>
            <w:pPr>
              <w:jc w:val="right"/>
              <w:ind w:right="69"/>
              <w:spacing w:after="0"/>
              <w:rPr>
                <w:sz w:val="20"/>
                <w:szCs w:val="20"/>
                <w:color w:val="auto"/>
              </w:rPr>
            </w:pPr>
            <w:r>
              <w:rPr>
                <w:rFonts w:ascii="Arial" w:cs="Arial" w:eastAsia="Arial" w:hAnsi="Arial"/>
                <w:sz w:val="15"/>
                <w:szCs w:val="15"/>
                <w:color w:val="auto"/>
              </w:rPr>
              <w:t>372</w:t>
            </w:r>
          </w:p>
        </w:tc>
        <w:tc>
          <w:tcPr>
            <w:tcW w:w="220" w:type="dxa"/>
            <w:vAlign w:val="bottom"/>
          </w:tcPr>
          <w:p>
            <w:pPr>
              <w:spacing w:after="0"/>
              <w:rPr>
                <w:sz w:val="18"/>
                <w:szCs w:val="18"/>
                <w:color w:val="auto"/>
              </w:rPr>
            </w:pPr>
          </w:p>
        </w:tc>
        <w:tc>
          <w:tcPr>
            <w:tcW w:w="660" w:type="dxa"/>
            <w:vAlign w:val="bottom"/>
            <w:gridSpan w:val="2"/>
          </w:tcPr>
          <w:p>
            <w:pPr>
              <w:jc w:val="right"/>
              <w:ind w:right="47"/>
              <w:spacing w:after="0"/>
              <w:rPr>
                <w:sz w:val="20"/>
                <w:szCs w:val="20"/>
                <w:color w:val="auto"/>
              </w:rPr>
            </w:pPr>
            <w:r>
              <w:rPr>
                <w:rFonts w:ascii="Arial" w:cs="Arial" w:eastAsia="Arial" w:hAnsi="Arial"/>
                <w:sz w:val="15"/>
                <w:szCs w:val="15"/>
                <w:color w:val="auto"/>
              </w:rPr>
              <w:t>828</w:t>
            </w:r>
          </w:p>
        </w:tc>
      </w:tr>
      <w:tr>
        <w:trPr>
          <w:trHeight w:val="219"/>
        </w:trPr>
        <w:tc>
          <w:tcPr>
            <w:tcW w:w="2960" w:type="dxa"/>
            <w:vAlign w:val="bottom"/>
          </w:tcPr>
          <w:p>
            <w:pPr>
              <w:ind w:left="100"/>
              <w:spacing w:after="0"/>
              <w:rPr>
                <w:sz w:val="20"/>
                <w:szCs w:val="20"/>
                <w:color w:val="auto"/>
              </w:rPr>
            </w:pPr>
            <w:r>
              <w:rPr>
                <w:rFonts w:ascii="Arial" w:cs="Arial" w:eastAsia="Arial" w:hAnsi="Arial"/>
                <w:sz w:val="15"/>
                <w:szCs w:val="15"/>
                <w:color w:val="auto"/>
              </w:rPr>
              <w:t>I ncome (loss) from continuing operations</w:t>
            </w:r>
          </w:p>
        </w:tc>
        <w:tc>
          <w:tcPr>
            <w:tcW w:w="240" w:type="dxa"/>
            <w:vAlign w:val="bottom"/>
          </w:tcPr>
          <w:p>
            <w:pPr>
              <w:spacing w:after="0"/>
              <w:rPr>
                <w:sz w:val="19"/>
                <w:szCs w:val="19"/>
                <w:color w:val="auto"/>
              </w:rPr>
            </w:pPr>
          </w:p>
        </w:tc>
        <w:tc>
          <w:tcPr>
            <w:tcW w:w="700" w:type="dxa"/>
            <w:vAlign w:val="bottom"/>
          </w:tcPr>
          <w:p>
            <w:pPr>
              <w:jc w:val="right"/>
              <w:ind w:right="9"/>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19"/>
                <w:szCs w:val="19"/>
                <w:color w:val="auto"/>
              </w:rPr>
            </w:pPr>
          </w:p>
        </w:tc>
        <w:tc>
          <w:tcPr>
            <w:tcW w:w="720" w:type="dxa"/>
            <w:vAlign w:val="bottom"/>
          </w:tcPr>
          <w:p>
            <w:pPr>
              <w:jc w:val="right"/>
              <w:ind w:right="69"/>
              <w:spacing w:after="0"/>
              <w:rPr>
                <w:sz w:val="20"/>
                <w:szCs w:val="20"/>
                <w:color w:val="auto"/>
              </w:rPr>
            </w:pPr>
            <w:r>
              <w:rPr>
                <w:rFonts w:ascii="Arial" w:cs="Arial" w:eastAsia="Arial" w:hAnsi="Arial"/>
                <w:sz w:val="15"/>
                <w:szCs w:val="15"/>
                <w:color w:val="auto"/>
              </w:rPr>
              <w:t>153</w:t>
            </w:r>
          </w:p>
        </w:tc>
        <w:tc>
          <w:tcPr>
            <w:tcW w:w="240" w:type="dxa"/>
            <w:vAlign w:val="bottom"/>
          </w:tcPr>
          <w:p>
            <w:pPr>
              <w:spacing w:after="0"/>
              <w:rPr>
                <w:sz w:val="19"/>
                <w:szCs w:val="19"/>
                <w:color w:val="auto"/>
              </w:rPr>
            </w:pPr>
          </w:p>
        </w:tc>
        <w:tc>
          <w:tcPr>
            <w:tcW w:w="640" w:type="dxa"/>
            <w:vAlign w:val="bottom"/>
          </w:tcPr>
          <w:p>
            <w:pPr>
              <w:jc w:val="right"/>
              <w:ind w:right="29"/>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9"/>
                <w:szCs w:val="19"/>
                <w:color w:val="auto"/>
              </w:rPr>
            </w:pPr>
          </w:p>
        </w:tc>
        <w:tc>
          <w:tcPr>
            <w:tcW w:w="660" w:type="dxa"/>
            <w:vAlign w:val="bottom"/>
            <w:gridSpan w:val="2"/>
          </w:tcPr>
          <w:p>
            <w:pPr>
              <w:jc w:val="right"/>
              <w:ind w:right="47"/>
              <w:spacing w:after="0"/>
              <w:rPr>
                <w:sz w:val="20"/>
                <w:szCs w:val="20"/>
                <w:color w:val="auto"/>
              </w:rPr>
            </w:pPr>
            <w:r>
              <w:rPr>
                <w:rFonts w:ascii="Arial" w:cs="Arial" w:eastAsia="Arial" w:hAnsi="Arial"/>
                <w:sz w:val="15"/>
                <w:szCs w:val="15"/>
                <w:color w:val="auto"/>
              </w:rPr>
              <w:t>389</w:t>
            </w:r>
          </w:p>
        </w:tc>
      </w:tr>
      <w:tr>
        <w:trPr>
          <w:trHeight w:val="228"/>
        </w:trPr>
        <w:tc>
          <w:tcPr>
            <w:tcW w:w="296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Partnership net income (loss)</w:t>
            </w:r>
          </w:p>
        </w:tc>
        <w:tc>
          <w:tcPr>
            <w:tcW w:w="240" w:type="dxa"/>
            <w:vAlign w:val="bottom"/>
            <w:tcBorders>
              <w:bottom w:val="single" w:sz="8" w:color="C0C0C0"/>
            </w:tcBorders>
          </w:tcPr>
          <w:p>
            <w:pPr>
              <w:spacing w:after="0"/>
              <w:rPr>
                <w:sz w:val="19"/>
                <w:szCs w:val="19"/>
                <w:color w:val="auto"/>
              </w:rPr>
            </w:pPr>
          </w:p>
        </w:tc>
        <w:tc>
          <w:tcPr>
            <w:tcW w:w="700" w:type="dxa"/>
            <w:vAlign w:val="bottom"/>
            <w:tcBorders>
              <w:bottom w:val="single" w:sz="8" w:color="C0C0C0"/>
            </w:tcBorders>
          </w:tcPr>
          <w:p>
            <w:pPr>
              <w:jc w:val="right"/>
              <w:ind w:right="9"/>
              <w:spacing w:after="0"/>
              <w:rPr>
                <w:sz w:val="20"/>
                <w:szCs w:val="20"/>
                <w:color w:val="auto"/>
              </w:rPr>
            </w:pPr>
            <w:r>
              <w:rPr>
                <w:rFonts w:ascii="Arial" w:cs="Arial" w:eastAsia="Arial" w:hAnsi="Arial"/>
                <w:sz w:val="15"/>
                <w:szCs w:val="15"/>
                <w:color w:val="auto"/>
              </w:rPr>
              <w:t>(23)</w:t>
            </w:r>
          </w:p>
        </w:tc>
        <w:tc>
          <w:tcPr>
            <w:tcW w:w="260" w:type="dxa"/>
            <w:vAlign w:val="bottom"/>
            <w:tcBorders>
              <w:bottom w:val="single" w:sz="8" w:color="C0C0C0"/>
            </w:tcBorders>
          </w:tcPr>
          <w:p>
            <w:pPr>
              <w:spacing w:after="0"/>
              <w:rPr>
                <w:sz w:val="19"/>
                <w:szCs w:val="19"/>
                <w:color w:val="auto"/>
              </w:rPr>
            </w:pPr>
          </w:p>
        </w:tc>
        <w:tc>
          <w:tcPr>
            <w:tcW w:w="720" w:type="dxa"/>
            <w:vAlign w:val="bottom"/>
            <w:tcBorders>
              <w:bottom w:val="single" w:sz="8" w:color="C0C0C0"/>
            </w:tcBorders>
          </w:tcPr>
          <w:p>
            <w:pPr>
              <w:jc w:val="right"/>
              <w:ind w:right="69"/>
              <w:spacing w:after="0"/>
              <w:rPr>
                <w:sz w:val="20"/>
                <w:szCs w:val="20"/>
                <w:color w:val="auto"/>
              </w:rPr>
            </w:pPr>
            <w:r>
              <w:rPr>
                <w:rFonts w:ascii="Arial" w:cs="Arial" w:eastAsia="Arial" w:hAnsi="Arial"/>
                <w:sz w:val="15"/>
                <w:szCs w:val="15"/>
                <w:color w:val="auto"/>
              </w:rPr>
              <w:t>153</w:t>
            </w:r>
          </w:p>
        </w:tc>
        <w:tc>
          <w:tcPr>
            <w:tcW w:w="240" w:type="dxa"/>
            <w:vAlign w:val="bottom"/>
            <w:tcBorders>
              <w:bottom w:val="single" w:sz="8" w:color="C0C0C0"/>
            </w:tcBorders>
          </w:tcPr>
          <w:p>
            <w:pPr>
              <w:spacing w:after="0"/>
              <w:rPr>
                <w:sz w:val="19"/>
                <w:szCs w:val="19"/>
                <w:color w:val="auto"/>
              </w:rPr>
            </w:pPr>
          </w:p>
        </w:tc>
        <w:tc>
          <w:tcPr>
            <w:tcW w:w="64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389</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provide information regarding the Sempra Commodities segment in Note 11.</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In the first quarter 2010, Sempra Pipelines &amp; Storage contributed $65 million to Rockies Express, a joint venture to own and operate the Rockies Express Pipeline, which contribution was the last required for the construction phase of the project. Sempra Pipelines &amp; Storage contributed $188 million in the three months ended June 30, 2009 and $213 million in the six months ended June 30, 2009. We discuss this investment in Note 4 of the Notes to Consolidated Financial Statements in the Annual Report.</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Sempra Pipelines &amp; Storage owns 43 percent of two Argentine natural gas utility holding companies, Sodigas Pampeana and Sodigas Sur.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 om Argentine governmental actions. In September 2007, the tribunal officially closed the arbitration proceedings and awarded us compensation of $172 million, which includes interest up to the award date. In January 2008, Argentina filed an action at the ICSID seeking to annul the award. In June 2010, the Annulment Committee granted Argentina’s petition for annulment of the award. This action did not impact our earnings, as we did not record the original award pending assurance of collectability. We are currently evaluating our options, which include filing a new arbitration claim against the Government of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312420</wp:posOffset>
            </wp:positionV>
            <wp:extent cx="72599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NOTE 5. OTHER FINANCIAL DATA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165"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We consolidate a VIE if we are the primary beneficiary of the VIE’s activities. Our determination of whether we are the primary beneficiary is based upon qualitative and quantitative analyses, which assess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purpose and design of the VIE;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nature of the VIE's risks and the risks we absorb;</w:t>
      </w:r>
    </w:p>
    <w:p>
      <w:pPr>
        <w:spacing w:after="0" w:line="60" w:lineRule="exact"/>
        <w:rPr>
          <w:sz w:val="20"/>
          <w:szCs w:val="20"/>
          <w:color w:val="auto"/>
        </w:rPr>
      </w:pPr>
    </w:p>
    <w:p>
      <w:pPr>
        <w:ind w:left="140" w:right="4700"/>
        <w:spacing w:after="0" w:line="422" w:lineRule="auto"/>
        <w:rPr>
          <w:sz w:val="20"/>
          <w:szCs w:val="20"/>
          <w:color w:val="auto"/>
        </w:rPr>
      </w:pPr>
      <w:r>
        <w:rPr>
          <w:rFonts w:ascii="Arial" w:cs="Arial" w:eastAsia="Arial" w:hAnsi="Arial"/>
          <w:sz w:val="14"/>
          <w:szCs w:val="14"/>
          <w:color w:val="auto"/>
        </w:rPr>
        <w:t>§the power to direct activities that most significantly impact the economic performance of the VIE; and §the obligation to absorb losses or right to receive benef its that could be significant to the VIE.</w:t>
      </w:r>
    </w:p>
    <w:p>
      <w:pPr>
        <w:spacing w:after="0" w:line="67" w:lineRule="exact"/>
        <w:rPr>
          <w:sz w:val="20"/>
          <w:szCs w:val="20"/>
          <w:color w:val="auto"/>
        </w:rPr>
      </w:pPr>
    </w:p>
    <w:p>
      <w:pPr>
        <w:ind w:right="600"/>
        <w:spacing w:after="0" w:line="298" w:lineRule="auto"/>
        <w:rPr>
          <w:sz w:val="20"/>
          <w:szCs w:val="20"/>
          <w:color w:val="auto"/>
        </w:rPr>
      </w:pPr>
      <w:r>
        <w:rPr>
          <w:rFonts w:ascii="Arial" w:cs="Arial" w:eastAsia="Arial" w:hAnsi="Arial"/>
          <w:sz w:val="14"/>
          <w:szCs w:val="14"/>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 seful life, SDG&amp;E may be the primary beneficiary of the facility. SDG&amp;E determines if it is the primary beneficiary in these cases based on the operational characteristics of the power plant, including its expected power generation output relative to its capacity to generate, among other factors. If we determine that SDG&amp;E is the primary beneficiary, Sempra Energy and SDG&amp;E consolidate the facility as a VIE, as we discuss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Otay Mesa VIE</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SDG&amp;E has a 10-year agreement to purchase power generated at the Otay Mesa Energy Center (OMEC), a 605-MW generating facility that began commercial operations in October 2009.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w:t>
      </w:r>
    </w:p>
    <w:p>
      <w:pPr>
        <w:spacing w:after="0" w:line="76"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Sempra Energy and SDG&amp;E have consolidated Otay Mesa VIE since the second quarter of 2007, and have continued to consolidate it through the second quarter of 2010. Otay Mesa VIE's equity of $121 million at June 30, 2010 and $146 million at December 31, 2009 is included on the Condensed Consolidated Balance Sheets in Other Noncontrolling Interests for Sempra Energy and in Noncontrolling Interest for SDG&amp;E.</w:t>
      </w:r>
    </w:p>
    <w:p>
      <w:pPr>
        <w:spacing w:after="0" w:line="62" w:lineRule="exact"/>
        <w:rPr>
          <w:sz w:val="20"/>
          <w:szCs w:val="20"/>
          <w:color w:val="auto"/>
        </w:rPr>
      </w:pPr>
    </w:p>
    <w:p>
      <w:pPr>
        <w:ind w:right="240"/>
        <w:spacing w:after="0" w:line="350" w:lineRule="auto"/>
        <w:rPr>
          <w:sz w:val="20"/>
          <w:szCs w:val="20"/>
          <w:color w:val="auto"/>
        </w:rPr>
      </w:pPr>
      <w:r>
        <w:rPr>
          <w:rFonts w:ascii="Arial" w:cs="Arial" w:eastAsia="Arial" w:hAnsi="Arial"/>
          <w:sz w:val="14"/>
          <w:szCs w:val="14"/>
          <w:color w:val="auto"/>
        </w:rPr>
        <w:t>OMEC LLC has a loan outstanding of $370 million at June 30, 2010, the proceeds of which were used for the construction of OMEC. The loan is with third party lenders and is secured by OMEC's property, plant and equipment. SDG&amp;E is not a party to the loan agreement and does not have any additional implicit or explicit financial responsibility to</w:t>
      </w:r>
    </w:p>
    <w:p>
      <w:pPr>
        <w:sectPr>
          <w:pgSz w:w="11900" w:h="16909" w:orient="portrait"/>
          <w:cols w:equalWidth="0" w:num="1">
            <w:col w:w="11400"/>
          </w:cols>
          <w:pgMar w:left="240" w:top="131" w:right="259" w:bottom="0" w:gutter="0" w:footer="0" w:header="0"/>
        </w:sectPr>
      </w:pPr>
    </w:p>
    <w:bookmarkStart w:id="15" w:name="page16"/>
    <w:bookmarkEnd w:id="15"/>
    <w:p>
      <w:pPr>
        <w:spacing w:after="0" w:line="81"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Variable Interest Entities</w:t>
      </w:r>
    </w:p>
    <w:p>
      <w:pPr>
        <w:spacing w:after="0" w:line="105"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SDG&amp;E's power procurement is subject to reliability requirements that may require SDG&amp;E to enter into various power purchase arrangements which include variable interests. SDG&amp;E evaluates these contracts to determine if variable interests exist and, based on the qualitative and quantitative analyses described above, if SDG&amp;E, and thereby Sempra Energy, is the primary beneficiary. SDG&amp;E has determined that no contracts other than that relating to Otay Mesa VIE mentioned above result in SDG&amp;E being the primary beneficiary.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66" w:lineRule="exact"/>
        <w:rPr>
          <w:sz w:val="20"/>
          <w:szCs w:val="20"/>
          <w:color w:val="auto"/>
        </w:rPr>
      </w:pPr>
    </w:p>
    <w:p>
      <w:pPr>
        <w:ind w:right="180"/>
        <w:spacing w:after="0" w:line="350" w:lineRule="auto"/>
        <w:rPr>
          <w:sz w:val="20"/>
          <w:szCs w:val="20"/>
          <w:color w:val="auto"/>
        </w:rPr>
      </w:pPr>
      <w:r>
        <w:rPr>
          <w:rFonts w:ascii="Arial" w:cs="Arial" w:eastAsia="Arial" w:hAnsi="Arial"/>
          <w:sz w:val="14"/>
          <w:szCs w:val="14"/>
          <w:color w:val="auto"/>
        </w:rPr>
        <w:t>Sempra Energy’s other business units also enter into arrangements which could include variable interests. We evaluate these contracts based upon the qualitative and quantitative analyses described above. We have determined that these contracts are not variable interests in a VIE and therefore are not subject to the requirements of ASU 2009-17.</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Periodic Benefit Cost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three tables provide the 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9955" cy="294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33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NET PERIODIC BENEFIT COST -- SEMPRA ENERGY CONSOLIDATED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60" w:type="dxa"/>
            <w:vAlign w:val="bottom"/>
            <w:gridSpan w:val="2"/>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720" w:type="dxa"/>
            <w:vAlign w:val="bottom"/>
            <w:vMerge w:val="restart"/>
          </w:tcPr>
          <w:p>
            <w:pPr>
              <w:jc w:val="center"/>
              <w:ind w:left="346"/>
              <w:spacing w:after="0"/>
              <w:rPr>
                <w:sz w:val="20"/>
                <w:szCs w:val="20"/>
                <w:color w:val="auto"/>
              </w:rPr>
            </w:pPr>
            <w:r>
              <w:rPr>
                <w:rFonts w:ascii="Arial" w:cs="Arial" w:eastAsia="Arial" w:hAnsi="Arial"/>
                <w:sz w:val="13"/>
                <w:szCs w:val="13"/>
                <w:color w:val="auto"/>
                <w:w w:val="99"/>
              </w:rPr>
              <w:t>Other Postretirement Benefits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9"/>
                <w:szCs w:val="19"/>
                <w:color w:val="auto"/>
              </w:rPr>
              <w:t>&lt; /td&gt;</w:t>
            </w:r>
          </w:p>
        </w:tc>
        <w:tc>
          <w:tcPr>
            <w:tcW w:w="5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3"/>
                <w:szCs w:val="13"/>
                <w:color w:val="auto"/>
              </w:rPr>
              <w:t>Pension Benefits</w:t>
            </w: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60"/>
              <w:spacing w:after="0" w:line="143" w:lineRule="exact"/>
              <w:rPr>
                <w:sz w:val="20"/>
                <w:szCs w:val="20"/>
                <w:color w:val="auto"/>
              </w:rPr>
            </w:pPr>
            <w:r>
              <w:rPr>
                <w:rFonts w:ascii="Arial" w:cs="Arial" w:eastAsia="Arial" w:hAnsi="Arial"/>
                <w:sz w:val="13"/>
                <w:szCs w:val="13"/>
                <w:color w:val="auto"/>
              </w:rPr>
              <w:t>Three months ended June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93"/>
              <w:spacing w:after="0" w:line="142" w:lineRule="exact"/>
              <w:rPr>
                <w:sz w:val="20"/>
                <w:szCs w:val="20"/>
                <w:color w:val="auto"/>
              </w:rPr>
            </w:pPr>
            <w:r>
              <w:rPr>
                <w:rFonts w:ascii="Arial" w:cs="Arial" w:eastAsia="Arial" w:hAnsi="Arial"/>
                <w:sz w:val="13"/>
                <w:szCs w:val="13"/>
                <w:color w:val="auto"/>
                <w:w w:val="99"/>
              </w:rPr>
              <w:t>30,</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720" w:type="dxa"/>
            <w:vAlign w:val="bottom"/>
            <w:tcBorders>
              <w:bottom w:val="single" w:sz="8" w:color="auto"/>
            </w:tcBorders>
          </w:tcPr>
          <w:p>
            <w:pPr>
              <w:jc w:val="center"/>
              <w:ind w:left="346"/>
              <w:spacing w:after="0" w:line="142" w:lineRule="exact"/>
              <w:rPr>
                <w:sz w:val="20"/>
                <w:szCs w:val="20"/>
                <w:color w:val="auto"/>
              </w:rPr>
            </w:pPr>
            <w:r>
              <w:rPr>
                <w:rFonts w:ascii="Arial" w:cs="Arial" w:eastAsia="Arial" w:hAnsi="Arial"/>
                <w:sz w:val="13"/>
                <w:szCs w:val="13"/>
                <w:color w:val="auto"/>
              </w:rPr>
              <w:t>Three months ended June 30,</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3"/>
                <w:szCs w:val="13"/>
                <w:color w:val="auto"/>
              </w:rPr>
              <w:t>2009</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986"/>
              <w:spacing w:after="0"/>
              <w:rPr>
                <w:sz w:val="20"/>
                <w:szCs w:val="20"/>
                <w:color w:val="auto"/>
              </w:rPr>
            </w:pPr>
            <w:r>
              <w:rPr>
                <w:rFonts w:ascii="Arial" w:cs="Arial" w:eastAsia="Arial" w:hAnsi="Arial"/>
                <w:sz w:val="13"/>
                <w:szCs w:val="13"/>
                <w:color w:val="auto"/>
              </w:rPr>
              <w:t>2010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line="144" w:lineRule="exact"/>
              <w:rPr>
                <w:sz w:val="20"/>
                <w:szCs w:val="20"/>
                <w:color w:val="auto"/>
              </w:rPr>
            </w:pPr>
            <w:r>
              <w:rPr>
                <w:rFonts w:ascii="Arial" w:cs="Arial" w:eastAsia="Arial" w:hAnsi="Arial"/>
                <w:sz w:val="15"/>
                <w:szCs w:val="15"/>
                <w:color w:val="auto"/>
              </w:rPr>
              <w:t>$</w:t>
            </w:r>
          </w:p>
        </w:tc>
        <w:tc>
          <w:tcPr>
            <w:tcW w:w="5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9"/>
                <w:szCs w:val="19"/>
                <w:color w:val="auto"/>
              </w:rPr>
              <w:t>&lt;</w:t>
            </w:r>
          </w:p>
        </w:tc>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Service cost</w:t>
            </w:r>
          </w:p>
        </w:tc>
        <w:tc>
          <w:tcPr>
            <w:tcW w:w="740" w:type="dxa"/>
            <w:vAlign w:val="bottom"/>
            <w:gridSpan w:val="2"/>
          </w:tcPr>
          <w:p>
            <w:pPr>
              <w:jc w:val="right"/>
              <w:ind w:right="51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c>
          <w:tcPr>
            <w:tcW w:w="320" w:type="dxa"/>
            <w:vAlign w:val="bottom"/>
          </w:tcPr>
          <w:p>
            <w:pPr>
              <w:jc w:val="right"/>
              <w:ind w:right="3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9"/>
                <w:szCs w:val="19"/>
                <w:color w:val="auto"/>
              </w:rPr>
              <w:t>/td&gt;</w:t>
            </w: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8</w:t>
            </w:r>
          </w:p>
        </w:tc>
        <w:tc>
          <w:tcPr>
            <w:tcW w:w="3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jc w:val="center"/>
              <w:ind w:right="280"/>
              <w:spacing w:after="0" w:line="171" w:lineRule="exact"/>
              <w:rPr>
                <w:sz w:val="20"/>
                <w:szCs w:val="20"/>
                <w:color w:val="auto"/>
              </w:rPr>
            </w:pPr>
            <w:r>
              <w:rPr>
                <w:rFonts w:ascii="Arial" w:cs="Arial" w:eastAsia="Arial" w:hAnsi="Arial"/>
                <w:sz w:val="15"/>
                <w:szCs w:val="15"/>
                <w:color w:val="auto"/>
                <w:w w:val="97"/>
              </w:rPr>
              <w:t>&amp;n</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bsp;41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14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3"/>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20" w:type="dxa"/>
            <w:vAlign w:val="bottom"/>
          </w:tcPr>
          <w:p>
            <w:pPr>
              <w:jc w:val="right"/>
              <w:ind w:right="6"/>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48"/>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9"/>
                <w:szCs w:val="19"/>
                <w:color w:val="auto"/>
                <w:w w:val="99"/>
              </w:rPr>
              <w:t>&amp;nb sp;</w:t>
            </w:r>
          </w:p>
        </w:tc>
        <w:tc>
          <w:tcPr>
            <w:tcW w:w="0" w:type="dxa"/>
            <w:vAlign w:val="bottom"/>
          </w:tcPr>
          <w:p>
            <w:pPr>
              <w:spacing w:after="0"/>
              <w:rPr>
                <w:sz w:val="1"/>
                <w:szCs w:val="1"/>
                <w:color w:val="auto"/>
              </w:rPr>
            </w:pPr>
          </w:p>
        </w:tc>
      </w:tr>
      <w:tr>
        <w:trPr>
          <w:trHeight w:val="217"/>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Prior service cost (credit)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320" w:type="dxa"/>
            <w:vAlign w:val="bottom"/>
          </w:tcPr>
          <w:p>
            <w:pPr>
              <w:jc w:val="right"/>
              <w:ind w:right="213"/>
              <w:spacing w:after="0"/>
              <w:rPr>
                <w:sz w:val="20"/>
                <w:szCs w:val="20"/>
                <w:color w:val="auto"/>
              </w:rPr>
            </w:pPr>
            <w:r>
              <w:rPr>
                <w:rFonts w:ascii="Arial" w:cs="Arial" w:eastAsia="Arial" w:hAnsi="Arial"/>
                <w:sz w:val="10"/>
                <w:szCs w:val="10"/>
                <w:color w:val="auto"/>
                <w:w w:val="70"/>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2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Actuarial loss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2"/>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Regulatory adjustment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(13)</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2"/>
        </w:trPr>
        <w:tc>
          <w:tcPr>
            <w:tcW w:w="2060" w:type="dxa"/>
            <w:vAlign w:val="bottom"/>
            <w:gridSpan w:val="2"/>
          </w:tcPr>
          <w:p>
            <w:pPr>
              <w:ind w:left="100"/>
              <w:spacing w:after="0" w:line="152" w:lineRule="exact"/>
              <w:rPr>
                <w:sz w:val="20"/>
                <w:szCs w:val="20"/>
                <w:color w:val="auto"/>
              </w:rPr>
            </w:pPr>
            <w:r>
              <w:rPr>
                <w:rFonts w:ascii="Arial" w:cs="Arial" w:eastAsia="Arial" w:hAnsi="Arial"/>
                <w:sz w:val="15"/>
                <w:szCs w:val="15"/>
                <w:color w:val="auto"/>
              </w:rPr>
              <w:t>Total net periodic benefit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restart"/>
          </w:tcPr>
          <w:p>
            <w:pPr>
              <w:ind w:left="2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gridSpan w:val="2"/>
          </w:tcPr>
          <w:p>
            <w:pPr>
              <w:ind w:left="100"/>
              <w:spacing w:after="0" w:line="169" w:lineRule="exact"/>
              <w:rPr>
                <w:sz w:val="20"/>
                <w:szCs w:val="20"/>
                <w:color w:val="auto"/>
              </w:rPr>
            </w:pPr>
            <w:r>
              <w:rPr>
                <w:rFonts w:ascii="Arial" w:cs="Arial" w:eastAsia="Arial" w:hAnsi="Arial"/>
                <w:sz w:val="15"/>
                <w:szCs w:val="15"/>
                <w:color w:val="auto"/>
              </w:rPr>
              <w:t>cost</w:t>
            </w:r>
          </w:p>
        </w:tc>
        <w:tc>
          <w:tcPr>
            <w:tcW w:w="740" w:type="dxa"/>
            <w:vAlign w:val="bottom"/>
            <w:tcBorders>
              <w:bottom w:val="single" w:sz="8" w:color="auto"/>
            </w:tcBorders>
            <w:gridSpan w:val="2"/>
          </w:tcPr>
          <w:p>
            <w:pPr>
              <w:jc w:val="right"/>
              <w:ind w:right="510"/>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w:t>
            </w:r>
          </w:p>
        </w:tc>
        <w:tc>
          <w:tcPr>
            <w:tcW w:w="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572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5"/>
                <w:szCs w:val="15"/>
                <w:color w:val="auto"/>
              </w:rPr>
              <w:t>14</w:t>
            </w:r>
          </w:p>
        </w:tc>
        <w:tc>
          <w:tcPr>
            <w:tcW w:w="34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color w:val="auto"/>
              </w:rPr>
              <w:t>Six months ended June 30,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jc w:val="center"/>
              <w:ind w:left="346"/>
              <w:spacing w:after="0"/>
              <w:rPr>
                <w:sz w:val="20"/>
                <w:szCs w:val="20"/>
                <w:color w:val="auto"/>
              </w:rPr>
            </w:pPr>
            <w:r>
              <w:rPr>
                <w:rFonts w:ascii="Arial" w:cs="Arial" w:eastAsia="Arial" w:hAnsi="Arial"/>
                <w:sz w:val="13"/>
                <w:szCs w:val="13"/>
                <w:color w:val="auto"/>
              </w:rPr>
              <w:t>Six months ended June 30,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3"/>
                <w:szCs w:val="13"/>
                <w:color w:val="auto"/>
              </w:rPr>
              <w:t>2009</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986"/>
              <w:spacing w:after="0"/>
              <w:rPr>
                <w:sz w:val="20"/>
                <w:szCs w:val="20"/>
                <w:color w:val="auto"/>
              </w:rPr>
            </w:pPr>
            <w:r>
              <w:rPr>
                <w:rFonts w:ascii="Arial" w:cs="Arial" w:eastAsia="Arial" w:hAnsi="Arial"/>
                <w:sz w:val="13"/>
                <w:szCs w:val="13"/>
                <w:color w:val="auto"/>
              </w:rPr>
              <w:t>2010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94"/>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Service cost</w:t>
            </w:r>
          </w:p>
        </w:tc>
        <w:tc>
          <w:tcPr>
            <w:tcW w:w="740" w:type="dxa"/>
            <w:vAlign w:val="bottom"/>
            <w:gridSpan w:val="2"/>
          </w:tcPr>
          <w:p>
            <w:pPr>
              <w:jc w:val="right"/>
              <w:ind w:right="51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42</w:t>
            </w:r>
          </w:p>
        </w:tc>
        <w:tc>
          <w:tcPr>
            <w:tcW w:w="44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5"/>
                <w:szCs w:val="15"/>
                <w:color w:val="auto"/>
              </w:rPr>
              <w:t>$</w:t>
            </w: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15</w:t>
            </w:r>
          </w:p>
        </w:tc>
        <w:tc>
          <w:tcPr>
            <w:tcW w:w="3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84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19"/>
                <w:szCs w:val="19"/>
                <w:color w:val="auto"/>
              </w:rPr>
            </w:pPr>
          </w:p>
        </w:tc>
        <w:tc>
          <w:tcPr>
            <w:tcW w:w="540" w:type="dxa"/>
            <w:vAlign w:val="bottom"/>
            <w:gridSpan w:val="3"/>
          </w:tcPr>
          <w:p>
            <w:pPr>
              <w:jc w:val="right"/>
              <w:ind w:right="7"/>
              <w:spacing w:after="0"/>
              <w:rPr>
                <w:sz w:val="20"/>
                <w:szCs w:val="20"/>
                <w:color w:val="auto"/>
              </w:rPr>
            </w:pPr>
            <w:r>
              <w:rPr>
                <w:rFonts w:ascii="Arial" w:cs="Arial" w:eastAsia="Arial" w:hAnsi="Arial"/>
                <w:sz w:val="15"/>
                <w:szCs w:val="15"/>
                <w:color w:val="auto"/>
              </w:rPr>
              <w:t>(70)</w:t>
            </w:r>
          </w:p>
        </w:tc>
        <w:tc>
          <w:tcPr>
            <w:tcW w:w="580" w:type="dxa"/>
            <w:vAlign w:val="bottom"/>
          </w:tcPr>
          <w:p>
            <w:pPr>
              <w:spacing w:after="0"/>
              <w:rPr>
                <w:sz w:val="19"/>
                <w:szCs w:val="19"/>
                <w:color w:val="auto"/>
              </w:rPr>
            </w:pPr>
          </w:p>
        </w:tc>
        <w:tc>
          <w:tcPr>
            <w:tcW w:w="5720" w:type="dxa"/>
            <w:vAlign w:val="bottom"/>
          </w:tcPr>
          <w:p>
            <w:pPr>
              <w:jc w:val="right"/>
              <w:ind w:right="6"/>
              <w:spacing w:after="0"/>
              <w:rPr>
                <w:sz w:val="20"/>
                <w:szCs w:val="20"/>
                <w:color w:val="auto"/>
              </w:rPr>
            </w:pPr>
            <w:r>
              <w:rPr>
                <w:rFonts w:ascii="Arial" w:cs="Arial" w:eastAsia="Arial" w:hAnsi="Arial"/>
                <w:sz w:val="15"/>
                <w:szCs w:val="15"/>
                <w:color w:val="auto"/>
              </w:rPr>
              <w:t>(23)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Prior service cost (credit)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Actuarial loss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jc w:val="right"/>
              <w:ind w:right="46"/>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2"/>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Regulatory adjustment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(39)</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2"/>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20" w:type="dxa"/>
            <w:vAlign w:val="bottom"/>
          </w:tcPr>
          <w:p>
            <w:pPr>
              <w:ind w:left="80"/>
              <w:spacing w:after="0" w:line="193" w:lineRule="exact"/>
              <w:rPr>
                <w:sz w:val="20"/>
                <w:szCs w:val="20"/>
                <w:color w:val="auto"/>
              </w:rPr>
            </w:pPr>
            <w:r>
              <w:rPr>
                <w:rFonts w:ascii="Arial" w:cs="Arial" w:eastAsia="Arial" w:hAnsi="Arial"/>
                <w:sz w:val="19"/>
                <w:szCs w:val="19"/>
                <w:color w:val="auto"/>
              </w:rPr>
              <w:t>&lt; p style="MARGIN:0in 0in 0pt; TEXT-ALIGN:right"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Total net periodic benefit</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720" w:type="dxa"/>
            <w:vAlign w:val="bottom"/>
          </w:tcPr>
          <w:p>
            <w:pPr>
              <w:ind w:left="80"/>
              <w:spacing w:after="0"/>
              <w:rPr>
                <w:sz w:val="20"/>
                <w:szCs w:val="20"/>
                <w:color w:val="auto"/>
              </w:rPr>
            </w:pPr>
            <w:r>
              <w:rPr>
                <w:rFonts w:ascii="Arial" w:cs="Arial" w:eastAsia="Arial" w:hAnsi="Arial"/>
                <w:sz w:val="19"/>
                <w:szCs w:val="19"/>
                <w:color w:val="auto"/>
              </w:rPr>
              <w:t xml:space="preserve">align=right&gt; </w:t>
            </w:r>
            <w:r>
              <w:rPr>
                <w:rFonts w:ascii="Arial" w:cs="Arial" w:eastAsia="Arial" w:hAnsi="Arial"/>
                <w:sz w:val="14"/>
                <w:szCs w:val="14"/>
                <w:color w:val="auto"/>
              </w:rPr>
              <w:t>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gridSpan w:val="2"/>
          </w:tcPr>
          <w:p>
            <w:pPr>
              <w:ind w:left="100"/>
              <w:spacing w:after="0" w:line="169" w:lineRule="exact"/>
              <w:rPr>
                <w:sz w:val="20"/>
                <w:szCs w:val="20"/>
                <w:color w:val="auto"/>
              </w:rPr>
            </w:pPr>
            <w:r>
              <w:rPr>
                <w:rFonts w:ascii="Arial" w:cs="Arial" w:eastAsia="Arial" w:hAnsi="Arial"/>
                <w:sz w:val="15"/>
                <w:szCs w:val="15"/>
                <w:color w:val="auto"/>
              </w:rPr>
              <w:t>cost</w:t>
            </w:r>
          </w:p>
        </w:tc>
        <w:tc>
          <w:tcPr>
            <w:tcW w:w="740" w:type="dxa"/>
            <w:vAlign w:val="bottom"/>
            <w:tcBorders>
              <w:bottom w:val="single" w:sz="8" w:color="auto"/>
            </w:tcBorders>
            <w:gridSpan w:val="2"/>
          </w:tcPr>
          <w:p>
            <w:pPr>
              <w:jc w:val="right"/>
              <w:ind w:right="510"/>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52</w:t>
            </w:r>
          </w:p>
        </w:tc>
        <w:tc>
          <w:tcPr>
            <w:tcW w:w="440" w:type="dxa"/>
            <w:vAlign w:val="bottom"/>
            <w:tcBorders>
              <w:bottom w:val="single" w:sz="8" w:color="auto"/>
            </w:tcBorders>
            <w:gridSpan w:val="2"/>
          </w:tcPr>
          <w:p>
            <w:pPr>
              <w:ind w:left="240"/>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5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390"/>
        </w:trPr>
        <w:tc>
          <w:tcPr>
            <w:tcW w:w="1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gridSpan w:val="5"/>
            <w:shd w:val="clear" w:color="auto" w:fill="C0C0C0"/>
          </w:tcPr>
          <w:p>
            <w:pPr>
              <w:ind w:left="100"/>
              <w:spacing w:after="0"/>
              <w:rPr>
                <w:sz w:val="20"/>
                <w:szCs w:val="20"/>
                <w:color w:val="auto"/>
              </w:rPr>
            </w:pPr>
            <w:r>
              <w:rPr>
                <w:rFonts w:ascii="Arial" w:cs="Arial" w:eastAsia="Arial" w:hAnsi="Arial"/>
                <w:sz w:val="15"/>
                <w:szCs w:val="15"/>
                <w:b w:val="1"/>
                <w:bCs w:val="1"/>
                <w:color w:val="auto"/>
              </w:rPr>
              <w:t>NET PERIODIC BENEFIT COST -- SDG&amp;E</w:t>
            </w: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57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60" w:type="dxa"/>
            <w:vAlign w:val="bottom"/>
            <w:gridSpan w:val="2"/>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10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57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color w:val="auto"/>
              </w:rPr>
              <w:t>Pension Benefits</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jc w:val="center"/>
              <w:ind w:left="246"/>
              <w:spacing w:after="0"/>
              <w:rPr>
                <w:sz w:val="20"/>
                <w:szCs w:val="20"/>
                <w:color w:val="auto"/>
              </w:rPr>
            </w:pPr>
            <w:r>
              <w:rPr>
                <w:rFonts w:ascii="Arial" w:cs="Arial" w:eastAsia="Arial" w:hAnsi="Arial"/>
                <w:sz w:val="13"/>
                <w:szCs w:val="13"/>
                <w:color w:val="auto"/>
              </w:rPr>
              <w:t>Other Postretirement Benefits</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right"/>
              <w:ind w:right="220"/>
              <w:spacing w:after="0" w:line="143" w:lineRule="exact"/>
              <w:rPr>
                <w:sz w:val="20"/>
                <w:szCs w:val="20"/>
                <w:color w:val="auto"/>
              </w:rPr>
            </w:pPr>
            <w:r>
              <w:rPr>
                <w:rFonts w:ascii="Arial" w:cs="Arial" w:eastAsia="Arial" w:hAnsi="Arial"/>
                <w:sz w:val="13"/>
                <w:szCs w:val="13"/>
                <w:color w:val="auto"/>
                <w:w w:val="98"/>
              </w:rPr>
              <w:t>Three months ended June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30,</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720" w:type="dxa"/>
            <w:vAlign w:val="bottom"/>
            <w:tcBorders>
              <w:bottom w:val="single" w:sz="8" w:color="auto"/>
            </w:tcBorders>
          </w:tcPr>
          <w:p>
            <w:pPr>
              <w:jc w:val="center"/>
              <w:ind w:left="246"/>
              <w:spacing w:after="0" w:line="142" w:lineRule="exact"/>
              <w:rPr>
                <w:sz w:val="20"/>
                <w:szCs w:val="20"/>
                <w:color w:val="auto"/>
              </w:rPr>
            </w:pPr>
            <w:r>
              <w:rPr>
                <w:rFonts w:ascii="Arial" w:cs="Arial" w:eastAsia="Arial" w:hAnsi="Arial"/>
                <w:sz w:val="13"/>
                <w:szCs w:val="13"/>
                <w:color w:val="auto"/>
                <w:w w:val="99"/>
              </w:rPr>
              <w:t>Three months ended June 30,</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2009</w:t>
            </w: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846"/>
              <w:spacing w:after="0"/>
              <w:rPr>
                <w:sz w:val="20"/>
                <w:szCs w:val="20"/>
                <w:color w:val="auto"/>
              </w:rPr>
            </w:pPr>
            <w:r>
              <w:rPr>
                <w:rFonts w:ascii="Arial" w:cs="Arial" w:eastAsia="Arial" w:hAnsi="Arial"/>
                <w:sz w:val="13"/>
                <w:szCs w:val="13"/>
                <w:color w:val="auto"/>
              </w:rPr>
              <w:t>2010</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r>
        <w:trPr>
          <w:trHeight w:val="194"/>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7</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jc w:val="center"/>
              <w:ind w:left="8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12"/>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9"/>
                <w:szCs w:val="19"/>
                <w:color w:val="auto"/>
              </w:rPr>
              <w:t>&lt;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5"/>
                <w:szCs w:val="15"/>
                <w:color w:val="auto"/>
              </w:rPr>
              <w:t>(11)</w:t>
            </w:r>
          </w:p>
        </w:tc>
        <w:tc>
          <w:tcPr>
            <w:tcW w:w="700" w:type="dxa"/>
            <w:vAlign w:val="bottom"/>
            <w:gridSpan w:val="3"/>
          </w:tcPr>
          <w:p>
            <w:pPr>
              <w:jc w:val="center"/>
              <w:ind w:right="320"/>
              <w:spacing w:after="0"/>
              <w:rPr>
                <w:sz w:val="20"/>
                <w:szCs w:val="20"/>
                <w:color w:val="auto"/>
              </w:rPr>
            </w:pPr>
            <w:r>
              <w:rPr>
                <w:rFonts w:ascii="Arial" w:cs="Arial" w:eastAsia="Arial" w:hAnsi="Arial"/>
                <w:sz w:val="19"/>
                <w:szCs w:val="19"/>
                <w:color w:val="auto"/>
                <w:w w:val="92"/>
              </w:rPr>
              <w:t>/td&gt;</w:t>
            </w: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7"/>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Prior service cost</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Actuarial loss</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1980" w:type="dxa"/>
            <w:vAlign w:val="bottom"/>
          </w:tcPr>
          <w:p>
            <w:pPr>
              <w:ind w:left="100"/>
              <w:spacing w:after="0"/>
              <w:rPr>
                <w:sz w:val="20"/>
                <w:szCs w:val="20"/>
                <w:color w:val="auto"/>
              </w:rPr>
            </w:pPr>
            <w:r>
              <w:rPr>
                <w:rFonts w:ascii="Arial" w:cs="Arial" w:eastAsia="Arial" w:hAnsi="Arial"/>
                <w:sz w:val="15"/>
                <w:szCs w:val="15"/>
                <w:color w:val="auto"/>
              </w:rPr>
              <w:t>Regulatory adjustment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4"/>
        </w:trPr>
        <w:tc>
          <w:tcPr>
            <w:tcW w:w="2060" w:type="dxa"/>
            <w:vAlign w:val="bottom"/>
            <w:gridSpan w:val="2"/>
          </w:tcPr>
          <w:p>
            <w:pPr>
              <w:ind w:left="100"/>
              <w:spacing w:after="0" w:line="164" w:lineRule="exact"/>
              <w:rPr>
                <w:sz w:val="20"/>
                <w:szCs w:val="20"/>
                <w:color w:val="auto"/>
              </w:rPr>
            </w:pPr>
            <w:r>
              <w:rPr>
                <w:rFonts w:ascii="Arial" w:cs="Arial" w:eastAsia="Arial" w:hAnsi="Arial"/>
                <w:sz w:val="15"/>
                <w:szCs w:val="15"/>
                <w:color w:val="auto"/>
              </w:rPr>
              <w:t>Total net periodic benefit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gridSpan w:val="2"/>
          </w:tcPr>
          <w:p>
            <w:pPr>
              <w:ind w:left="100"/>
              <w:spacing w:after="0" w:line="169" w:lineRule="exact"/>
              <w:rPr>
                <w:sz w:val="20"/>
                <w:szCs w:val="20"/>
                <w:color w:val="auto"/>
              </w:rPr>
            </w:pPr>
            <w:r>
              <w:rPr>
                <w:rFonts w:ascii="Arial" w:cs="Arial" w:eastAsia="Arial" w:hAnsi="Arial"/>
                <w:sz w:val="15"/>
                <w:szCs w:val="15"/>
                <w:color w:val="auto"/>
              </w:rPr>
              <w:t>cost</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5"/>
                <w:szCs w:val="15"/>
                <w:color w:val="auto"/>
              </w:rPr>
              <w:t>18</w:t>
            </w:r>
          </w:p>
        </w:tc>
        <w:tc>
          <w:tcPr>
            <w:tcW w:w="26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14</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&amp;nb sp;4</w:t>
            </w:r>
          </w:p>
        </w:tc>
        <w:tc>
          <w:tcPr>
            <w:tcW w:w="240" w:type="dxa"/>
            <w:vAlign w:val="bottom"/>
            <w:tcBorders>
              <w:bottom w:val="single" w:sz="8" w:color="auto"/>
            </w:tcBorders>
          </w:tcPr>
          <w:p>
            <w:pPr>
              <w:jc w:val="center"/>
              <w:ind w:left="86"/>
              <w:spacing w:after="0" w:line="169" w:lineRule="exact"/>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3"/>
                <w:szCs w:val="13"/>
                <w:color w:val="auto"/>
              </w:rPr>
              <w:t>Six months ended June 30,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jc w:val="center"/>
              <w:ind w:left="266"/>
              <w:spacing w:after="0"/>
              <w:rPr>
                <w:sz w:val="20"/>
                <w:szCs w:val="20"/>
                <w:color w:val="auto"/>
              </w:rPr>
            </w:pPr>
            <w:r>
              <w:rPr>
                <w:rFonts w:ascii="Arial" w:cs="Arial" w:eastAsia="Arial" w:hAnsi="Arial"/>
                <w:sz w:val="13"/>
                <w:szCs w:val="13"/>
                <w:color w:val="auto"/>
              </w:rPr>
              <w:t>Six months ended June 30,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2009</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jc w:val="right"/>
              <w:ind w:right="2846"/>
              <w:spacing w:after="0"/>
              <w:rPr>
                <w:sz w:val="20"/>
                <w:szCs w:val="20"/>
                <w:color w:val="auto"/>
              </w:rPr>
            </w:pPr>
            <w:r>
              <w:rPr>
                <w:rFonts w:ascii="Arial" w:cs="Arial" w:eastAsia="Arial" w:hAnsi="Arial"/>
                <w:sz w:val="13"/>
                <w:szCs w:val="13"/>
                <w:color w:val="auto"/>
              </w:rPr>
              <w:t>2010</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r>
        <w:trPr>
          <w:trHeight w:val="207"/>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14</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jc w:val="center"/>
              <w:ind w:left="8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1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7"/>
              <w:spacing w:after="0"/>
              <w:rPr>
                <w:sz w:val="20"/>
                <w:szCs w:val="20"/>
                <w:color w:val="auto"/>
              </w:rPr>
            </w:pPr>
            <w:r>
              <w:rPr>
                <w:rFonts w:ascii="Arial" w:cs="Arial" w:eastAsia="Arial" w:hAnsi="Arial"/>
                <w:sz w:val="15"/>
                <w:szCs w:val="15"/>
                <w:color w:val="auto"/>
                <w:w w:val="89"/>
              </w:rPr>
              <w:t>(16)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9"/>
        </w:trPr>
        <w:tc>
          <w:tcPr>
            <w:tcW w:w="206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60" w:type="dxa"/>
            <w:vAlign w:val="bottom"/>
            <w:gridSpan w:val="2"/>
            <w:vMerge w:val="restart"/>
          </w:tcPr>
          <w:p>
            <w:pPr>
              <w:jc w:val="center"/>
              <w:spacing w:after="0"/>
              <w:rPr>
                <w:sz w:val="20"/>
                <w:szCs w:val="20"/>
                <w:color w:val="auto"/>
              </w:rPr>
            </w:pPr>
            <w:r>
              <w:rPr>
                <w:rFonts w:ascii="Arial" w:cs="Arial" w:eastAsia="Arial" w:hAnsi="Arial"/>
                <w:sz w:val="19"/>
                <w:szCs w:val="19"/>
                <w:color w:val="auto"/>
                <w:w w:val="97"/>
              </w:rPr>
              <w:t>&lt; font style="FONT-SIZE:9pt; COLOR:black; FONT-FAMILY:'Arial','sans-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60" w:type="dxa"/>
            <w:vAlign w:val="bottom"/>
            <w:gridSpan w:val="2"/>
          </w:tcPr>
          <w:p>
            <w:pPr>
              <w:ind w:left="260"/>
              <w:spacing w:after="0"/>
              <w:rPr>
                <w:sz w:val="20"/>
                <w:szCs w:val="20"/>
                <w:color w:val="auto"/>
              </w:rPr>
            </w:pPr>
            <w:r>
              <w:rPr>
                <w:rFonts w:ascii="Arial" w:cs="Arial" w:eastAsia="Arial" w:hAnsi="Arial"/>
                <w:sz w:val="15"/>
                <w:szCs w:val="15"/>
                <w:color w:val="auto"/>
              </w:rPr>
              <w:t>Prior service cost</w:t>
            </w:r>
          </w:p>
        </w:tc>
        <w:tc>
          <w:tcPr>
            <w:tcW w:w="1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60" w:type="dxa"/>
            <w:vAlign w:val="bottom"/>
            <w:gridSpan w:val="2"/>
          </w:tcPr>
          <w:p>
            <w:pPr>
              <w:jc w:val="right"/>
              <w:ind w:right="7"/>
              <w:spacing w:after="0"/>
              <w:rPr>
                <w:sz w:val="20"/>
                <w:szCs w:val="20"/>
                <w:color w:val="auto"/>
              </w:rPr>
            </w:pPr>
            <w:r>
              <w:rPr>
                <w:rFonts w:ascii="Arial" w:cs="Arial" w:eastAsia="Arial" w:hAnsi="Arial"/>
                <w:sz w:val="19"/>
                <w:szCs w:val="19"/>
                <w:color w:val="auto"/>
              </w:rPr>
              <w:t>serif'"&gt; 2</w:t>
            </w:r>
          </w:p>
        </w:tc>
        <w:tc>
          <w:tcPr>
            <w:tcW w:w="240" w:type="dxa"/>
            <w:vAlign w:val="bottom"/>
          </w:tcPr>
          <w:p>
            <w:pPr>
              <w:spacing w:after="0"/>
              <w:rPr>
                <w:sz w:val="20"/>
                <w:szCs w:val="20"/>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0"/>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ind w:right="67"/>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ectPr>
          <w:pgSz w:w="11900" w:h="16919" w:orient="portrait"/>
          <w:cols w:equalWidth="0" w:num="1">
            <w:col w:w="11440"/>
          </w:cols>
          <w:pgMar w:left="240" w:top="131" w:right="219" w:bottom="0" w:gutter="0" w:footer="0" w:header="0"/>
        </w:sectPr>
      </w:pPr>
    </w:p>
    <w:bookmarkStart w:id="16" w:name="page17"/>
    <w:bookmarkEnd w:id="16"/>
    <w:p>
      <w:pPr>
        <w:spacing w:after="0" w:line="5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Actuarial loss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ind w:left="100"/>
              <w:spacing w:after="0"/>
              <w:rPr>
                <w:sz w:val="20"/>
                <w:szCs w:val="20"/>
                <w:color w:val="auto"/>
              </w:rPr>
            </w:pPr>
            <w:r>
              <w:rPr>
                <w:rFonts w:ascii="Arial" w:cs="Arial" w:eastAsia="Arial" w:hAnsi="Arial"/>
                <w:sz w:val="15"/>
                <w:szCs w:val="15"/>
                <w:color w:val="auto"/>
              </w:rPr>
              <w:t>Regulatory adjustment</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5"/>
                <w:szCs w:val="15"/>
                <w:color w:val="auto"/>
              </w:rPr>
              <w:t>(5)</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(14)</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4"/>
        </w:trPr>
        <w:tc>
          <w:tcPr>
            <w:tcW w:w="2020" w:type="dxa"/>
            <w:vAlign w:val="bottom"/>
            <w:gridSpan w:val="2"/>
          </w:tcPr>
          <w:p>
            <w:pPr>
              <w:ind w:left="100"/>
              <w:spacing w:after="0" w:line="164" w:lineRule="exact"/>
              <w:rPr>
                <w:sz w:val="20"/>
                <w:szCs w:val="20"/>
                <w:color w:val="auto"/>
              </w:rPr>
            </w:pPr>
            <w:r>
              <w:rPr>
                <w:rFonts w:ascii="Arial" w:cs="Arial" w:eastAsia="Arial" w:hAnsi="Arial"/>
                <w:sz w:val="15"/>
                <w:szCs w:val="15"/>
                <w:color w:val="auto"/>
              </w:rPr>
              <w:t>Total net periodic benefit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8</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20" w:type="dxa"/>
            <w:vAlign w:val="bottom"/>
            <w:tcBorders>
              <w:bottom w:val="single" w:sz="8" w:color="auto"/>
            </w:tcBorders>
            <w:gridSpan w:val="2"/>
          </w:tcPr>
          <w:p>
            <w:pPr>
              <w:ind w:left="100"/>
              <w:spacing w:after="0" w:line="169" w:lineRule="exact"/>
              <w:rPr>
                <w:sz w:val="20"/>
                <w:szCs w:val="20"/>
                <w:color w:val="auto"/>
              </w:rPr>
            </w:pPr>
            <w:r>
              <w:rPr>
                <w:rFonts w:ascii="Arial" w:cs="Arial" w:eastAsia="Arial" w:hAnsi="Arial"/>
                <w:sz w:val="15"/>
                <w:szCs w:val="15"/>
                <w:color w:val="auto"/>
              </w:rPr>
              <w:t>cost</w:t>
            </w:r>
          </w:p>
        </w:tc>
        <w:tc>
          <w:tcPr>
            <w:tcW w:w="240" w:type="dxa"/>
            <w:vAlign w:val="bottom"/>
            <w:tcBorders>
              <w:bottom w:val="single" w:sz="8" w:color="auto"/>
            </w:tcBorders>
            <w:gridSpan w:val="2"/>
          </w:tcPr>
          <w:p>
            <w:pPr>
              <w:jc w:val="right"/>
              <w:ind w:right="35"/>
              <w:spacing w:after="0" w:line="169"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gridSpan w:val="2"/>
          </w:tcPr>
          <w:p>
            <w:pPr>
              <w:jc w:val="right"/>
              <w:ind w:right="151"/>
              <w:spacing w:after="0" w:line="169" w:lineRule="exact"/>
              <w:rPr>
                <w:sz w:val="20"/>
                <w:szCs w:val="20"/>
                <w:color w:val="auto"/>
              </w:rPr>
            </w:pPr>
            <w:r>
              <w:rPr>
                <w:rFonts w:ascii="Arial" w:cs="Arial" w:eastAsia="Arial" w:hAnsi="Arial"/>
                <w:sz w:val="15"/>
                <w:szCs w:val="15"/>
                <w:color w:val="auto"/>
              </w:rPr>
              <w:t>19</w:t>
            </w:r>
          </w:p>
        </w:tc>
        <w:tc>
          <w:tcPr>
            <w:tcW w:w="460" w:type="dxa"/>
            <w:vAlign w:val="bottom"/>
            <w:tcBorders>
              <w:bottom w:val="single" w:sz="8" w:color="auto"/>
            </w:tcBorders>
          </w:tcPr>
          <w:p>
            <w:pPr>
              <w:jc w:val="right"/>
              <w:ind w:right="287"/>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rPr>
              <w:t>15</w:t>
            </w:r>
          </w:p>
        </w:tc>
        <w:tc>
          <w:tcPr>
            <w:tcW w:w="120" w:type="dxa"/>
            <w:vAlign w:val="bottom"/>
            <w:tcBorders>
              <w:bottom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gridSpan w:val="3"/>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gridSpan w:val="2"/>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80" w:type="dxa"/>
            <w:vAlign w:val="bottom"/>
            <w:gridSpan w:val="7"/>
            <w:shd w:val="clear" w:color="auto" w:fill="C0C0C0"/>
          </w:tcPr>
          <w:p>
            <w:pPr>
              <w:ind w:left="100"/>
              <w:spacing w:after="0"/>
              <w:rPr>
                <w:sz w:val="20"/>
                <w:szCs w:val="20"/>
                <w:color w:val="auto"/>
              </w:rPr>
            </w:pPr>
            <w:r>
              <w:rPr>
                <w:rFonts w:ascii="Arial" w:cs="Arial" w:eastAsia="Arial" w:hAnsi="Arial"/>
                <w:sz w:val="15"/>
                <w:szCs w:val="15"/>
                <w:b w:val="1"/>
                <w:bCs w:val="1"/>
                <w:color w:val="auto"/>
                <w:w w:val="97"/>
              </w:rPr>
              <w:t>NET PERIODIC BENEFIT COST -- SOCALGAS</w:t>
            </w:r>
          </w:p>
        </w:tc>
        <w:tc>
          <w:tcPr>
            <w:tcW w:w="6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gridSpan w:val="2"/>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345"/>
              <w:spacing w:after="0"/>
              <w:rPr>
                <w:sz w:val="20"/>
                <w:szCs w:val="20"/>
                <w:color w:val="auto"/>
              </w:rPr>
            </w:pPr>
            <w:r>
              <w:rPr>
                <w:rFonts w:ascii="Arial" w:cs="Arial" w:eastAsia="Arial" w:hAnsi="Arial"/>
                <w:sz w:val="13"/>
                <w:szCs w:val="13"/>
                <w:color w:val="auto"/>
              </w:rPr>
              <w:t>Pension Benefits</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rPr>
              <w:t>Other Postretirement Benefits</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3"/>
                <w:szCs w:val="13"/>
                <w:color w:val="auto"/>
              </w:rPr>
              <w:t>Three months ended June 30,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gridSpan w:val="6"/>
          </w:tcPr>
          <w:p>
            <w:pPr>
              <w:ind w:left="40"/>
              <w:spacing w:after="0"/>
              <w:rPr>
                <w:sz w:val="20"/>
                <w:szCs w:val="20"/>
                <w:color w:val="auto"/>
              </w:rPr>
            </w:pPr>
            <w:r>
              <w:rPr>
                <w:rFonts w:ascii="Arial" w:cs="Arial" w:eastAsia="Arial" w:hAnsi="Arial"/>
                <w:sz w:val="13"/>
                <w:szCs w:val="13"/>
                <w:color w:val="auto"/>
              </w:rPr>
              <w:t>Three months ended June 30,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3"/>
                <w:szCs w:val="13"/>
                <w:color w:val="auto"/>
              </w:rPr>
              <w:t>2010</w:t>
            </w:r>
          </w:p>
        </w:tc>
        <w:tc>
          <w:tcPr>
            <w:tcW w:w="4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3"/>
                <w:szCs w:val="13"/>
                <w:color w:val="auto"/>
              </w:rPr>
              <w:t>2009</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rPr>
              <w:t>2010</w:t>
            </w: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167"/>
              <w:spacing w:after="0"/>
              <w:rPr>
                <w:sz w:val="20"/>
                <w:szCs w:val="20"/>
                <w:color w:val="auto"/>
              </w:rPr>
            </w:pPr>
            <w:r>
              <w:rPr>
                <w:rFonts w:ascii="Arial" w:cs="Arial" w:eastAsia="Arial" w:hAnsi="Arial"/>
                <w:sz w:val="13"/>
                <w:szCs w:val="13"/>
                <w:color w:val="auto"/>
              </w:rPr>
              <w:t>2009</w:t>
            </w: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20" w:type="dxa"/>
            <w:vAlign w:val="bottom"/>
            <w:gridSpan w:val="2"/>
          </w:tcPr>
          <w:p>
            <w:pPr>
              <w:ind w:left="100"/>
              <w:spacing w:after="0"/>
              <w:rPr>
                <w:sz w:val="20"/>
                <w:szCs w:val="20"/>
                <w:color w:val="auto"/>
              </w:rPr>
            </w:pPr>
            <w:r>
              <w:rPr>
                <w:rFonts w:ascii="Arial" w:cs="Arial" w:eastAsia="Arial" w:hAnsi="Arial"/>
                <w:sz w:val="19"/>
                <w:szCs w:val="19"/>
                <w:color w:val="auto"/>
              </w:rPr>
              <w:t>Service cost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4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4</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460" w:type="dxa"/>
            <w:vAlign w:val="bottom"/>
          </w:tcPr>
          <w:p>
            <w:pPr>
              <w:spacing w:after="0"/>
              <w:rPr>
                <w:sz w:val="18"/>
                <w:szCs w:val="18"/>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&amp; nbsp;11</w:t>
            </w:r>
          </w:p>
        </w:tc>
        <w:tc>
          <w:tcPr>
            <w:tcW w:w="200" w:type="dxa"/>
            <w:vAlign w:val="bottom"/>
          </w:tcPr>
          <w:p>
            <w:pPr>
              <w:spacing w:after="0"/>
              <w:rPr>
                <w:sz w:val="18"/>
                <w:szCs w:val="18"/>
                <w:color w:val="auto"/>
              </w:rPr>
            </w:pP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12</w:t>
            </w: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347"/>
              <w:spacing w:after="0"/>
              <w:rPr>
                <w:sz w:val="20"/>
                <w:szCs w:val="20"/>
                <w:color w:val="auto"/>
              </w:rPr>
            </w:pPr>
            <w:r>
              <w:rPr>
                <w:rFonts w:ascii="Arial" w:cs="Arial" w:eastAsia="Arial" w:hAnsi="Arial"/>
                <w:sz w:val="15"/>
                <w:szCs w:val="15"/>
                <w:color w:val="auto"/>
              </w:rPr>
              <w:t>(22)</w:t>
            </w:r>
          </w:p>
        </w:tc>
        <w:tc>
          <w:tcPr>
            <w:tcW w:w="660" w:type="dxa"/>
            <w:vAlign w:val="bottom"/>
          </w:tcPr>
          <w:p>
            <w:pPr>
              <w:jc w:val="right"/>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9"/>
                <w:szCs w:val="19"/>
                <w:color w:val="auto"/>
              </w:rPr>
            </w:pP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rPr>
              <w:t>(10)</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260"/>
              <w:spacing w:after="0"/>
              <w:rPr>
                <w:sz w:val="20"/>
                <w:szCs w:val="20"/>
                <w:color w:val="auto"/>
              </w:rPr>
            </w:pPr>
            <w:r>
              <w:rPr>
                <w:rFonts w:ascii="Arial" w:cs="Arial" w:eastAsia="Arial" w:hAnsi="Arial"/>
                <w:sz w:val="15"/>
                <w:szCs w:val="15"/>
                <w:color w:val="auto"/>
              </w:rPr>
              <w:t>Prior service cost (credit)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rPr>
              <w:t>(1)</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20" w:type="dxa"/>
            <w:vAlign w:val="bottom"/>
            <w:gridSpan w:val="2"/>
          </w:tcPr>
          <w:p>
            <w:pPr>
              <w:ind w:left="260"/>
              <w:spacing w:after="0"/>
              <w:rPr>
                <w:sz w:val="20"/>
                <w:szCs w:val="20"/>
                <w:color w:val="auto"/>
              </w:rPr>
            </w:pPr>
            <w:r>
              <w:rPr>
                <w:rFonts w:ascii="Arial" w:cs="Arial" w:eastAsia="Arial" w:hAnsi="Arial"/>
                <w:sz w:val="15"/>
                <w:szCs w:val="15"/>
                <w:color w:val="auto"/>
              </w:rPr>
              <w:t>Actuarial loss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46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1</w:t>
            </w: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Regulatory adjustment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4</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20" w:type="dxa"/>
            <w:vAlign w:val="bottom"/>
            <w:tcBorders>
              <w:bottom w:val="single" w:sz="8" w:color="auto"/>
            </w:tcBorders>
            <w:gridSpan w:val="2"/>
          </w:tcPr>
          <w:p>
            <w:pPr>
              <w:ind w:left="100"/>
              <w:spacing w:after="0" w:line="163" w:lineRule="exact"/>
              <w:rPr>
                <w:sz w:val="20"/>
                <w:szCs w:val="20"/>
                <w:color w:val="auto"/>
              </w:rPr>
            </w:pPr>
            <w:r>
              <w:rPr>
                <w:rFonts w:ascii="Arial" w:cs="Arial" w:eastAsia="Arial" w:hAnsi="Arial"/>
                <w:sz w:val="15"/>
                <w:szCs w:val="15"/>
                <w:color w:val="auto"/>
                <w:w w:val="96"/>
              </w:rPr>
              <w:t>Total net periodic benefit cost</w:t>
            </w:r>
          </w:p>
        </w:tc>
        <w:tc>
          <w:tcPr>
            <w:tcW w:w="240" w:type="dxa"/>
            <w:vAlign w:val="bottom"/>
            <w:tcBorders>
              <w:bottom w:val="single" w:sz="8" w:color="auto"/>
            </w:tcBorders>
            <w:gridSpan w:val="2"/>
          </w:tcPr>
          <w:p>
            <w:pPr>
              <w:ind w:left="160"/>
              <w:spacing w:after="0" w:line="163"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5"/>
                <w:szCs w:val="15"/>
                <w:color w:val="auto"/>
              </w:rPr>
              <w:t>18</w:t>
            </w:r>
          </w:p>
        </w:tc>
        <w:tc>
          <w:tcPr>
            <w:tcW w:w="460" w:type="dxa"/>
            <w:vAlign w:val="bottom"/>
            <w:tcBorders>
              <w:bottom w:val="single" w:sz="8" w:color="auto"/>
            </w:tcBorders>
          </w:tcPr>
          <w:p>
            <w:pPr>
              <w:jc w:val="right"/>
              <w:ind w:right="87"/>
              <w:spacing w:after="0" w:line="163"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9</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gridSpan w:val="2"/>
          </w:tcPr>
          <w:p>
            <w:pPr>
              <w:jc w:val="right"/>
              <w:ind w:right="47"/>
              <w:spacing w:after="0" w:line="163" w:lineRule="exact"/>
              <w:rPr>
                <w:sz w:val="20"/>
                <w:szCs w:val="20"/>
                <w:color w:val="auto"/>
              </w:rPr>
            </w:pPr>
            <w:r>
              <w:rPr>
                <w:rFonts w:ascii="Arial" w:cs="Arial" w:eastAsia="Arial" w:hAnsi="Arial"/>
                <w:sz w:val="15"/>
                <w:szCs w:val="15"/>
                <w:color w:val="auto"/>
              </w:rPr>
              <w:t>10</w:t>
            </w:r>
          </w:p>
        </w:tc>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4"/>
          </w:tcPr>
          <w:p>
            <w:pPr>
              <w:jc w:val="right"/>
              <w:ind w:right="45"/>
              <w:spacing w:after="0"/>
              <w:rPr>
                <w:sz w:val="20"/>
                <w:szCs w:val="20"/>
                <w:color w:val="auto"/>
              </w:rPr>
            </w:pPr>
            <w:r>
              <w:rPr>
                <w:rFonts w:ascii="Arial" w:cs="Arial" w:eastAsia="Arial" w:hAnsi="Arial"/>
                <w:sz w:val="13"/>
                <w:szCs w:val="13"/>
                <w:color w:val="auto"/>
                <w:w w:val="97"/>
              </w:rPr>
              <w:t>Six months ended June 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gridSpan w:val="5"/>
          </w:tcPr>
          <w:p>
            <w:pPr>
              <w:jc w:val="right"/>
              <w:ind w:right="4980"/>
              <w:spacing w:after="0"/>
              <w:rPr>
                <w:sz w:val="20"/>
                <w:szCs w:val="20"/>
                <w:color w:val="auto"/>
              </w:rPr>
            </w:pPr>
            <w:r>
              <w:rPr>
                <w:rFonts w:ascii="Arial" w:cs="Arial" w:eastAsia="Arial" w:hAnsi="Arial"/>
                <w:sz w:val="13"/>
                <w:szCs w:val="13"/>
                <w:color w:val="auto"/>
                <w:w w:val="98"/>
              </w:rPr>
              <w:t>Six months ended June 30,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3"/>
                <w:szCs w:val="13"/>
                <w:color w:val="auto"/>
              </w:rPr>
              <w:t>2010</w:t>
            </w:r>
          </w:p>
        </w:tc>
        <w:tc>
          <w:tcPr>
            <w:tcW w:w="4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3"/>
                <w:szCs w:val="13"/>
                <w:color w:val="auto"/>
              </w:rPr>
              <w:t>2009</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3"/>
                <w:szCs w:val="13"/>
                <w:color w:val="auto"/>
              </w:rPr>
              <w:t>2010</w:t>
            </w: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167"/>
              <w:spacing w:after="0"/>
              <w:rPr>
                <w:sz w:val="20"/>
                <w:szCs w:val="20"/>
                <w:color w:val="auto"/>
              </w:rPr>
            </w:pPr>
            <w:r>
              <w:rPr>
                <w:rFonts w:ascii="Arial" w:cs="Arial" w:eastAsia="Arial" w:hAnsi="Arial"/>
                <w:sz w:val="13"/>
                <w:szCs w:val="13"/>
                <w:color w:val="auto"/>
              </w:rPr>
              <w:t>2009</w:t>
            </w: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Service cost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4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10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9</w:t>
            </w: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Interest cost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46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9"/>
                <w:szCs w:val="19"/>
                <w:color w:val="auto"/>
              </w:rPr>
            </w:pP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23</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Expected return on assets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347"/>
              <w:spacing w:after="0"/>
              <w:rPr>
                <w:sz w:val="20"/>
                <w:szCs w:val="20"/>
                <w:color w:val="auto"/>
              </w:rPr>
            </w:pPr>
            <w:r>
              <w:rPr>
                <w:rFonts w:ascii="Arial" w:cs="Arial" w:eastAsia="Arial" w:hAnsi="Arial"/>
                <w:sz w:val="15"/>
                <w:szCs w:val="15"/>
                <w:color w:val="auto"/>
              </w:rPr>
              <w:t>(45)</w:t>
            </w:r>
          </w:p>
        </w:tc>
        <w:tc>
          <w:tcPr>
            <w:tcW w:w="660" w:type="dxa"/>
            <w:vAlign w:val="bottom"/>
          </w:tcPr>
          <w:p>
            <w:pPr>
              <w:jc w:val="right"/>
              <w:spacing w:after="0"/>
              <w:rPr>
                <w:sz w:val="20"/>
                <w:szCs w:val="20"/>
                <w:color w:val="auto"/>
              </w:rPr>
            </w:pPr>
            <w:r>
              <w:rPr>
                <w:rFonts w:ascii="Arial" w:cs="Arial" w:eastAsia="Arial" w:hAnsi="Arial"/>
                <w:sz w:val="15"/>
                <w:szCs w:val="15"/>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Amortization of:</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gridSpan w:val="2"/>
          </w:tcPr>
          <w:p>
            <w:pPr>
              <w:ind w:left="260"/>
              <w:spacing w:after="0"/>
              <w:rPr>
                <w:sz w:val="20"/>
                <w:szCs w:val="20"/>
                <w:color w:val="auto"/>
              </w:rPr>
            </w:pPr>
            <w:r>
              <w:rPr>
                <w:rFonts w:ascii="Arial" w:cs="Arial" w:eastAsia="Arial" w:hAnsi="Arial"/>
                <w:sz w:val="15"/>
                <w:szCs w:val="15"/>
                <w:color w:val="auto"/>
              </w:rPr>
              <w:t>Prior service cost (credit)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rPr>
              <w:t>(2)</w:t>
            </w: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260"/>
              <w:spacing w:after="0"/>
              <w:rPr>
                <w:sz w:val="20"/>
                <w:szCs w:val="20"/>
                <w:color w:val="auto"/>
              </w:rPr>
            </w:pPr>
            <w:r>
              <w:rPr>
                <w:rFonts w:ascii="Arial" w:cs="Arial" w:eastAsia="Arial" w:hAnsi="Arial"/>
                <w:sz w:val="15"/>
                <w:szCs w:val="15"/>
                <w:color w:val="auto"/>
              </w:rPr>
              <w:t>Actuarial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460" w:type="dxa"/>
            <w:vAlign w:val="bottom"/>
          </w:tcPr>
          <w:p>
            <w:pPr>
              <w:spacing w:after="0"/>
              <w:rPr>
                <w:sz w:val="16"/>
                <w:szCs w:val="16"/>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6"/>
                <w:szCs w:val="16"/>
                <w:color w:val="auto"/>
              </w:rPr>
            </w:pPr>
          </w:p>
        </w:tc>
        <w:tc>
          <w:tcPr>
            <w:tcW w:w="560" w:type="dxa"/>
            <w:vAlign w:val="bottom"/>
            <w:gridSpan w:val="2"/>
          </w:tcPr>
          <w:p>
            <w:pPr>
              <w:jc w:val="right"/>
              <w:ind w:right="47"/>
              <w:spacing w:after="0"/>
              <w:rPr>
                <w:sz w:val="20"/>
                <w:szCs w:val="20"/>
                <w:color w:val="auto"/>
              </w:rPr>
            </w:pPr>
            <w:r>
              <w:rPr>
                <w:rFonts w:ascii="Arial" w:cs="Arial" w:eastAsia="Arial" w:hAnsi="Arial"/>
                <w:sz w:val="15"/>
                <w:szCs w:val="15"/>
                <w:color w:val="auto"/>
              </w:rPr>
              <w:t>2</w:t>
            </w: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20" w:type="dxa"/>
            <w:vAlign w:val="bottom"/>
            <w:gridSpan w:val="2"/>
          </w:tcPr>
          <w:p>
            <w:pPr>
              <w:ind w:left="100"/>
              <w:spacing w:after="0"/>
              <w:rPr>
                <w:sz w:val="20"/>
                <w:szCs w:val="20"/>
                <w:color w:val="auto"/>
              </w:rPr>
            </w:pPr>
            <w:r>
              <w:rPr>
                <w:rFonts w:ascii="Arial" w:cs="Arial" w:eastAsia="Arial" w:hAnsi="Arial"/>
                <w:sz w:val="15"/>
                <w:szCs w:val="15"/>
                <w:color w:val="auto"/>
              </w:rPr>
              <w:t>Regulatory adjustment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347"/>
              <w:spacing w:after="0"/>
              <w:rPr>
                <w:sz w:val="20"/>
                <w:szCs w:val="20"/>
                <w:color w:val="auto"/>
              </w:rPr>
            </w:pPr>
            <w:r>
              <w:rPr>
                <w:rFonts w:ascii="Arial" w:cs="Arial" w:eastAsia="Arial" w:hAnsi="Arial"/>
                <w:sz w:val="15"/>
                <w:szCs w:val="15"/>
                <w:color w:val="auto"/>
              </w:rPr>
              <w:t>(14)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w w:val="96"/>
              </w:rPr>
              <w:t>Total net periodic benefit cost</w:t>
            </w:r>
          </w:p>
        </w:tc>
        <w:tc>
          <w:tcPr>
            <w:tcW w:w="2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19</w:t>
            </w:r>
          </w:p>
        </w:tc>
        <w:tc>
          <w:tcPr>
            <w:tcW w:w="4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18</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14</w:t>
            </w: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Plan Contributions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our pension and other postretirement benefit plans and the amounts we expect to contribute in 20 10:</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color w:val="auto"/>
              </w:rPr>
              <w:t>Sempra Energy</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7"/>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110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3"/>
                <w:szCs w:val="13"/>
                <w:color w:val="auto"/>
              </w:rPr>
              <w:t>Consolidated</w:t>
            </w:r>
          </w:p>
        </w:tc>
        <w:tc>
          <w:tcPr>
            <w:tcW w:w="7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3"/>
                <w:szCs w:val="13"/>
                <w:color w:val="auto"/>
              </w:rPr>
              <w:t>SDG&amp;E</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SoCalGas</w:t>
            </w:r>
          </w:p>
        </w:tc>
      </w:tr>
      <w:tr>
        <w:trPr>
          <w:trHeight w:val="219"/>
        </w:trPr>
        <w:tc>
          <w:tcPr>
            <w:tcW w:w="2560" w:type="dxa"/>
            <w:vAlign w:val="bottom"/>
          </w:tcPr>
          <w:p>
            <w:pPr>
              <w:spacing w:after="0"/>
              <w:rPr>
                <w:sz w:val="20"/>
                <w:szCs w:val="20"/>
                <w:color w:val="auto"/>
              </w:rPr>
            </w:pPr>
            <w:r>
              <w:rPr>
                <w:rFonts w:ascii="Arial" w:cs="Arial" w:eastAsia="Arial" w:hAnsi="Arial"/>
                <w:sz w:val="15"/>
                <w:szCs w:val="15"/>
                <w:color w:val="auto"/>
              </w:rPr>
              <w:t>Contributions through June 30, 2010:</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5"/>
        </w:trPr>
        <w:tc>
          <w:tcPr>
            <w:tcW w:w="2560" w:type="dxa"/>
            <w:vAlign w:val="bottom"/>
          </w:tcPr>
          <w:p>
            <w:pPr>
              <w:ind w:left="260"/>
              <w:spacing w:after="0"/>
              <w:rPr>
                <w:sz w:val="20"/>
                <w:szCs w:val="20"/>
                <w:color w:val="auto"/>
              </w:rPr>
            </w:pPr>
            <w:r>
              <w:rPr>
                <w:rFonts w:ascii="Arial" w:cs="Arial" w:eastAsia="Arial" w:hAnsi="Arial"/>
                <w:sz w:val="15"/>
                <w:szCs w:val="15"/>
                <w:color w:val="auto"/>
              </w:rPr>
              <w:t>Pension plans</w:t>
            </w:r>
          </w:p>
        </w:tc>
        <w:tc>
          <w:tcPr>
            <w:tcW w:w="46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7"/>
              <w:spacing w:after="0"/>
              <w:rPr>
                <w:sz w:val="20"/>
                <w:szCs w:val="20"/>
                <w:color w:val="auto"/>
              </w:rPr>
            </w:pPr>
            <w:r>
              <w:rPr>
                <w:rFonts w:ascii="Arial" w:cs="Arial" w:eastAsia="Arial" w:hAnsi="Arial"/>
                <w:sz w:val="15"/>
                <w:szCs w:val="15"/>
                <w:color w:val="auto"/>
              </w:rPr>
              <w:t>53</w:t>
            </w:r>
          </w:p>
        </w:tc>
        <w:tc>
          <w:tcPr>
            <w:tcW w:w="28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47"/>
              <w:spacing w:after="0"/>
              <w:rPr>
                <w:sz w:val="20"/>
                <w:szCs w:val="20"/>
                <w:color w:val="auto"/>
              </w:rPr>
            </w:pPr>
            <w:r>
              <w:rPr>
                <w:rFonts w:ascii="Arial" w:cs="Arial" w:eastAsia="Arial" w:hAnsi="Arial"/>
                <w:sz w:val="15"/>
                <w:szCs w:val="15"/>
                <w:color w:val="auto"/>
              </w:rPr>
              <w:t>21</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7"/>
              <w:spacing w:after="0"/>
              <w:rPr>
                <w:sz w:val="20"/>
                <w:szCs w:val="20"/>
                <w:color w:val="auto"/>
              </w:rPr>
            </w:pPr>
            <w:r>
              <w:rPr>
                <w:rFonts w:ascii="Arial" w:cs="Arial" w:eastAsia="Arial" w:hAnsi="Arial"/>
                <w:sz w:val="15"/>
                <w:szCs w:val="15"/>
                <w:color w:val="auto"/>
              </w:rPr>
              <w:t>19</w:t>
            </w:r>
          </w:p>
        </w:tc>
      </w:tr>
      <w:tr>
        <w:trPr>
          <w:trHeight w:val="219"/>
        </w:trPr>
        <w:tc>
          <w:tcPr>
            <w:tcW w:w="2560" w:type="dxa"/>
            <w:vAlign w:val="bottom"/>
          </w:tcPr>
          <w:p>
            <w:pPr>
              <w:ind w:left="260"/>
              <w:spacing w:after="0"/>
              <w:rPr>
                <w:sz w:val="20"/>
                <w:szCs w:val="20"/>
                <w:color w:val="auto"/>
              </w:rPr>
            </w:pPr>
            <w:r>
              <w:rPr>
                <w:rFonts w:ascii="Arial" w:cs="Arial" w:eastAsia="Arial" w:hAnsi="Arial"/>
                <w:sz w:val="15"/>
                <w:szCs w:val="15"/>
                <w:color w:val="auto"/>
              </w:rPr>
              <w:t>Other postretirement benefit plans</w:t>
            </w:r>
          </w:p>
        </w:tc>
        <w:tc>
          <w:tcPr>
            <w:tcW w:w="460" w:type="dxa"/>
            <w:vAlign w:val="bottom"/>
          </w:tcPr>
          <w:p>
            <w:pPr>
              <w:spacing w:after="0"/>
              <w:rPr>
                <w:sz w:val="19"/>
                <w:szCs w:val="19"/>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9"/>
                <w:szCs w:val="19"/>
                <w:color w:val="auto"/>
              </w:rPr>
            </w:pPr>
          </w:p>
        </w:tc>
        <w:tc>
          <w:tcPr>
            <w:tcW w:w="420" w:type="dxa"/>
            <w:vAlign w:val="bottom"/>
          </w:tcPr>
          <w:p>
            <w:pPr>
              <w:jc w:val="right"/>
              <w:ind w:right="47"/>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9"/>
                <w:szCs w:val="19"/>
                <w:color w:val="auto"/>
              </w:rPr>
            </w:pPr>
          </w:p>
        </w:tc>
        <w:tc>
          <w:tcPr>
            <w:tcW w:w="440" w:type="dxa"/>
            <w:vAlign w:val="bottom"/>
          </w:tcPr>
          <w:p>
            <w:pPr>
              <w:jc w:val="right"/>
              <w:ind w:right="47"/>
              <w:spacing w:after="0"/>
              <w:rPr>
                <w:sz w:val="20"/>
                <w:szCs w:val="20"/>
                <w:color w:val="auto"/>
              </w:rPr>
            </w:pPr>
            <w:r>
              <w:rPr>
                <w:rFonts w:ascii="Arial" w:cs="Arial" w:eastAsia="Arial" w:hAnsi="Arial"/>
                <w:sz w:val="15"/>
                <w:szCs w:val="15"/>
                <w:color w:val="auto"/>
              </w:rPr>
              <w:t>19</w:t>
            </w:r>
          </w:p>
        </w:tc>
      </w:tr>
      <w:tr>
        <w:trPr>
          <w:trHeight w:val="219"/>
        </w:trPr>
        <w:tc>
          <w:tcPr>
            <w:tcW w:w="2560" w:type="dxa"/>
            <w:vAlign w:val="bottom"/>
          </w:tcPr>
          <w:p>
            <w:pPr>
              <w:ind w:left="100"/>
              <w:spacing w:after="0"/>
              <w:rPr>
                <w:sz w:val="20"/>
                <w:szCs w:val="20"/>
                <w:color w:val="auto"/>
              </w:rPr>
            </w:pPr>
            <w:r>
              <w:rPr>
                <w:rFonts w:ascii="Arial" w:cs="Arial" w:eastAsia="Arial" w:hAnsi="Arial"/>
                <w:sz w:val="15"/>
                <w:szCs w:val="15"/>
                <w:color w:val="auto"/>
                <w:w w:val="99"/>
              </w:rPr>
              <w:t>Total expected contributions in 2010:</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5"/>
        </w:trPr>
        <w:tc>
          <w:tcPr>
            <w:tcW w:w="2560" w:type="dxa"/>
            <w:vAlign w:val="bottom"/>
          </w:tcPr>
          <w:p>
            <w:pPr>
              <w:ind w:left="260"/>
              <w:spacing w:after="0"/>
              <w:rPr>
                <w:sz w:val="20"/>
                <w:szCs w:val="20"/>
                <w:color w:val="auto"/>
              </w:rPr>
            </w:pPr>
            <w:r>
              <w:rPr>
                <w:rFonts w:ascii="Arial" w:cs="Arial" w:eastAsia="Arial" w:hAnsi="Arial"/>
                <w:sz w:val="15"/>
                <w:szCs w:val="15"/>
                <w:color w:val="auto"/>
              </w:rPr>
              <w:t>Pension plans</w:t>
            </w:r>
          </w:p>
        </w:tc>
        <w:tc>
          <w:tcPr>
            <w:tcW w:w="46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7"/>
              <w:spacing w:after="0"/>
              <w:rPr>
                <w:sz w:val="20"/>
                <w:szCs w:val="20"/>
                <w:color w:val="auto"/>
              </w:rPr>
            </w:pPr>
            <w:r>
              <w:rPr>
                <w:rFonts w:ascii="Arial" w:cs="Arial" w:eastAsia="Arial" w:hAnsi="Arial"/>
                <w:sz w:val="15"/>
                <w:szCs w:val="15"/>
                <w:color w:val="auto"/>
              </w:rPr>
              <w:t>169</w:t>
            </w:r>
          </w:p>
        </w:tc>
        <w:tc>
          <w:tcPr>
            <w:tcW w:w="28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47"/>
              <w:spacing w:after="0"/>
              <w:rPr>
                <w:sz w:val="20"/>
                <w:szCs w:val="20"/>
                <w:color w:val="auto"/>
              </w:rPr>
            </w:pPr>
            <w:r>
              <w:rPr>
                <w:rFonts w:ascii="Arial" w:cs="Arial" w:eastAsia="Arial" w:hAnsi="Arial"/>
                <w:sz w:val="15"/>
                <w:szCs w:val="15"/>
                <w:color w:val="auto"/>
              </w:rPr>
              <w:t>63</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7"/>
              <w:spacing w:after="0"/>
              <w:rPr>
                <w:sz w:val="20"/>
                <w:szCs w:val="20"/>
                <w:color w:val="auto"/>
              </w:rPr>
            </w:pPr>
            <w:r>
              <w:rPr>
                <w:rFonts w:ascii="Arial" w:cs="Arial" w:eastAsia="Arial" w:hAnsi="Arial"/>
                <w:sz w:val="15"/>
                <w:szCs w:val="15"/>
                <w:color w:val="auto"/>
              </w:rPr>
              <w:t>75</w:t>
            </w:r>
          </w:p>
        </w:tc>
      </w:tr>
      <w:tr>
        <w:trPr>
          <w:trHeight w:val="228"/>
        </w:trPr>
        <w:tc>
          <w:tcPr>
            <w:tcW w:w="2560" w:type="dxa"/>
            <w:vAlign w:val="bottom"/>
            <w:tcBorders>
              <w:bottom w:val="single" w:sz="8" w:color="C0C0C0"/>
            </w:tcBorders>
          </w:tcPr>
          <w:p>
            <w:pPr>
              <w:ind w:left="260"/>
              <w:spacing w:after="0"/>
              <w:rPr>
                <w:sz w:val="20"/>
                <w:szCs w:val="20"/>
                <w:color w:val="auto"/>
              </w:rPr>
            </w:pPr>
            <w:r>
              <w:rPr>
                <w:rFonts w:ascii="Arial" w:cs="Arial" w:eastAsia="Arial" w:hAnsi="Arial"/>
                <w:sz w:val="15"/>
                <w:szCs w:val="15"/>
                <w:color w:val="auto"/>
              </w:rPr>
              <w:t>Other postretirement benefit plans</w:t>
            </w:r>
          </w:p>
        </w:tc>
        <w:tc>
          <w:tcPr>
            <w:tcW w:w="460" w:type="dxa"/>
            <w:vAlign w:val="bottom"/>
            <w:tcBorders>
              <w:bottom w:val="single" w:sz="8" w:color="C0C0C0"/>
            </w:tcBorders>
          </w:tcPr>
          <w:p>
            <w:pPr>
              <w:spacing w:after="0"/>
              <w:rPr>
                <w:sz w:val="19"/>
                <w:szCs w:val="19"/>
                <w:color w:val="auto"/>
              </w:rPr>
            </w:pPr>
          </w:p>
        </w:tc>
        <w:tc>
          <w:tcPr>
            <w:tcW w:w="6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55</w:t>
            </w:r>
          </w:p>
        </w:tc>
        <w:tc>
          <w:tcPr>
            <w:tcW w:w="280" w:type="dxa"/>
            <w:vAlign w:val="bottom"/>
          </w:tcPr>
          <w:p>
            <w:pPr>
              <w:spacing w:after="0"/>
              <w:rPr>
                <w:sz w:val="19"/>
                <w:szCs w:val="19"/>
                <w:color w:val="auto"/>
              </w:rPr>
            </w:pPr>
          </w:p>
        </w:tc>
        <w:tc>
          <w:tcPr>
            <w:tcW w:w="42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16</w:t>
            </w:r>
          </w:p>
        </w:tc>
        <w:tc>
          <w:tcPr>
            <w:tcW w:w="340" w:type="dxa"/>
            <w:vAlign w:val="bottom"/>
            <w:tcBorders>
              <w:bottom w:val="single" w:sz="8" w:color="C0C0C0"/>
            </w:tcBorders>
          </w:tcPr>
          <w:p>
            <w:pPr>
              <w:spacing w:after="0"/>
              <w:rPr>
                <w:sz w:val="19"/>
                <w:szCs w:val="19"/>
                <w:color w:val="auto"/>
              </w:rPr>
            </w:pPr>
          </w:p>
        </w:tc>
        <w:tc>
          <w:tcPr>
            <w:tcW w:w="44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36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w:t>
      </w:r>
    </w:p>
    <w:p>
      <w:pPr>
        <w:spacing w:after="0" w:line="165" w:lineRule="exact"/>
        <w:rPr>
          <w:sz w:val="20"/>
          <w:szCs w:val="20"/>
          <w:color w:val="auto"/>
        </w:rPr>
      </w:pPr>
    </w:p>
    <w:p>
      <w:pPr>
        <w:jc w:val="both"/>
        <w:ind w:right="320"/>
        <w:spacing w:after="0" w:line="320" w:lineRule="auto"/>
        <w:rPr>
          <w:sz w:val="20"/>
          <w:szCs w:val="20"/>
          <w:color w:val="auto"/>
        </w:rPr>
      </w:pPr>
      <w:r>
        <w:rPr>
          <w:rFonts w:ascii="Arial" w:cs="Arial" w:eastAsia="Arial" w:hAnsi="Arial"/>
          <w:sz w:val="14"/>
          <w:szCs w:val="14"/>
          <w:color w:val="auto"/>
        </w:rPr>
        <w:t>The following table provides the per share computations for our earnings for the three months and six months ended June 30, 2010 and 2009.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38"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247,090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52882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88280" cy="7620"/>
                    </a:xfrm>
                    <a:prstGeom prst="rect">
                      <a:avLst/>
                    </a:prstGeom>
                    <a:noFill/>
                  </pic:spPr>
                </pic:pic>
              </a:graphicData>
            </a:graphic>
          </wp:anchor>
        </w:drawing>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288280"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88280" cy="107950"/>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 except per share amounts; shares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3"/>
                <w:szCs w:val="13"/>
                <w:color w:val="auto"/>
                <w:w w:val="99"/>
              </w:rPr>
              <w:t>Three months ended June 30,</w:t>
            </w:r>
          </w:p>
        </w:tc>
        <w:tc>
          <w:tcPr>
            <w:tcW w:w="420" w:type="dxa"/>
            <w:vAlign w:val="bottom"/>
          </w:tcPr>
          <w:p>
            <w:pPr>
              <w:spacing w:after="0"/>
              <w:rPr>
                <w:sz w:val="12"/>
                <w:szCs w:val="12"/>
                <w:color w:val="auto"/>
              </w:rPr>
            </w:pPr>
          </w:p>
        </w:tc>
        <w:tc>
          <w:tcPr>
            <w:tcW w:w="2120" w:type="dxa"/>
            <w:vAlign w:val="bottom"/>
            <w:gridSpan w:val="2"/>
          </w:tcPr>
          <w:p>
            <w:pPr>
              <w:jc w:val="right"/>
              <w:ind w:right="89"/>
              <w:spacing w:after="0"/>
              <w:rPr>
                <w:sz w:val="20"/>
                <w:szCs w:val="20"/>
                <w:color w:val="auto"/>
              </w:rPr>
            </w:pPr>
            <w:r>
              <w:rPr>
                <w:rFonts w:ascii="Arial" w:cs="Arial" w:eastAsia="Arial" w:hAnsi="Arial"/>
                <w:sz w:val="13"/>
                <w:szCs w:val="13"/>
                <w:color w:val="auto"/>
              </w:rPr>
              <w:t>Six months ended June 30,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2010</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3"/>
                <w:szCs w:val="13"/>
                <w:color w:val="auto"/>
              </w:rPr>
              <w:t>2009</w:t>
            </w:r>
          </w:p>
        </w:tc>
        <w:tc>
          <w:tcPr>
            <w:tcW w:w="4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3"/>
                <w:szCs w:val="13"/>
                <w:color w:val="auto"/>
              </w:rPr>
              <w:t>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6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5"/>
                <w:szCs w:val="15"/>
                <w:color w:val="auto"/>
              </w:rPr>
              <w:t>Numerator:</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9"/>
                <w:szCs w:val="19"/>
                <w:color w:val="auto"/>
              </w:rPr>
              <w:t>514</w:t>
            </w:r>
          </w:p>
        </w:tc>
        <w:tc>
          <w:tcPr>
            <w:tcW w:w="0" w:type="dxa"/>
            <w:vAlign w:val="bottom"/>
          </w:tcPr>
          <w:p>
            <w:pPr>
              <w:spacing w:after="0"/>
              <w:rPr>
                <w:sz w:val="1"/>
                <w:szCs w:val="1"/>
                <w:color w:val="auto"/>
              </w:rPr>
            </w:pPr>
          </w:p>
        </w:tc>
      </w:tr>
      <w:tr>
        <w:trPr>
          <w:trHeight w:val="221"/>
        </w:trPr>
        <w:tc>
          <w:tcPr>
            <w:tcW w:w="3020" w:type="dxa"/>
            <w:vAlign w:val="bottom"/>
          </w:tcPr>
          <w:p>
            <w:pPr>
              <w:ind w:left="260"/>
              <w:spacing w:after="0"/>
              <w:rPr>
                <w:sz w:val="20"/>
                <w:szCs w:val="20"/>
                <w:color w:val="auto"/>
              </w:rPr>
            </w:pPr>
            <w:r>
              <w:rPr>
                <w:rFonts w:ascii="Arial" w:cs="Arial" w:eastAsia="Arial" w:hAnsi="Arial"/>
                <w:sz w:val="15"/>
                <w:szCs w:val="15"/>
                <w:color w:val="auto"/>
              </w:rPr>
              <w:t>Earnings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22 2</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198</w:t>
            </w:r>
          </w:p>
        </w:tc>
        <w:tc>
          <w:tcPr>
            <w:tcW w:w="420" w:type="dxa"/>
            <w:vAlign w:val="bottom"/>
          </w:tcPr>
          <w:p>
            <w:pPr>
              <w:ind w:left="10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9"/>
              <w:spacing w:after="0"/>
              <w:rPr>
                <w:sz w:val="20"/>
                <w:szCs w:val="20"/>
                <w:color w:val="auto"/>
              </w:rPr>
            </w:pPr>
            <w:r>
              <w:rPr>
                <w:rFonts w:ascii="Arial" w:cs="Arial" w:eastAsia="Arial" w:hAnsi="Arial"/>
                <w:sz w:val="15"/>
                <w:szCs w:val="15"/>
                <w:color w:val="auto"/>
              </w:rPr>
              <w:t>328</w:t>
            </w:r>
          </w:p>
        </w:tc>
        <w:tc>
          <w:tcPr>
            <w:tcW w:w="940" w:type="dxa"/>
            <w:vAlign w:val="bottom"/>
          </w:tcPr>
          <w:p>
            <w:pPr>
              <w:jc w:val="right"/>
              <w:ind w:right="669"/>
              <w:spacing w:after="0"/>
              <w:rPr>
                <w:sz w:val="20"/>
                <w:szCs w:val="20"/>
                <w:color w:val="auto"/>
              </w:rPr>
            </w:pPr>
            <w:r>
              <w:rPr>
                <w:rFonts w:ascii="Arial" w:cs="Arial" w:eastAsia="Arial" w:hAnsi="Arial"/>
                <w:sz w:val="15"/>
                <w:szCs w:val="15"/>
                <w:color w:val="auto"/>
              </w:rPr>
              <w:t>$</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3020" w:type="dxa"/>
            <w:vAlign w:val="bottom"/>
          </w:tcPr>
          <w:p>
            <w:pPr>
              <w:ind w:left="100"/>
              <w:spacing w:after="0"/>
              <w:rPr>
                <w:sz w:val="20"/>
                <w:szCs w:val="20"/>
                <w:color w:val="auto"/>
              </w:rPr>
            </w:pPr>
            <w:r>
              <w:rPr>
                <w:rFonts w:ascii="Arial" w:cs="Arial" w:eastAsia="Arial" w:hAnsi="Arial"/>
                <w:sz w:val="15"/>
                <w:szCs w:val="15"/>
                <w:color w:val="auto"/>
              </w:rPr>
              <w:t>Denominator:</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20" w:type="dxa"/>
            <w:vAlign w:val="bottom"/>
          </w:tcPr>
          <w:p>
            <w:pPr>
              <w:ind w:left="260"/>
              <w:spacing w:after="0"/>
              <w:rPr>
                <w:sz w:val="20"/>
                <w:szCs w:val="20"/>
                <w:color w:val="auto"/>
              </w:rPr>
            </w:pPr>
            <w:r>
              <w:rPr>
                <w:rFonts w:ascii="Arial" w:cs="Arial" w:eastAsia="Arial" w:hAnsi="Arial"/>
                <w:sz w:val="15"/>
                <w:szCs w:val="15"/>
                <w:color w:val="auto"/>
              </w:rPr>
              <w:t>Weighted-average common shares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Pr>
          <w:p>
            <w:pPr>
              <w:ind w:left="420"/>
              <w:spacing w:after="0"/>
              <w:rPr>
                <w:sz w:val="20"/>
                <w:szCs w:val="20"/>
                <w:color w:val="auto"/>
              </w:rPr>
            </w:pPr>
            <w:r>
              <w:rPr>
                <w:rFonts w:ascii="Arial" w:cs="Arial" w:eastAsia="Arial" w:hAnsi="Arial"/>
                <w:sz w:val="15"/>
                <w:szCs w:val="15"/>
                <w:color w:val="auto"/>
              </w:rPr>
              <w:t>outstanding for basic EPS</w:t>
            </w:r>
          </w:p>
        </w:tc>
        <w:tc>
          <w:tcPr>
            <w:tcW w:w="200" w:type="dxa"/>
            <w:vAlign w:val="bottom"/>
          </w:tcPr>
          <w:p>
            <w:pPr>
              <w:spacing w:after="0"/>
              <w:rPr>
                <w:sz w:val="19"/>
                <w:szCs w:val="19"/>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246,784</w:t>
            </w:r>
          </w:p>
        </w:tc>
        <w:tc>
          <w:tcPr>
            <w:tcW w:w="28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242,718</w:t>
            </w:r>
          </w:p>
        </w:tc>
        <w:tc>
          <w:tcPr>
            <w:tcW w:w="420" w:type="dxa"/>
            <w:vAlign w:val="bottom"/>
          </w:tcPr>
          <w:p>
            <w:pPr>
              <w:spacing w:after="0"/>
              <w:rPr>
                <w:sz w:val="19"/>
                <w:szCs w:val="19"/>
                <w:color w:val="auto"/>
              </w:rPr>
            </w:pPr>
          </w:p>
        </w:tc>
        <w:tc>
          <w:tcPr>
            <w:tcW w:w="1180" w:type="dxa"/>
            <w:vAlign w:val="bottom"/>
          </w:tcPr>
          <w:p>
            <w:pPr>
              <w:jc w:val="right"/>
              <w:ind w:right="49"/>
              <w:spacing w:after="0"/>
              <w:rPr>
                <w:sz w:val="20"/>
                <w:szCs w:val="20"/>
                <w:color w:val="auto"/>
              </w:rPr>
            </w:pPr>
            <w:r>
              <w:rPr>
                <w:rFonts w:ascii="Arial" w:cs="Arial" w:eastAsia="Arial" w:hAnsi="Arial"/>
                <w:sz w:val="15"/>
                <w:szCs w:val="15"/>
                <w:color w:val="auto"/>
              </w:rPr>
              <w:t>246,435</w:t>
            </w:r>
          </w:p>
        </w:tc>
        <w:tc>
          <w:tcPr>
            <w:tcW w:w="940" w:type="dxa"/>
            <w:vAlign w:val="bottom"/>
          </w:tcPr>
          <w:p>
            <w:pPr>
              <w:spacing w:after="0"/>
              <w:rPr>
                <w:sz w:val="19"/>
                <w:szCs w:val="19"/>
                <w:color w:val="auto"/>
              </w:rPr>
            </w:pPr>
          </w:p>
        </w:tc>
        <w:tc>
          <w:tcPr>
            <w:tcW w:w="620" w:type="dxa"/>
            <w:vAlign w:val="bottom"/>
          </w:tcPr>
          <w:p>
            <w:pPr>
              <w:jc w:val="right"/>
              <w:ind w:right="42"/>
              <w:spacing w:after="0"/>
              <w:rPr>
                <w:sz w:val="20"/>
                <w:szCs w:val="20"/>
                <w:color w:val="auto"/>
              </w:rPr>
            </w:pPr>
            <w:r>
              <w:rPr>
                <w:rFonts w:ascii="Arial" w:cs="Arial" w:eastAsia="Arial" w:hAnsi="Arial"/>
                <w:sz w:val="15"/>
                <w:szCs w:val="15"/>
                <w:color w:val="auto"/>
                <w:w w:val="88"/>
              </w:rPr>
              <w:t>242,245</w:t>
            </w:r>
          </w:p>
        </w:tc>
        <w:tc>
          <w:tcPr>
            <w:tcW w:w="0" w:type="dxa"/>
            <w:vAlign w:val="bottom"/>
          </w:tcPr>
          <w:p>
            <w:pPr>
              <w:spacing w:after="0"/>
              <w:rPr>
                <w:sz w:val="1"/>
                <w:szCs w:val="1"/>
                <w:color w:val="auto"/>
              </w:rPr>
            </w:pPr>
          </w:p>
        </w:tc>
      </w:tr>
      <w:tr>
        <w:trPr>
          <w:trHeight w:val="219"/>
        </w:trPr>
        <w:tc>
          <w:tcPr>
            <w:tcW w:w="3020" w:type="dxa"/>
            <w:vAlign w:val="bottom"/>
          </w:tcPr>
          <w:p>
            <w:pPr>
              <w:ind w:left="260"/>
              <w:spacing w:after="0"/>
              <w:rPr>
                <w:sz w:val="20"/>
                <w:szCs w:val="20"/>
                <w:color w:val="auto"/>
              </w:rPr>
            </w:pPr>
            <w:r>
              <w:rPr>
                <w:rFonts w:ascii="Arial" w:cs="Arial" w:eastAsia="Arial" w:hAnsi="Arial"/>
                <w:sz w:val="15"/>
                <w:szCs w:val="15"/>
                <w:color w:val="auto"/>
              </w:rPr>
              <w:t>Dilutive effect of stock options, restricted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Pr>
          <w:p>
            <w:pPr>
              <w:ind w:left="420"/>
              <w:spacing w:after="0"/>
              <w:rPr>
                <w:sz w:val="20"/>
                <w:szCs w:val="20"/>
                <w:color w:val="auto"/>
              </w:rPr>
            </w:pPr>
            <w:r>
              <w:rPr>
                <w:rFonts w:ascii="Arial" w:cs="Arial" w:eastAsia="Arial" w:hAnsi="Arial"/>
                <w:sz w:val="15"/>
                <w:szCs w:val="15"/>
                <w:color w:val="auto"/>
              </w:rPr>
              <w:t>stock awards and restricted stock units</w:t>
            </w:r>
          </w:p>
        </w:tc>
        <w:tc>
          <w:tcPr>
            <w:tcW w:w="200" w:type="dxa"/>
            <w:vAlign w:val="bottom"/>
          </w:tcPr>
          <w:p>
            <w:pPr>
              <w:spacing w:after="0"/>
              <w:rPr>
                <w:sz w:val="19"/>
                <w:szCs w:val="19"/>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2,943</w:t>
            </w:r>
          </w:p>
        </w:tc>
        <w:tc>
          <w:tcPr>
            <w:tcW w:w="28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4,372</w:t>
            </w:r>
          </w:p>
        </w:tc>
        <w:tc>
          <w:tcPr>
            <w:tcW w:w="420" w:type="dxa"/>
            <w:vAlign w:val="bottom"/>
          </w:tcPr>
          <w:p>
            <w:pPr>
              <w:spacing w:after="0"/>
              <w:rPr>
                <w:sz w:val="19"/>
                <w:szCs w:val="19"/>
                <w:color w:val="auto"/>
              </w:rPr>
            </w:pPr>
          </w:p>
        </w:tc>
        <w:tc>
          <w:tcPr>
            <w:tcW w:w="1180" w:type="dxa"/>
            <w:vAlign w:val="bottom"/>
          </w:tcPr>
          <w:p>
            <w:pPr>
              <w:jc w:val="right"/>
              <w:ind w:right="49"/>
              <w:spacing w:after="0"/>
              <w:rPr>
                <w:sz w:val="20"/>
                <w:szCs w:val="20"/>
                <w:color w:val="auto"/>
              </w:rPr>
            </w:pPr>
            <w:r>
              <w:rPr>
                <w:rFonts w:ascii="Arial" w:cs="Arial" w:eastAsia="Arial" w:hAnsi="Arial"/>
                <w:sz w:val="15"/>
                <w:szCs w:val="15"/>
                <w:color w:val="auto"/>
              </w:rPr>
              <w:t>3,400</w:t>
            </w:r>
          </w:p>
        </w:tc>
        <w:tc>
          <w:tcPr>
            <w:tcW w:w="940" w:type="dxa"/>
            <w:vAlign w:val="bottom"/>
          </w:tcPr>
          <w:p>
            <w:pPr>
              <w:spacing w:after="0"/>
              <w:rPr>
                <w:sz w:val="19"/>
                <w:szCs w:val="19"/>
                <w:color w:val="auto"/>
              </w:rPr>
            </w:pPr>
          </w:p>
        </w:tc>
        <w:tc>
          <w:tcPr>
            <w:tcW w:w="620" w:type="dxa"/>
            <w:vAlign w:val="bottom"/>
          </w:tcPr>
          <w:p>
            <w:pPr>
              <w:jc w:val="right"/>
              <w:ind w:right="42"/>
              <w:spacing w:after="0"/>
              <w:rPr>
                <w:sz w:val="20"/>
                <w:szCs w:val="20"/>
                <w:color w:val="auto"/>
              </w:rPr>
            </w:pPr>
            <w:r>
              <w:rPr>
                <w:rFonts w:ascii="Arial" w:cs="Arial" w:eastAsia="Arial" w:hAnsi="Arial"/>
                <w:sz w:val="15"/>
                <w:szCs w:val="15"/>
                <w:color w:val="auto"/>
              </w:rPr>
              <w:t>3,794</w:t>
            </w:r>
          </w:p>
        </w:tc>
        <w:tc>
          <w:tcPr>
            <w:tcW w:w="0" w:type="dxa"/>
            <w:vAlign w:val="bottom"/>
          </w:tcPr>
          <w:p>
            <w:pPr>
              <w:spacing w:after="0"/>
              <w:rPr>
                <w:sz w:val="1"/>
                <w:szCs w:val="1"/>
                <w:color w:val="auto"/>
              </w:rPr>
            </w:pPr>
          </w:p>
        </w:tc>
      </w:tr>
      <w:tr>
        <w:trPr>
          <w:trHeight w:val="206"/>
        </w:trPr>
        <w:tc>
          <w:tcPr>
            <w:tcW w:w="3020" w:type="dxa"/>
            <w:vAlign w:val="bottom"/>
          </w:tcPr>
          <w:p>
            <w:pPr>
              <w:ind w:left="260"/>
              <w:spacing w:after="0"/>
              <w:rPr>
                <w:sz w:val="20"/>
                <w:szCs w:val="20"/>
                <w:color w:val="auto"/>
              </w:rPr>
            </w:pPr>
            <w:r>
              <w:rPr>
                <w:rFonts w:ascii="Arial" w:cs="Arial" w:eastAsia="Arial" w:hAnsi="Arial"/>
                <w:sz w:val="15"/>
                <w:szCs w:val="15"/>
                <w:color w:val="auto"/>
              </w:rPr>
              <w:t>Weighted-average common shares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520"/>
              <w:spacing w:after="0"/>
              <w:rPr>
                <w:sz w:val="20"/>
                <w:szCs w:val="20"/>
                <w:color w:val="auto"/>
              </w:rPr>
            </w:pPr>
            <w:r>
              <w:rPr>
                <w:rFonts w:ascii="Arial" w:cs="Arial" w:eastAsia="Arial" w:hAnsi="Arial"/>
                <w:sz w:val="19"/>
                <w:szCs w:val="19"/>
                <w:color w:val="auto"/>
              </w:rPr>
              <w:t>outstanding for diluted EPS</w:t>
            </w:r>
          </w:p>
        </w:tc>
        <w:tc>
          <w:tcPr>
            <w:tcW w:w="200" w:type="dxa"/>
            <w:vAlign w:val="bottom"/>
          </w:tcPr>
          <w:p>
            <w:pPr>
              <w:spacing w:after="0"/>
              <w:rPr>
                <w:sz w:val="20"/>
                <w:szCs w:val="20"/>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249,727</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gridSpan w:val="2"/>
          </w:tcPr>
          <w:p>
            <w:pPr>
              <w:jc w:val="right"/>
              <w:ind w:right="849"/>
              <w:spacing w:after="0"/>
              <w:rPr>
                <w:sz w:val="20"/>
                <w:szCs w:val="20"/>
                <w:color w:val="auto"/>
              </w:rPr>
            </w:pPr>
            <w:r>
              <w:rPr>
                <w:rFonts w:ascii="Arial" w:cs="Arial" w:eastAsia="Arial" w:hAnsi="Arial"/>
                <w:sz w:val="15"/>
                <w:szCs w:val="15"/>
                <w:color w:val="auto"/>
              </w:rPr>
              <w:t>249,835</w:t>
            </w:r>
          </w:p>
        </w:tc>
        <w:tc>
          <w:tcPr>
            <w:tcW w:w="940" w:type="dxa"/>
            <w:vAlign w:val="bottom"/>
          </w:tcPr>
          <w:p>
            <w:pPr>
              <w:jc w:val="right"/>
              <w:ind w:right="189"/>
              <w:spacing w:after="0"/>
              <w:rPr>
                <w:sz w:val="20"/>
                <w:szCs w:val="20"/>
                <w:color w:val="auto"/>
              </w:rPr>
            </w:pPr>
            <w:r>
              <w:rPr>
                <w:rFonts w:ascii="Arial" w:cs="Arial" w:eastAsia="Arial" w:hAnsi="Arial"/>
                <w:sz w:val="15"/>
                <w:szCs w:val="15"/>
                <w:color w:val="auto"/>
              </w:rPr>
              <w:t>246,039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020" w:type="dxa"/>
            <w:vAlign w:val="bottom"/>
          </w:tcPr>
          <w:p>
            <w:pPr>
              <w:ind w:left="100"/>
              <w:spacing w:after="0"/>
              <w:rPr>
                <w:sz w:val="20"/>
                <w:szCs w:val="20"/>
                <w:color w:val="auto"/>
              </w:rPr>
            </w:pPr>
            <w:r>
              <w:rPr>
                <w:rFonts w:ascii="Arial" w:cs="Arial" w:eastAsia="Arial" w:hAnsi="Arial"/>
                <w:sz w:val="15"/>
                <w:szCs w:val="15"/>
                <w:color w:val="auto"/>
              </w:rPr>
              <w:t>Earnings per share: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6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0.90</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0.82</w:t>
            </w:r>
          </w:p>
        </w:tc>
        <w:tc>
          <w:tcPr>
            <w:tcW w:w="420" w:type="dxa"/>
            <w:vAlign w:val="bottom"/>
          </w:tcPr>
          <w:p>
            <w:pPr>
              <w:ind w:left="10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9"/>
              <w:spacing w:after="0"/>
              <w:rPr>
                <w:sz w:val="20"/>
                <w:szCs w:val="20"/>
                <w:color w:val="auto"/>
              </w:rPr>
            </w:pPr>
            <w:r>
              <w:rPr>
                <w:rFonts w:ascii="Arial" w:cs="Arial" w:eastAsia="Arial" w:hAnsi="Arial"/>
                <w:sz w:val="15"/>
                <w:szCs w:val="15"/>
                <w:color w:val="auto"/>
              </w:rPr>
              <w:t>1.33</w:t>
            </w:r>
          </w:p>
        </w:tc>
        <w:tc>
          <w:tcPr>
            <w:tcW w:w="940" w:type="dxa"/>
            <w:vAlign w:val="bottom"/>
          </w:tcPr>
          <w:p>
            <w:pPr>
              <w:jc w:val="right"/>
              <w:ind w:right="669"/>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969696"/>
            </w:tcBorders>
          </w:tcPr>
          <w:p>
            <w:pPr>
              <w:ind w:left="26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969696"/>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69696"/>
            </w:tcBorders>
          </w:tcPr>
          <w:p>
            <w:pPr>
              <w:jc w:val="right"/>
              <w:ind w:right="69"/>
              <w:spacing w:after="0"/>
              <w:rPr>
                <w:sz w:val="20"/>
                <w:szCs w:val="20"/>
                <w:color w:val="auto"/>
              </w:rPr>
            </w:pPr>
            <w:r>
              <w:rPr>
                <w:rFonts w:ascii="Arial" w:cs="Arial" w:eastAsia="Arial" w:hAnsi="Arial"/>
                <w:sz w:val="15"/>
                <w:szCs w:val="15"/>
                <w:color w:val="auto"/>
              </w:rPr>
              <w:t>0.89</w:t>
            </w:r>
          </w:p>
        </w:tc>
        <w:tc>
          <w:tcPr>
            <w:tcW w:w="280" w:type="dxa"/>
            <w:vAlign w:val="bottom"/>
            <w:tcBorders>
              <w:bottom w:val="single" w:sz="8" w:color="969696"/>
            </w:tcBorders>
          </w:tcPr>
          <w:p>
            <w:pPr>
              <w:jc w:val="right"/>
              <w:ind w:right="2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69696"/>
            </w:tcBorders>
          </w:tcPr>
          <w:p>
            <w:pPr>
              <w:jc w:val="right"/>
              <w:ind w:right="48"/>
              <w:spacing w:after="0"/>
              <w:rPr>
                <w:sz w:val="20"/>
                <w:szCs w:val="20"/>
                <w:color w:val="auto"/>
              </w:rPr>
            </w:pPr>
            <w:r>
              <w:rPr>
                <w:rFonts w:ascii="Arial" w:cs="Arial" w:eastAsia="Arial" w:hAnsi="Arial"/>
                <w:sz w:val="15"/>
                <w:szCs w:val="15"/>
                <w:color w:val="auto"/>
              </w:rPr>
              <w:t>0.80</w:t>
            </w:r>
          </w:p>
        </w:tc>
        <w:tc>
          <w:tcPr>
            <w:tcW w:w="420" w:type="dxa"/>
            <w:vAlign w:val="bottom"/>
            <w:tcBorders>
              <w:bottom w:val="single" w:sz="8" w:color="969696"/>
            </w:tcBorders>
          </w:tcPr>
          <w:p>
            <w:pPr>
              <w:ind w:left="10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969696"/>
            </w:tcBorders>
          </w:tcPr>
          <w:p>
            <w:pPr>
              <w:jc w:val="right"/>
              <w:ind w:right="49"/>
              <w:spacing w:after="0"/>
              <w:rPr>
                <w:sz w:val="20"/>
                <w:szCs w:val="20"/>
                <w:color w:val="auto"/>
              </w:rPr>
            </w:pPr>
            <w:r>
              <w:rPr>
                <w:rFonts w:ascii="Arial" w:cs="Arial" w:eastAsia="Arial" w:hAnsi="Arial"/>
                <w:sz w:val="15"/>
                <w:szCs w:val="15"/>
                <w:color w:val="auto"/>
              </w:rPr>
              <w:t>1.31</w:t>
            </w:r>
          </w:p>
        </w:tc>
        <w:tc>
          <w:tcPr>
            <w:tcW w:w="940" w:type="dxa"/>
            <w:vAlign w:val="bottom"/>
            <w:tcBorders>
              <w:bottom w:val="single" w:sz="8" w:color="969696"/>
            </w:tcBorders>
          </w:tcPr>
          <w:p>
            <w:pPr>
              <w:jc w:val="right"/>
              <w:ind w:right="669"/>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969696"/>
            </w:tcBorders>
          </w:tcPr>
          <w:p>
            <w:pPr>
              <w:jc w:val="right"/>
              <w:ind w:right="42"/>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dilution from common stock options is based on the treasury stock method. Under this method, proceeds based on the exercise price plus unearned compensation and windfall tax benefits or minus tax shortfalls related to the options are assumed to be used to repurchase shares on t 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We had 2,177,855 and 2,171,016 such stock options outstanding during the three months and six months ended June 30, 2010, respectively. We had 1,506,783 and 2,250,061 such stock options outstanding during the three months and six months ended June 30, 2009, respectively.</w:t>
      </w:r>
    </w:p>
    <w:p>
      <w:pPr>
        <w:sectPr>
          <w:pgSz w:w="11900" w:h="16894" w:orient="portrait"/>
          <w:cols w:equalWidth="0" w:num="1">
            <w:col w:w="11440"/>
          </w:cols>
          <w:pgMar w:left="240" w:top="134" w:right="219" w:bottom="0" w:gutter="0" w:footer="0" w:header="0"/>
        </w:sectPr>
      </w:pPr>
    </w:p>
    <w:bookmarkStart w:id="17" w:name="page18"/>
    <w:bookmarkEnd w:id="17"/>
    <w:p>
      <w:pPr>
        <w:spacing w:after="0" w:line="82" w:lineRule="exact"/>
        <w:rPr>
          <w:sz w:val="20"/>
          <w:szCs w:val="20"/>
          <w:color w:val="auto"/>
        </w:rPr>
      </w:pPr>
    </w:p>
    <w:p>
      <w:pPr>
        <w:jc w:val="both"/>
        <w:ind w:left="3" w:right="220"/>
        <w:spacing w:after="0" w:line="265" w:lineRule="auto"/>
        <w:rPr>
          <w:sz w:val="20"/>
          <w:szCs w:val="20"/>
          <w:color w:val="auto"/>
        </w:rPr>
      </w:pPr>
      <w:r>
        <w:rPr>
          <w:rFonts w:ascii="Arial" w:cs="Arial" w:eastAsia="Arial" w:hAnsi="Arial"/>
          <w:sz w:val="16"/>
          <w:szCs w:val="16"/>
          <w:color w:val="auto"/>
        </w:rPr>
        <w:t>We had 33,889 and 862,027 stock options outstanding during the three months and six months ended June 30, 2009, respectively, that were anti-dilutive because of the unearned compensation and windfall tax benefits included in the assumed proceeds under the treasury stock method. We had no such anti-dilutive stock options during the three months or six months ended June 30, 2010.</w:t>
      </w:r>
    </w:p>
    <w:p>
      <w:pPr>
        <w:spacing w:after="0" w:line="72" w:lineRule="exact"/>
        <w:rPr>
          <w:sz w:val="20"/>
          <w:szCs w:val="20"/>
          <w:color w:val="auto"/>
        </w:rPr>
      </w:pPr>
    </w:p>
    <w:p>
      <w:pPr>
        <w:ind w:left="3" w:right="60"/>
        <w:spacing w:after="0" w:line="259" w:lineRule="auto"/>
        <w:rPr>
          <w:sz w:val="20"/>
          <w:szCs w:val="20"/>
          <w:color w:val="auto"/>
        </w:rPr>
      </w:pPr>
      <w:r>
        <w:rPr>
          <w:rFonts w:ascii="Arial" w:cs="Arial" w:eastAsia="Arial" w:hAnsi="Arial"/>
          <w:sz w:val="16"/>
          <w:szCs w:val="16"/>
          <w:color w:val="auto"/>
        </w:rPr>
        <w:t>The dilution from unvested restricted stock awards and units is also based on the treasury stock method. Assumed proceeds equal to the unearned compensation and windfall tax benefits or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There were no such anti-dilutive restricted stock awards or units during any period presented.</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SHARE-BASED COMPENSATION</w:t>
      </w:r>
    </w:p>
    <w:p>
      <w:pPr>
        <w:spacing w:after="0" w:line="145" w:lineRule="exact"/>
        <w:rPr>
          <w:sz w:val="20"/>
          <w:szCs w:val="20"/>
          <w:color w:val="auto"/>
        </w:rPr>
      </w:pPr>
    </w:p>
    <w:p>
      <w:pPr>
        <w:ind w:left="3" w:right="280"/>
        <w:spacing w:after="0" w:line="261" w:lineRule="auto"/>
        <w:rPr>
          <w:sz w:val="20"/>
          <w:szCs w:val="20"/>
          <w:color w:val="auto"/>
        </w:rPr>
      </w:pPr>
      <w:r>
        <w:rPr>
          <w:rFonts w:ascii="Arial" w:cs="Arial" w:eastAsia="Arial" w:hAnsi="Arial"/>
          <w:sz w:val="16"/>
          <w:szCs w:val="16"/>
          <w:color w:val="auto"/>
        </w:rPr>
        <w:t>We discuss our share-based compensation plans in Note 10 of the Notes to Consolidated Financial Statements in the Annual Report. We recorded share-based compensation expense, net of income taxes, of $6 million and $5 million for the three months ended June 30, 2010 and 2009, respectively, and $13 million and $11 million for the six months ended June 30, 2010 and 2009, respectively. Pursuant to our share-based compensation plans, we granted 687,600 non-qualified stock options and 773,616 restricted stock units during the six months ended June 30, 2010, primarily in January 2010.</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CAPITALIZED FINANCING COSTS</w:t>
      </w:r>
    </w:p>
    <w:p>
      <w:pPr>
        <w:spacing w:after="0" w:line="165" w:lineRule="exact"/>
        <w:rPr>
          <w:sz w:val="20"/>
          <w:szCs w:val="20"/>
          <w:color w:val="auto"/>
        </w:rPr>
      </w:pPr>
    </w:p>
    <w:p>
      <w:pPr>
        <w:ind w:left="3" w:right="80"/>
        <w:spacing w:after="0" w:line="310" w:lineRule="auto"/>
        <w:rPr>
          <w:sz w:val="20"/>
          <w:szCs w:val="20"/>
          <w:color w:val="auto"/>
        </w:rPr>
      </w:pPr>
      <w:r>
        <w:rPr>
          <w:rFonts w:ascii="Arial" w:cs="Arial" w:eastAsia="Arial" w:hAnsi="Arial"/>
          <w:sz w:val="15"/>
          <w:szCs w:val="15"/>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and six months ended June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4105275" cy="294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05275" cy="294005"/>
                    </a:xfrm>
                    <a:prstGeom prst="rect">
                      <a:avLst/>
                    </a:prstGeom>
                    <a:noFill/>
                  </pic:spPr>
                </pic:pic>
              </a:graphicData>
            </a:graphic>
          </wp:anchor>
        </w:drawing>
      </w:r>
    </w:p>
    <w:p>
      <w:pPr>
        <w:spacing w:after="0" w:line="270"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CAPITALIZED FINANCING COSTS</w:t>
      </w:r>
    </w:p>
    <w:p>
      <w:pPr>
        <w:spacing w:after="0" w:line="34"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78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color w:val="auto"/>
              </w:rPr>
              <w:t>Three months ended June 30,</w:t>
            </w:r>
          </w:p>
        </w:tc>
        <w:tc>
          <w:tcPr>
            <w:tcW w:w="1760" w:type="dxa"/>
            <w:vAlign w:val="bottom"/>
            <w:gridSpan w:val="4"/>
          </w:tcPr>
          <w:p>
            <w:pPr>
              <w:jc w:val="right"/>
              <w:ind w:right="28"/>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99"/>
        </w:trPr>
        <w:tc>
          <w:tcPr>
            <w:tcW w:w="2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2010</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3"/>
                <w:szCs w:val="13"/>
                <w:color w:val="auto"/>
              </w:rPr>
              <w:t>2009</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2010</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19"/>
        </w:trPr>
        <w:tc>
          <w:tcPr>
            <w:tcW w:w="278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260"/>
              <w:spacing w:after="0"/>
              <w:rPr>
                <w:sz w:val="20"/>
                <w:szCs w:val="20"/>
                <w:color w:val="auto"/>
              </w:rPr>
            </w:pPr>
            <w:r>
              <w:rPr>
                <w:rFonts w:ascii="Arial" w:cs="Arial" w:eastAsia="Arial" w:hAnsi="Arial"/>
                <w:sz w:val="15"/>
                <w:szCs w:val="15"/>
                <w:color w:val="auto"/>
              </w:rPr>
              <w:t>AFUDC related to debt</w:t>
            </w:r>
          </w:p>
        </w:tc>
        <w:tc>
          <w:tcPr>
            <w:tcW w:w="620" w:type="dxa"/>
            <w:vAlign w:val="bottom"/>
          </w:tcPr>
          <w:p>
            <w:pPr>
              <w:ind w:left="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7"/>
              <w:spacing w:after="0"/>
              <w:rPr>
                <w:sz w:val="20"/>
                <w:szCs w:val="20"/>
                <w:color w:val="auto"/>
              </w:rPr>
            </w:pPr>
            <w:r>
              <w:rPr>
                <w:rFonts w:ascii="Arial" w:cs="Arial" w:eastAsia="Arial" w:hAnsi="Arial"/>
                <w:sz w:val="15"/>
                <w:szCs w:val="15"/>
                <w:color w:val="auto"/>
              </w:rPr>
              <w:t>4</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10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AFUDC related to equity</w:t>
            </w:r>
          </w:p>
        </w:tc>
        <w:tc>
          <w:tcPr>
            <w:tcW w:w="620" w:type="dxa"/>
            <w:vAlign w:val="bottom"/>
          </w:tcPr>
          <w:p>
            <w:pPr>
              <w:spacing w:after="0"/>
              <w:rPr>
                <w:sz w:val="19"/>
                <w:szCs w:val="19"/>
                <w:color w:val="auto"/>
              </w:rPr>
            </w:pPr>
          </w:p>
        </w:tc>
        <w:tc>
          <w:tcPr>
            <w:tcW w:w="320" w:type="dxa"/>
            <w:vAlign w:val="bottom"/>
          </w:tcPr>
          <w:p>
            <w:pPr>
              <w:jc w:val="right"/>
              <w:ind w:right="67"/>
              <w:spacing w:after="0"/>
              <w:rPr>
                <w:sz w:val="20"/>
                <w:szCs w:val="20"/>
                <w:color w:val="auto"/>
              </w:rPr>
            </w:pPr>
            <w:r>
              <w:rPr>
                <w:rFonts w:ascii="Arial" w:cs="Arial" w:eastAsia="Arial" w:hAnsi="Arial"/>
                <w:sz w:val="15"/>
                <w:szCs w:val="15"/>
                <w:color w:val="auto"/>
                <w:w w:val="95"/>
              </w:rPr>
              <w:t>14</w:t>
            </w:r>
          </w:p>
        </w:tc>
        <w:tc>
          <w:tcPr>
            <w:tcW w:w="220" w:type="dxa"/>
            <w:vAlign w:val="bottom"/>
          </w:tcPr>
          <w:p>
            <w:pPr>
              <w:spacing w:after="0"/>
              <w:rPr>
                <w:sz w:val="19"/>
                <w:szCs w:val="19"/>
                <w:color w:val="auto"/>
              </w:rPr>
            </w:pPr>
          </w:p>
        </w:tc>
        <w:tc>
          <w:tcPr>
            <w:tcW w:w="760" w:type="dxa"/>
            <w:vAlign w:val="bottom"/>
            <w:gridSpan w:val="2"/>
          </w:tcPr>
          <w:p>
            <w:pPr>
              <w:jc w:val="right"/>
              <w:ind w:right="67"/>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9"/>
                <w:szCs w:val="19"/>
                <w:color w:val="auto"/>
              </w:rPr>
            </w:pP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2"/>
        </w:trPr>
        <w:tc>
          <w:tcPr>
            <w:tcW w:w="2780" w:type="dxa"/>
            <w:vAlign w:val="bottom"/>
          </w:tcPr>
          <w:p>
            <w:pPr>
              <w:ind w:left="260"/>
              <w:spacing w:after="0"/>
              <w:rPr>
                <w:sz w:val="20"/>
                <w:szCs w:val="20"/>
                <w:color w:val="auto"/>
              </w:rPr>
            </w:pPr>
            <w:r>
              <w:rPr>
                <w:rFonts w:ascii="Arial" w:cs="Arial" w:eastAsia="Arial" w:hAnsi="Arial"/>
                <w:sz w:val="15"/>
                <w:szCs w:val="15"/>
                <w:color w:val="auto"/>
              </w:rPr>
              <w:t>Other capitalized financing costs</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11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25</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79"/>
        </w:trPr>
        <w:tc>
          <w:tcPr>
            <w:tcW w:w="2780" w:type="dxa"/>
            <w:vAlign w:val="bottom"/>
          </w:tcPr>
          <w:p>
            <w:pPr>
              <w:ind w:left="420"/>
              <w:spacing w:after="0" w:line="163" w:lineRule="exact"/>
              <w:rPr>
                <w:sz w:val="20"/>
                <w:szCs w:val="20"/>
                <w:color w:val="auto"/>
              </w:rPr>
            </w:pPr>
            <w:r>
              <w:rPr>
                <w:rFonts w:ascii="Arial" w:cs="Arial" w:eastAsia="Arial" w:hAnsi="Arial"/>
                <w:sz w:val="15"/>
                <w:szCs w:val="15"/>
                <w:color w:val="auto"/>
              </w:rPr>
              <w:t>Total Sempra Energy Consolidated</w:t>
            </w:r>
          </w:p>
        </w:tc>
        <w:tc>
          <w:tcPr>
            <w:tcW w:w="620" w:type="dxa"/>
            <w:vAlign w:val="bottom"/>
          </w:tcPr>
          <w:p>
            <w:pPr>
              <w:ind w:left="80"/>
              <w:spacing w:after="0" w:line="163"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line="163" w:lineRule="exact"/>
              <w:rPr>
                <w:sz w:val="20"/>
                <w:szCs w:val="20"/>
                <w:color w:val="auto"/>
              </w:rPr>
            </w:pPr>
            <w:r>
              <w:rPr>
                <w:rFonts w:ascii="Arial" w:cs="Arial" w:eastAsia="Arial" w:hAnsi="Arial"/>
                <w:sz w:val="15"/>
                <w:szCs w:val="15"/>
                <w:color w:val="auto"/>
                <w:w w:val="95"/>
              </w:rPr>
              <w:t>30</w:t>
            </w:r>
          </w:p>
        </w:tc>
        <w:tc>
          <w:tcPr>
            <w:tcW w:w="22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7"/>
              <w:spacing w:after="0" w:line="163" w:lineRule="exact"/>
              <w:rPr>
                <w:sz w:val="20"/>
                <w:szCs w:val="20"/>
                <w:color w:val="auto"/>
              </w:rPr>
            </w:pPr>
            <w:r>
              <w:rPr>
                <w:rFonts w:ascii="Arial" w:cs="Arial" w:eastAsia="Arial" w:hAnsi="Arial"/>
                <w:sz w:val="15"/>
                <w:szCs w:val="15"/>
                <w:color w:val="auto"/>
              </w:rPr>
              <w:t>39</w:t>
            </w:r>
          </w:p>
        </w:tc>
        <w:tc>
          <w:tcPr>
            <w:tcW w:w="240" w:type="dxa"/>
            <w:vAlign w:val="bottom"/>
          </w:tcPr>
          <w:p>
            <w:pPr>
              <w:ind w:left="100"/>
              <w:spacing w:after="0" w:line="163"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line="163" w:lineRule="exact"/>
              <w:rPr>
                <w:sz w:val="20"/>
                <w:szCs w:val="20"/>
                <w:color w:val="auto"/>
              </w:rPr>
            </w:pPr>
            <w:r>
              <w:rPr>
                <w:rFonts w:ascii="Arial" w:cs="Arial" w:eastAsia="Arial" w:hAnsi="Arial"/>
                <w:sz w:val="15"/>
                <w:szCs w:val="15"/>
                <w:color w:val="auto"/>
              </w:rPr>
              <w:t>55</w:t>
            </w:r>
          </w:p>
        </w:tc>
        <w:tc>
          <w:tcPr>
            <w:tcW w:w="24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68"/>
              <w:spacing w:after="0" w:line="163"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54"/>
        </w:trPr>
        <w:tc>
          <w:tcPr>
            <w:tcW w:w="278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SDG&amp;E:</w:t>
            </w:r>
            <w:r>
              <w:rPr>
                <w:rFonts w:ascii="Arial" w:cs="Arial" w:eastAsia="Arial" w:hAnsi="Arial"/>
                <w:sz w:val="19"/>
                <w:szCs w:val="19"/>
                <w:b w:val="1"/>
                <w:bCs w:val="1"/>
                <w:color w:val="auto"/>
              </w:rPr>
              <w:t>&lt; /b&gt;</w:t>
            </w:r>
          </w:p>
        </w:tc>
        <w:tc>
          <w:tcPr>
            <w:tcW w:w="6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Borders>
              <w:top w:val="single" w:sz="8" w:color="auto"/>
            </w:tcBorders>
            <w:vMerge w:val="restart"/>
          </w:tcPr>
          <w:p>
            <w:pPr>
              <w:ind w:left="100"/>
              <w:spacing w:after="0"/>
              <w:rPr>
                <w:sz w:val="20"/>
                <w:szCs w:val="20"/>
                <w:color w:val="auto"/>
              </w:rPr>
            </w:pPr>
            <w:r>
              <w:rPr>
                <w:rFonts w:ascii="Arial" w:cs="Arial" w:eastAsia="Arial" w:hAnsi="Arial"/>
                <w:sz w:val="19"/>
                <w:szCs w:val="19"/>
                <w:color w:val="auto"/>
              </w:rPr>
              <w:t>$</w:t>
            </w:r>
          </w:p>
        </w:tc>
        <w:tc>
          <w:tcPr>
            <w:tcW w:w="6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260"/>
              <w:spacing w:after="0"/>
              <w:rPr>
                <w:sz w:val="20"/>
                <w:szCs w:val="20"/>
                <w:color w:val="auto"/>
              </w:rPr>
            </w:pPr>
            <w:r>
              <w:rPr>
                <w:rFonts w:ascii="Arial" w:cs="Arial" w:eastAsia="Arial" w:hAnsi="Arial"/>
                <w:sz w:val="15"/>
                <w:szCs w:val="15"/>
                <w:color w:val="auto"/>
              </w:rPr>
              <w:t>AFUDC related to debt</w:t>
            </w:r>
          </w:p>
        </w:tc>
        <w:tc>
          <w:tcPr>
            <w:tcW w:w="620" w:type="dxa"/>
            <w:vAlign w:val="bottom"/>
          </w:tcPr>
          <w:p>
            <w:pPr>
              <w:ind w:left="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7"/>
              <w:spacing w:after="0"/>
              <w:rPr>
                <w:sz w:val="20"/>
                <w:szCs w:val="20"/>
                <w:color w:val="auto"/>
              </w:rPr>
            </w:pPr>
            <w:r>
              <w:rPr>
                <w:rFonts w:ascii="Arial" w:cs="Arial" w:eastAsia="Arial" w:hAnsi="Arial"/>
                <w:sz w:val="15"/>
                <w:szCs w:val="15"/>
                <w:color w:val="auto"/>
              </w:rPr>
              <w:t>2</w:t>
            </w:r>
          </w:p>
        </w:tc>
        <w:tc>
          <w:tcPr>
            <w:tcW w:w="240" w:type="dxa"/>
            <w:vAlign w:val="bottom"/>
            <w:vMerge w:val="continue"/>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5"/>
                <w:szCs w:val="15"/>
                <w:color w:val="auto"/>
              </w:rPr>
              <w:t>AFUDC related to equity</w:t>
            </w:r>
          </w:p>
        </w:tc>
        <w:tc>
          <w:tcPr>
            <w:tcW w:w="620" w:type="dxa"/>
            <w:vAlign w:val="bottom"/>
          </w:tcPr>
          <w:p>
            <w:pPr>
              <w:spacing w:after="0"/>
              <w:rPr>
                <w:sz w:val="18"/>
                <w:szCs w:val="18"/>
                <w:color w:val="auto"/>
              </w:rPr>
            </w:pPr>
          </w:p>
        </w:tc>
        <w:tc>
          <w:tcPr>
            <w:tcW w:w="320" w:type="dxa"/>
            <w:vAlign w:val="bottom"/>
          </w:tcPr>
          <w:p>
            <w:pPr>
              <w:jc w:val="right"/>
              <w:ind w:right="67"/>
              <w:spacing w:after="0"/>
              <w:rPr>
                <w:sz w:val="20"/>
                <w:szCs w:val="20"/>
                <w:color w:val="auto"/>
              </w:rPr>
            </w:pPr>
            <w:r>
              <w:rPr>
                <w:rFonts w:ascii="Arial" w:cs="Arial" w:eastAsia="Arial" w:hAnsi="Arial"/>
                <w:sz w:val="15"/>
                <w:szCs w:val="15"/>
                <w:color w:val="auto"/>
                <w:w w:val="95"/>
              </w:rPr>
              <w:t>10</w:t>
            </w:r>
          </w:p>
        </w:tc>
        <w:tc>
          <w:tcPr>
            <w:tcW w:w="220" w:type="dxa"/>
            <w:vAlign w:val="bottom"/>
          </w:tcPr>
          <w:p>
            <w:pPr>
              <w:spacing w:after="0"/>
              <w:rPr>
                <w:sz w:val="18"/>
                <w:szCs w:val="18"/>
                <w:color w:val="auto"/>
              </w:rPr>
            </w:pPr>
          </w:p>
        </w:tc>
        <w:tc>
          <w:tcPr>
            <w:tcW w:w="760" w:type="dxa"/>
            <w:vAlign w:val="bottom"/>
            <w:gridSpan w:val="2"/>
          </w:tcPr>
          <w:p>
            <w:pPr>
              <w:jc w:val="right"/>
              <w:ind w:right="67"/>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2"/>
        </w:trPr>
        <w:tc>
          <w:tcPr>
            <w:tcW w:w="2780" w:type="dxa"/>
            <w:vAlign w:val="bottom"/>
          </w:tcPr>
          <w:p>
            <w:pPr>
              <w:ind w:left="260"/>
              <w:spacing w:after="0"/>
              <w:rPr>
                <w:sz w:val="20"/>
                <w:szCs w:val="20"/>
                <w:color w:val="auto"/>
              </w:rPr>
            </w:pPr>
            <w:r>
              <w:rPr>
                <w:rFonts w:ascii="Arial" w:cs="Arial" w:eastAsia="Arial" w:hAnsi="Arial"/>
                <w:sz w:val="15"/>
                <w:szCs w:val="15"/>
                <w:color w:val="auto"/>
              </w:rPr>
              <w:t>Other capitalized financing costs</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9"/>
        </w:trPr>
        <w:tc>
          <w:tcPr>
            <w:tcW w:w="2780" w:type="dxa"/>
            <w:vAlign w:val="bottom"/>
            <w:tcBorders>
              <w:bottom w:val="single" w:sz="8" w:color="auto"/>
            </w:tcBorders>
          </w:tcPr>
          <w:p>
            <w:pPr>
              <w:ind w:left="320"/>
              <w:spacing w:after="0" w:line="163" w:lineRule="exact"/>
              <w:rPr>
                <w:sz w:val="20"/>
                <w:szCs w:val="20"/>
                <w:color w:val="auto"/>
              </w:rPr>
            </w:pPr>
            <w:r>
              <w:rPr>
                <w:rFonts w:ascii="Arial" w:cs="Arial" w:eastAsia="Arial" w:hAnsi="Arial"/>
                <w:sz w:val="15"/>
                <w:szCs w:val="15"/>
                <w:color w:val="auto"/>
              </w:rPr>
              <w:t>Total SDG&amp;E</w:t>
            </w:r>
          </w:p>
        </w:tc>
        <w:tc>
          <w:tcPr>
            <w:tcW w:w="620" w:type="dxa"/>
            <w:vAlign w:val="bottom"/>
            <w:tcBorders>
              <w:bottom w:val="single" w:sz="8" w:color="auto"/>
            </w:tcBorders>
          </w:tcPr>
          <w:p>
            <w:pPr>
              <w:ind w:left="80"/>
              <w:spacing w:after="0" w:line="163"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w w:val="95"/>
              </w:rPr>
              <w:t>14</w:t>
            </w:r>
          </w:p>
        </w:tc>
        <w:tc>
          <w:tcPr>
            <w:tcW w:w="2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jc w:val="right"/>
              <w:ind w:right="67"/>
              <w:spacing w:after="0" w:line="163" w:lineRule="exact"/>
              <w:rPr>
                <w:sz w:val="20"/>
                <w:szCs w:val="20"/>
                <w:color w:val="auto"/>
              </w:rPr>
            </w:pPr>
            <w:r>
              <w:rPr>
                <w:rFonts w:ascii="Arial" w:cs="Arial" w:eastAsia="Arial" w:hAnsi="Arial"/>
                <w:sz w:val="15"/>
                <w:szCs w:val="15"/>
                <w:color w:val="auto"/>
              </w:rPr>
              <w:t>11</w:t>
            </w:r>
          </w:p>
        </w:tc>
        <w:tc>
          <w:tcPr>
            <w:tcW w:w="2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8"/>
              <w:spacing w:after="0" w:line="163" w:lineRule="exact"/>
              <w:rPr>
                <w:sz w:val="20"/>
                <w:szCs w:val="20"/>
                <w:color w:val="auto"/>
              </w:rPr>
            </w:pPr>
            <w:r>
              <w:rPr>
                <w:rFonts w:ascii="Arial" w:cs="Arial" w:eastAsia="Arial" w:hAnsi="Arial"/>
                <w:sz w:val="15"/>
                <w:szCs w:val="15"/>
                <w:color w:val="auto"/>
              </w:rPr>
              <w:t>26</w:t>
            </w:r>
          </w:p>
        </w:tc>
        <w:tc>
          <w:tcPr>
            <w:tcW w:w="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27"/>
        </w:trPr>
        <w:tc>
          <w:tcPr>
            <w:tcW w:w="278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260"/>
              <w:spacing w:after="0"/>
              <w:rPr>
                <w:sz w:val="20"/>
                <w:szCs w:val="20"/>
                <w:color w:val="auto"/>
              </w:rPr>
            </w:pPr>
            <w:r>
              <w:rPr>
                <w:rFonts w:ascii="Arial" w:cs="Arial" w:eastAsia="Arial" w:hAnsi="Arial"/>
                <w:sz w:val="15"/>
                <w:szCs w:val="15"/>
                <w:color w:val="auto"/>
              </w:rPr>
              <w:t>AFUDC related to debt</w:t>
            </w:r>
          </w:p>
        </w:tc>
        <w:tc>
          <w:tcPr>
            <w:tcW w:w="620" w:type="dxa"/>
            <w:vAlign w:val="bottom"/>
          </w:tcPr>
          <w:p>
            <w:pPr>
              <w:ind w:left="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7"/>
              <w:spacing w:after="0"/>
              <w:rPr>
                <w:sz w:val="20"/>
                <w:szCs w:val="20"/>
                <w:color w:val="auto"/>
              </w:rPr>
            </w:pPr>
            <w:r>
              <w:rPr>
                <w:rFonts w:ascii="Arial" w:cs="Arial" w:eastAsia="Arial" w:hAnsi="Arial"/>
                <w:sz w:val="15"/>
                <w:szCs w:val="15"/>
                <w:color w:val="auto"/>
              </w:rPr>
              <w:t>2</w:t>
            </w:r>
          </w:p>
        </w:tc>
        <w:tc>
          <w:tcPr>
            <w:tcW w:w="2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2780" w:type="dxa"/>
            <w:vAlign w:val="bottom"/>
          </w:tcPr>
          <w:p>
            <w:pPr>
              <w:ind w:left="220"/>
              <w:spacing w:after="0"/>
              <w:rPr>
                <w:sz w:val="20"/>
                <w:szCs w:val="20"/>
                <w:color w:val="auto"/>
              </w:rPr>
            </w:pPr>
            <w:r>
              <w:rPr>
                <w:rFonts w:ascii="Arial" w:cs="Arial" w:eastAsia="Arial" w:hAnsi="Arial"/>
                <w:sz w:val="15"/>
                <w:szCs w:val="15"/>
                <w:color w:val="auto"/>
              </w:rPr>
              <w:t>; AFUDC related to equity</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9"/>
        </w:trPr>
        <w:tc>
          <w:tcPr>
            <w:tcW w:w="2780" w:type="dxa"/>
            <w:vAlign w:val="bottom"/>
            <w:tcBorders>
              <w:bottom w:val="single" w:sz="8" w:color="auto"/>
            </w:tcBorders>
          </w:tcPr>
          <w:p>
            <w:pPr>
              <w:ind w:left="420"/>
              <w:spacing w:after="0" w:line="163" w:lineRule="exact"/>
              <w:rPr>
                <w:sz w:val="20"/>
                <w:szCs w:val="20"/>
                <w:color w:val="auto"/>
              </w:rPr>
            </w:pPr>
            <w:r>
              <w:rPr>
                <w:rFonts w:ascii="Arial" w:cs="Arial" w:eastAsia="Arial" w:hAnsi="Arial"/>
                <w:sz w:val="15"/>
                <w:szCs w:val="15"/>
                <w:color w:val="auto"/>
              </w:rPr>
              <w:t>Total SoCalGas</w:t>
            </w:r>
          </w:p>
        </w:tc>
        <w:tc>
          <w:tcPr>
            <w:tcW w:w="620" w:type="dxa"/>
            <w:vAlign w:val="bottom"/>
            <w:tcBorders>
              <w:bottom w:val="single" w:sz="8" w:color="auto"/>
            </w:tcBorders>
          </w:tcPr>
          <w:p>
            <w:pPr>
              <w:ind w:left="80"/>
              <w:spacing w:after="0" w:line="163"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5</w:t>
            </w:r>
          </w:p>
        </w:tc>
        <w:tc>
          <w:tcPr>
            <w:tcW w:w="2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jc w:val="right"/>
              <w:ind w:right="67"/>
              <w:spacing w:after="0" w:line="163" w:lineRule="exact"/>
              <w:rPr>
                <w:sz w:val="20"/>
                <w:szCs w:val="20"/>
                <w:color w:val="auto"/>
              </w:rPr>
            </w:pPr>
            <w:r>
              <w:rPr>
                <w:rFonts w:ascii="Arial" w:cs="Arial" w:eastAsia="Arial" w:hAnsi="Arial"/>
                <w:sz w:val="15"/>
                <w:szCs w:val="15"/>
                <w:color w:val="auto"/>
              </w:rPr>
              <w:t>5</w:t>
            </w:r>
          </w:p>
        </w:tc>
        <w:tc>
          <w:tcPr>
            <w:tcW w:w="2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8"/>
              <w:spacing w:after="0" w:line="163" w:lineRule="exact"/>
              <w:rPr>
                <w:sz w:val="20"/>
                <w:szCs w:val="20"/>
                <w:color w:val="auto"/>
              </w:rPr>
            </w:pPr>
            <w:r>
              <w:rPr>
                <w:rFonts w:ascii="Arial" w:cs="Arial" w:eastAsia="Arial" w:hAnsi="Arial"/>
                <w:sz w:val="15"/>
                <w:szCs w:val="15"/>
                <w:color w:val="auto"/>
              </w:rPr>
              <w:t>11</w:t>
            </w:r>
          </w:p>
        </w:tc>
        <w:tc>
          <w:tcPr>
            <w:tcW w:w="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COMPREHENSIVE INCOME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tables provide a reconciliation of net income to comprehensive income.</w:t>
      </w:r>
    </w:p>
    <w:p>
      <w:pPr>
        <w:spacing w:after="0" w:line="303" w:lineRule="exact"/>
        <w:rPr>
          <w:sz w:val="20"/>
          <w:szCs w:val="20"/>
          <w:color w:val="auto"/>
        </w:rPr>
      </w:pPr>
    </w:p>
    <w:p>
      <w:pPr>
        <w:ind w:left="3" w:right="360" w:hanging="3"/>
        <w:spacing w:after="0" w:line="276" w:lineRule="auto"/>
        <w:tabs>
          <w:tab w:leader="none" w:pos="1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td style="BORDER-RIGHT:0px; PADDING-RIGHT:5.75pt; BORDER-TOP:0px; PADDING-LEFT:5.75pt; BACKGROUND:white; PADDING-BOTTOM:0in; BORDER-LEFT:0px; PADDING-TOP:0in; BORDER-BOTTOM:0px;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955" cy="294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195"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COMPREHENSIVE INCOME</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0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jc w:val="right"/>
              <w:ind w:right="2187"/>
              <w:spacing w:after="0"/>
              <w:rPr>
                <w:sz w:val="20"/>
                <w:szCs w:val="20"/>
                <w:color w:val="auto"/>
              </w:rPr>
            </w:pPr>
            <w:r>
              <w:rPr>
                <w:rFonts w:ascii="Arial" w:cs="Arial" w:eastAsia="Arial" w:hAnsi="Arial"/>
                <w:sz w:val="13"/>
                <w:szCs w:val="13"/>
                <w:color w:val="auto"/>
              </w:rPr>
              <w:t>Three months ended June 30,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color w:val="auto"/>
              </w:rPr>
              <w:t>2010</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1627"/>
              <w:spacing w:after="0"/>
              <w:rPr>
                <w:sz w:val="20"/>
                <w:szCs w:val="20"/>
                <w:color w:val="auto"/>
              </w:rPr>
            </w:pPr>
            <w:r>
              <w:rPr>
                <w:rFonts w:ascii="Arial" w:cs="Arial" w:eastAsia="Arial" w:hAnsi="Arial"/>
                <w:sz w:val="13"/>
                <w:szCs w:val="13"/>
                <w:color w:val="auto"/>
              </w:rPr>
              <w:t>2009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center"/>
              <w:ind w:right="123"/>
              <w:spacing w:after="0"/>
              <w:rPr>
                <w:sz w:val="20"/>
                <w:szCs w:val="20"/>
                <w:color w:val="auto"/>
              </w:rPr>
            </w:pPr>
            <w:r>
              <w:rPr>
                <w:rFonts w:ascii="Arial" w:cs="Arial" w:eastAsia="Arial" w:hAnsi="Arial"/>
                <w:sz w:val="13"/>
                <w:szCs w:val="13"/>
                <w:color w:val="auto"/>
              </w:rPr>
              <w:t>Share-</w:t>
            </w:r>
          </w:p>
        </w:tc>
        <w:tc>
          <w:tcPr>
            <w:tcW w:w="200" w:type="dxa"/>
            <w:vAlign w:val="bottom"/>
          </w:tcPr>
          <w:p>
            <w:pPr>
              <w:spacing w:after="0"/>
              <w:rPr>
                <w:sz w:val="19"/>
                <w:szCs w:val="19"/>
                <w:color w:val="auto"/>
              </w:rPr>
            </w:pPr>
          </w:p>
        </w:tc>
        <w:tc>
          <w:tcPr>
            <w:tcW w:w="580" w:type="dxa"/>
            <w:vAlign w:val="bottom"/>
          </w:tcPr>
          <w:p>
            <w:pPr>
              <w:jc w:val="center"/>
              <w:ind w:right="148"/>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tcPr>
          <w:p>
            <w:pPr>
              <w:jc w:val="center"/>
              <w:ind w:right="487"/>
              <w:spacing w:after="0"/>
              <w:rPr>
                <w:sz w:val="20"/>
                <w:szCs w:val="20"/>
                <w:color w:val="auto"/>
              </w:rPr>
            </w:pPr>
            <w:r>
              <w:rPr>
                <w:rFonts w:ascii="Arial" w:cs="Arial" w:eastAsia="Arial" w:hAnsi="Arial"/>
                <w:sz w:val="13"/>
                <w:szCs w:val="13"/>
                <w:color w:val="auto"/>
                <w:w w:val="97"/>
              </w:rPr>
              <w:t>Share-</w:t>
            </w:r>
          </w:p>
        </w:tc>
        <w:tc>
          <w:tcPr>
            <w:tcW w:w="200" w:type="dxa"/>
            <w:vAlign w:val="bottom"/>
          </w:tcPr>
          <w:p>
            <w:pPr>
              <w:spacing w:after="0"/>
              <w:rPr>
                <w:sz w:val="19"/>
                <w:szCs w:val="19"/>
                <w:color w:val="auto"/>
              </w:rPr>
            </w:pPr>
          </w:p>
        </w:tc>
        <w:tc>
          <w:tcPr>
            <w:tcW w:w="600" w:type="dxa"/>
            <w:vAlign w:val="bottom"/>
          </w:tcPr>
          <w:p>
            <w:pPr>
              <w:jc w:val="center"/>
              <w:ind w:right="167"/>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0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97"/>
              </w:rPr>
              <w:t>holders'</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controlling</w:t>
            </w:r>
          </w:p>
        </w:tc>
        <w:tc>
          <w:tcPr>
            <w:tcW w:w="200" w:type="dxa"/>
            <w:vAlign w:val="bottom"/>
          </w:tcPr>
          <w:p>
            <w:pPr>
              <w:spacing w:after="0"/>
              <w:rPr>
                <w:sz w:val="19"/>
                <w:szCs w:val="19"/>
                <w:color w:val="auto"/>
              </w:rPr>
            </w:pPr>
          </w:p>
        </w:tc>
        <w:tc>
          <w:tcPr>
            <w:tcW w:w="720" w:type="dxa"/>
            <w:vAlign w:val="bottom"/>
          </w:tcPr>
          <w:p>
            <w:pPr>
              <w:jc w:val="right"/>
              <w:ind w:right="308"/>
              <w:spacing w:after="0"/>
              <w:rPr>
                <w:sz w:val="20"/>
                <w:szCs w:val="20"/>
                <w:color w:val="auto"/>
              </w:rPr>
            </w:pPr>
            <w:r>
              <w:rPr>
                <w:rFonts w:ascii="Arial" w:cs="Arial" w:eastAsia="Arial" w:hAnsi="Arial"/>
                <w:sz w:val="13"/>
                <w:szCs w:val="13"/>
                <w:color w:val="auto"/>
              </w:rPr>
              <w:t>Total</w:t>
            </w:r>
          </w:p>
        </w:tc>
        <w:tc>
          <w:tcPr>
            <w:tcW w:w="640" w:type="dxa"/>
            <w:vAlign w:val="bottom"/>
          </w:tcPr>
          <w:p>
            <w:pPr>
              <w:spacing w:after="0"/>
              <w:rPr>
                <w:sz w:val="19"/>
                <w:szCs w:val="19"/>
                <w:color w:val="auto"/>
              </w:rPr>
            </w:pPr>
          </w:p>
        </w:tc>
        <w:tc>
          <w:tcPr>
            <w:tcW w:w="4700" w:type="dxa"/>
            <w:vAlign w:val="bottom"/>
          </w:tcPr>
          <w:p>
            <w:pPr>
              <w:jc w:val="center"/>
              <w:ind w:right="487"/>
              <w:spacing w:after="0"/>
              <w:rPr>
                <w:sz w:val="20"/>
                <w:szCs w:val="20"/>
                <w:color w:val="auto"/>
              </w:rPr>
            </w:pPr>
            <w:r>
              <w:rPr>
                <w:rFonts w:ascii="Arial" w:cs="Arial" w:eastAsia="Arial" w:hAnsi="Arial"/>
                <w:sz w:val="13"/>
                <w:szCs w:val="13"/>
                <w:color w:val="auto"/>
              </w:rPr>
              <w:t>holders'</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controlling</w:t>
            </w:r>
          </w:p>
        </w:tc>
        <w:tc>
          <w:tcPr>
            <w:tcW w:w="200" w:type="dxa"/>
            <w:vAlign w:val="bottom"/>
          </w:tcPr>
          <w:p>
            <w:pPr>
              <w:spacing w:after="0"/>
              <w:rPr>
                <w:sz w:val="19"/>
                <w:szCs w:val="19"/>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6"/>
        </w:trPr>
        <w:tc>
          <w:tcPr>
            <w:tcW w:w="2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3"/>
                <w:szCs w:val="13"/>
                <w:color w:val="auto"/>
              </w:rPr>
              <w:t>Equity(1)</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Interests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w w:val="99"/>
              </w:rPr>
              <w:t>Equity</w:t>
            </w:r>
          </w:p>
        </w:tc>
        <w:tc>
          <w:tcPr>
            <w:tcW w:w="6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jc w:val="center"/>
              <w:ind w:right="467"/>
              <w:spacing w:after="0"/>
              <w:rPr>
                <w:sz w:val="20"/>
                <w:szCs w:val="20"/>
                <w:color w:val="auto"/>
              </w:rPr>
            </w:pPr>
            <w:r>
              <w:rPr>
                <w:rFonts w:ascii="Arial" w:cs="Arial" w:eastAsia="Arial" w:hAnsi="Arial"/>
                <w:sz w:val="13"/>
                <w:szCs w:val="13"/>
                <w:color w:val="auto"/>
                <w:w w:val="99"/>
              </w:rPr>
              <w:t>Equity(1)</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Interests</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146"/>
        </w:trPr>
        <w:tc>
          <w:tcPr>
            <w:tcW w:w="2000" w:type="dxa"/>
            <w:vAlign w:val="bottom"/>
          </w:tcPr>
          <w:p>
            <w:pPr>
              <w:ind w:left="100"/>
              <w:spacing w:after="0" w:line="146" w:lineRule="exact"/>
              <w:rPr>
                <w:sz w:val="20"/>
                <w:szCs w:val="20"/>
                <w:color w:val="auto"/>
              </w:rPr>
            </w:pPr>
            <w:r>
              <w:rPr>
                <w:rFonts w:ascii="Arial" w:cs="Arial" w:eastAsia="Arial" w:hAnsi="Arial"/>
                <w:sz w:val="15"/>
                <w:szCs w:val="15"/>
                <w:b w:val="1"/>
                <w:bCs w:val="1"/>
                <w:color w:val="auto"/>
              </w:rPr>
              <w:t>Sempra Energy</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100"/>
              <w:spacing w:after="0"/>
              <w:rPr>
                <w:sz w:val="20"/>
                <w:szCs w:val="20"/>
                <w:color w:val="auto"/>
              </w:rPr>
            </w:pPr>
            <w:r>
              <w:rPr>
                <w:rFonts w:ascii="Arial" w:cs="Arial" w:eastAsia="Arial" w:hAnsi="Arial"/>
                <w:sz w:val="15"/>
                <w:szCs w:val="15"/>
                <w:b w:val="1"/>
                <w:bCs w:val="1"/>
                <w:color w:val="auto"/>
              </w:rPr>
              <w:t>Consolidate d:</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440"/>
              <w:spacing w:after="0"/>
              <w:rPr>
                <w:sz w:val="20"/>
                <w:szCs w:val="20"/>
                <w:color w:val="auto"/>
              </w:rPr>
            </w:pPr>
            <w:r>
              <w:rPr>
                <w:rFonts w:ascii="Arial" w:cs="Arial" w:eastAsia="Arial" w:hAnsi="Arial"/>
                <w:sz w:val="15"/>
                <w:szCs w:val="15"/>
                <w:color w:val="auto"/>
              </w:rPr>
              <w:t>Net income (loss)(2)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225</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28"/>
              <w:spacing w:after="0"/>
              <w:rPr>
                <w:sz w:val="20"/>
                <w:szCs w:val="20"/>
                <w:color w:val="auto"/>
              </w:rPr>
            </w:pPr>
            <w:r>
              <w:rPr>
                <w:rFonts w:ascii="Arial" w:cs="Arial" w:eastAsia="Arial" w:hAnsi="Arial"/>
                <w:sz w:val="15"/>
                <w:szCs w:val="15"/>
                <w:color w:val="auto"/>
              </w:rPr>
              <w:t>(20)</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88"/>
              <w:spacing w:after="0"/>
              <w:rPr>
                <w:sz w:val="20"/>
                <w:szCs w:val="20"/>
                <w:color w:val="auto"/>
              </w:rPr>
            </w:pPr>
            <w:r>
              <w:rPr>
                <w:rFonts w:ascii="Arial" w:cs="Arial" w:eastAsia="Arial" w:hAnsi="Arial"/>
                <w:sz w:val="15"/>
                <w:szCs w:val="15"/>
                <w:color w:val="auto"/>
              </w:rPr>
              <w:t>205</w:t>
            </w:r>
          </w:p>
        </w:tc>
        <w:tc>
          <w:tcPr>
            <w:tcW w:w="640" w:type="dxa"/>
            <w:vAlign w:val="bottom"/>
          </w:tcPr>
          <w:p>
            <w:pPr>
              <w:ind w:left="200"/>
              <w:spacing w:after="0"/>
              <w:rPr>
                <w:sz w:val="20"/>
                <w:szCs w:val="20"/>
                <w:color w:val="auto"/>
              </w:rPr>
            </w:pPr>
            <w:r>
              <w:rPr>
                <w:rFonts w:ascii="Arial" w:cs="Arial" w:eastAsia="Arial" w:hAnsi="Arial"/>
                <w:sz w:val="15"/>
                <w:szCs w:val="15"/>
                <w:color w:val="auto"/>
              </w:rPr>
              <w:t>$</w:t>
            </w:r>
          </w:p>
        </w:tc>
        <w:tc>
          <w:tcPr>
            <w:tcW w:w="4700" w:type="dxa"/>
            <w:vAlign w:val="bottom"/>
          </w:tcPr>
          <w:p>
            <w:pPr>
              <w:jc w:val="right"/>
              <w:ind w:right="87"/>
              <w:spacing w:after="0"/>
              <w:rPr>
                <w:sz w:val="20"/>
                <w:szCs w:val="20"/>
                <w:color w:val="auto"/>
              </w:rPr>
            </w:pPr>
            <w:r>
              <w:rPr>
                <w:rFonts w:ascii="Arial" w:cs="Arial" w:eastAsia="Arial" w:hAnsi="Arial"/>
                <w:sz w:val="15"/>
                <w:szCs w:val="15"/>
                <w:color w:val="auto"/>
              </w:rPr>
              <w:t>201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70"/>
        </w:trPr>
        <w:tc>
          <w:tcPr>
            <w:tcW w:w="2000" w:type="dxa"/>
            <w:vAlign w:val="bottom"/>
          </w:tcPr>
          <w:p>
            <w:pPr>
              <w:ind w:left="440"/>
              <w:spacing w:after="0" w:line="171" w:lineRule="exact"/>
              <w:rPr>
                <w:sz w:val="20"/>
                <w:szCs w:val="20"/>
                <w:color w:val="auto"/>
              </w:rPr>
            </w:pPr>
            <w:r>
              <w:rPr>
                <w:rFonts w:ascii="Arial" w:cs="Arial" w:eastAsia="Arial" w:hAnsi="Arial"/>
                <w:sz w:val="15"/>
                <w:szCs w:val="15"/>
                <w:color w:val="auto"/>
              </w:rPr>
              <w:t>Foreign curre ncy</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440"/>
              <w:spacing w:after="0"/>
              <w:rPr>
                <w:sz w:val="20"/>
                <w:szCs w:val="20"/>
                <w:color w:val="auto"/>
              </w:rPr>
            </w:pPr>
            <w:r>
              <w:rPr>
                <w:rFonts w:ascii="Arial" w:cs="Arial" w:eastAsia="Arial" w:hAnsi="Arial"/>
                <w:sz w:val="15"/>
                <w:szCs w:val="15"/>
                <w:color w:val="auto"/>
              </w:rPr>
              <w:t>translation</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600"/>
              <w:spacing w:after="0"/>
              <w:rPr>
                <w:sz w:val="20"/>
                <w:szCs w:val="20"/>
                <w:color w:val="auto"/>
              </w:rPr>
            </w:pPr>
            <w:r>
              <w:rPr>
                <w:rFonts w:ascii="Arial" w:cs="Arial" w:eastAsia="Arial" w:hAnsi="Arial"/>
                <w:sz w:val="15"/>
                <w:szCs w:val="15"/>
                <w:color w:val="auto"/>
              </w:rPr>
              <w:t>adjustments</w:t>
            </w:r>
          </w:p>
        </w:tc>
        <w:tc>
          <w:tcPr>
            <w:tcW w:w="200" w:type="dxa"/>
            <w:vAlign w:val="bottom"/>
          </w:tcPr>
          <w:p>
            <w:pPr>
              <w:spacing w:after="0"/>
              <w:rPr>
                <w:sz w:val="18"/>
                <w:szCs w:val="18"/>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(17)</w:t>
            </w:r>
          </w:p>
        </w:tc>
        <w:tc>
          <w:tcPr>
            <w:tcW w:w="20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148"/>
              <w:spacing w:after="0"/>
              <w:rPr>
                <w:sz w:val="20"/>
                <w:szCs w:val="20"/>
                <w:color w:val="auto"/>
              </w:rPr>
            </w:pPr>
            <w:r>
              <w:rPr>
                <w:rFonts w:ascii="Arial" w:cs="Arial" w:eastAsia="Arial" w:hAnsi="Arial"/>
                <w:sz w:val="15"/>
                <w:szCs w:val="15"/>
                <w:color w:val="auto"/>
              </w:rPr>
              <w:t>(17)</w:t>
            </w:r>
          </w:p>
        </w:tc>
        <w:tc>
          <w:tcPr>
            <w:tcW w:w="640" w:type="dxa"/>
            <w:vAlign w:val="bottom"/>
          </w:tcPr>
          <w:p>
            <w:pPr>
              <w:spacing w:after="0"/>
              <w:rPr>
                <w:sz w:val="18"/>
                <w:szCs w:val="18"/>
                <w:color w:val="auto"/>
              </w:rPr>
            </w:pPr>
          </w:p>
        </w:tc>
        <w:tc>
          <w:tcPr>
            <w:tcW w:w="4700" w:type="dxa"/>
            <w:vAlign w:val="bottom"/>
          </w:tcPr>
          <w:p>
            <w:pPr>
              <w:jc w:val="right"/>
              <w:ind w:right="87"/>
              <w:spacing w:after="0"/>
              <w:rPr>
                <w:sz w:val="20"/>
                <w:szCs w:val="20"/>
                <w:color w:val="auto"/>
              </w:rPr>
            </w:pPr>
            <w:r>
              <w:rPr>
                <w:rFonts w:ascii="Arial" w:cs="Arial" w:eastAsia="Arial" w:hAnsi="Arial"/>
                <w:sz w:val="15"/>
                <w:szCs w:val="15"/>
                <w:color w:val="auto"/>
              </w:rPr>
              <w:t>54</w:t>
            </w:r>
          </w:p>
        </w:tc>
        <w:tc>
          <w:tcPr>
            <w:tcW w:w="200" w:type="dxa"/>
            <w:vAlign w:val="bottom"/>
          </w:tcPr>
          <w:p>
            <w:pPr>
              <w:spacing w:after="0"/>
              <w:rPr>
                <w:sz w:val="18"/>
                <w:szCs w:val="18"/>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0"/>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3"/>
              <w:spacing w:after="0" w:line="150" w:lineRule="exact"/>
              <w:rPr>
                <w:sz w:val="20"/>
                <w:szCs w:val="20"/>
                <w:color w:val="auto"/>
              </w:rPr>
            </w:pPr>
            <w:r>
              <w:rPr>
                <w:rFonts w:ascii="Arial" w:cs="Arial" w:eastAsia="Arial" w:hAnsi="Arial"/>
                <w:sz w:val="15"/>
                <w:szCs w:val="15"/>
                <w:color w:val="auto"/>
              </w:rPr>
              <w:t>(9)</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center"/>
              <w:ind w:right="83"/>
              <w:spacing w:after="0"/>
              <w:rPr>
                <w:sz w:val="20"/>
                <w:szCs w:val="20"/>
                <w:color w:val="auto"/>
              </w:rPr>
            </w:pPr>
            <w:r>
              <w:rPr>
                <w:rFonts w:ascii="Arial" w:cs="Arial" w:eastAsia="Arial" w:hAnsi="Arial"/>
                <w:sz w:val="19"/>
                <w:szCs w:val="19"/>
                <w:color w:val="auto"/>
              </w:rPr>
              <w:t>&lt;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00" w:type="dxa"/>
            <w:vAlign w:val="bottom"/>
          </w:tcPr>
          <w:p>
            <w:pPr>
              <w:ind w:left="440"/>
              <w:spacing w:after="0"/>
              <w:rPr>
                <w:sz w:val="20"/>
                <w:szCs w:val="20"/>
                <w:color w:val="auto"/>
              </w:rPr>
            </w:pPr>
            <w:r>
              <w:rPr>
                <w:rFonts w:ascii="Arial" w:cs="Arial" w:eastAsia="Arial" w:hAnsi="Arial"/>
                <w:sz w:val="15"/>
                <w:szCs w:val="15"/>
                <w:color w:val="auto"/>
              </w:rPr>
              <w:t>Financial instruments</w:t>
            </w:r>
          </w:p>
        </w:tc>
        <w:tc>
          <w:tcPr>
            <w:tcW w:w="200" w:type="dxa"/>
            <w:vAlign w:val="bottom"/>
          </w:tcPr>
          <w:p>
            <w:pPr>
              <w:spacing w:after="0"/>
              <w:rPr>
                <w:sz w:val="20"/>
                <w:szCs w:val="20"/>
                <w:color w:val="auto"/>
              </w:rPr>
            </w:pPr>
          </w:p>
        </w:tc>
        <w:tc>
          <w:tcPr>
            <w:tcW w:w="600" w:type="dxa"/>
            <w:vAlign w:val="bottom"/>
          </w:tcPr>
          <w:p>
            <w:pPr>
              <w:jc w:val="right"/>
              <w:ind w:right="43"/>
              <w:spacing w:after="0"/>
              <w:rPr>
                <w:sz w:val="20"/>
                <w:szCs w:val="20"/>
                <w:color w:val="auto"/>
              </w:rPr>
            </w:pPr>
            <w:r>
              <w:rPr>
                <w:rFonts w:ascii="Arial" w:cs="Arial" w:eastAsia="Arial" w:hAnsi="Arial"/>
                <w:sz w:val="19"/>
                <w:szCs w:val="19"/>
                <w:color w:val="auto"/>
              </w:rPr>
              <w:t>/td&gt;</w:t>
            </w:r>
          </w:p>
        </w:tc>
        <w:tc>
          <w:tcPr>
            <w:tcW w:w="20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20"/>
                <w:szCs w:val="20"/>
                <w:color w:val="auto"/>
              </w:rPr>
            </w:pPr>
          </w:p>
        </w:tc>
        <w:tc>
          <w:tcPr>
            <w:tcW w:w="720" w:type="dxa"/>
            <w:vAlign w:val="bottom"/>
          </w:tcPr>
          <w:p>
            <w:pPr>
              <w:jc w:val="right"/>
              <w:ind w:right="148"/>
              <w:spacing w:after="0"/>
              <w:rPr>
                <w:sz w:val="20"/>
                <w:szCs w:val="20"/>
                <w:color w:val="auto"/>
              </w:rPr>
            </w:pPr>
            <w:r>
              <w:rPr>
                <w:rFonts w:ascii="Arial" w:cs="Arial" w:eastAsia="Arial" w:hAnsi="Arial"/>
                <w:sz w:val="15"/>
                <w:szCs w:val="15"/>
                <w:color w:val="auto"/>
              </w:rPr>
              <w:t>(7)</w:t>
            </w:r>
          </w:p>
        </w:tc>
        <w:tc>
          <w:tcPr>
            <w:tcW w:w="640" w:type="dxa"/>
            <w:vAlign w:val="bottom"/>
          </w:tcPr>
          <w:p>
            <w:pPr>
              <w:spacing w:after="0"/>
              <w:rPr>
                <w:sz w:val="20"/>
                <w:szCs w:val="20"/>
                <w:color w:val="auto"/>
              </w:rPr>
            </w:pPr>
          </w:p>
        </w:tc>
        <w:tc>
          <w:tcPr>
            <w:tcW w:w="4700" w:type="dxa"/>
            <w:vAlign w:val="bottom"/>
          </w:tcPr>
          <w:p>
            <w:pPr>
              <w:jc w:val="right"/>
              <w:ind w:right="87"/>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20"/>
                <w:szCs w:val="20"/>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0"/>
        </w:trPr>
        <w:tc>
          <w:tcPr>
            <w:tcW w:w="2000" w:type="dxa"/>
            <w:vAlign w:val="bottom"/>
          </w:tcPr>
          <w:p>
            <w:pPr>
              <w:ind w:left="440"/>
              <w:spacing w:after="0" w:line="171" w:lineRule="exact"/>
              <w:rPr>
                <w:sz w:val="20"/>
                <w:szCs w:val="20"/>
                <w:color w:val="auto"/>
              </w:rPr>
            </w:pPr>
            <w:r>
              <w:rPr>
                <w:rFonts w:ascii="Arial" w:cs="Arial" w:eastAsia="Arial" w:hAnsi="Arial"/>
                <w:sz w:val="15"/>
                <w:szCs w:val="15"/>
                <w:color w:val="auto"/>
              </w:rPr>
              <w:t>Available-for-sale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00" w:type="dxa"/>
            <w:vAlign w:val="bottom"/>
          </w:tcPr>
          <w:p>
            <w:pPr>
              <w:ind w:left="440"/>
              <w:spacing w:after="0" w:line="163" w:lineRule="exact"/>
              <w:rPr>
                <w:sz w:val="20"/>
                <w:szCs w:val="20"/>
                <w:color w:val="auto"/>
              </w:rPr>
            </w:pPr>
            <w:r>
              <w:rPr>
                <w:rFonts w:ascii="Arial" w:cs="Arial" w:eastAsia="Arial" w:hAnsi="Arial"/>
                <w:sz w:val="15"/>
                <w:szCs w:val="15"/>
                <w:color w:val="auto"/>
              </w:rPr>
              <w:t>securities</w:t>
            </w:r>
          </w:p>
        </w:tc>
        <w:tc>
          <w:tcPr>
            <w:tcW w:w="200" w:type="dxa"/>
            <w:vAlign w:val="bottom"/>
          </w:tcPr>
          <w:p>
            <w:pPr>
              <w:spacing w:after="0"/>
              <w:rPr>
                <w:sz w:val="14"/>
                <w:szCs w:val="14"/>
                <w:color w:val="auto"/>
              </w:rPr>
            </w:pPr>
          </w:p>
        </w:tc>
        <w:tc>
          <w:tcPr>
            <w:tcW w:w="600" w:type="dxa"/>
            <w:vAlign w:val="bottom"/>
          </w:tcPr>
          <w:p>
            <w:pPr>
              <w:jc w:val="right"/>
              <w:ind w:right="23"/>
              <w:spacing w:after="0" w:line="163" w:lineRule="exact"/>
              <w:rPr>
                <w:sz w:val="20"/>
                <w:szCs w:val="20"/>
                <w:color w:val="auto"/>
              </w:rPr>
            </w:pPr>
            <w:r>
              <w:rPr>
                <w:rFonts w:ascii="Arial" w:cs="Arial" w:eastAsia="Arial" w:hAnsi="Arial"/>
                <w:sz w:val="15"/>
                <w:szCs w:val="15"/>
                <w:color w:val="auto"/>
              </w:rPr>
              <w:t>(3)</w:t>
            </w:r>
          </w:p>
        </w:tc>
        <w:tc>
          <w:tcPr>
            <w:tcW w:w="200" w:type="dxa"/>
            <w:vAlign w:val="bottom"/>
          </w:tcPr>
          <w:p>
            <w:pPr>
              <w:spacing w:after="0"/>
              <w:rPr>
                <w:sz w:val="14"/>
                <w:szCs w:val="14"/>
                <w:color w:val="auto"/>
              </w:rPr>
            </w:pPr>
          </w:p>
        </w:tc>
        <w:tc>
          <w:tcPr>
            <w:tcW w:w="580" w:type="dxa"/>
            <w:vAlign w:val="bottom"/>
          </w:tcPr>
          <w:p>
            <w:pPr>
              <w:jc w:val="right"/>
              <w:ind w:right="68"/>
              <w:spacing w:after="0" w:line="163"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20" w:type="dxa"/>
            <w:vAlign w:val="bottom"/>
          </w:tcPr>
          <w:p>
            <w:pPr>
              <w:jc w:val="right"/>
              <w:ind w:right="148"/>
              <w:spacing w:after="0" w:line="163" w:lineRule="exact"/>
              <w:rPr>
                <w:sz w:val="20"/>
                <w:szCs w:val="20"/>
                <w:color w:val="auto"/>
              </w:rPr>
            </w:pPr>
            <w:r>
              <w:rPr>
                <w:rFonts w:ascii="Arial" w:cs="Arial" w:eastAsia="Arial" w:hAnsi="Arial"/>
                <w:sz w:val="15"/>
                <w:szCs w:val="15"/>
                <w:color w:val="auto"/>
              </w:rPr>
              <w:t>(3)</w:t>
            </w:r>
          </w:p>
        </w:tc>
        <w:tc>
          <w:tcPr>
            <w:tcW w:w="640" w:type="dxa"/>
            <w:vAlign w:val="bottom"/>
          </w:tcPr>
          <w:p>
            <w:pPr>
              <w:spacing w:after="0"/>
              <w:rPr>
                <w:sz w:val="14"/>
                <w:szCs w:val="14"/>
                <w:color w:val="auto"/>
              </w:rPr>
            </w:pPr>
          </w:p>
        </w:tc>
        <w:tc>
          <w:tcPr>
            <w:tcW w:w="4700" w:type="dxa"/>
            <w:vAlign w:val="bottom"/>
          </w:tcPr>
          <w:p>
            <w:pPr>
              <w:jc w:val="right"/>
              <w:ind w:right="87"/>
              <w:spacing w:after="0" w:line="163" w:lineRule="exact"/>
              <w:rPr>
                <w:sz w:val="20"/>
                <w:szCs w:val="20"/>
                <w:color w:val="auto"/>
              </w:rPr>
            </w:pPr>
            <w:r>
              <w:rPr>
                <w:rFonts w:ascii="Arial" w:cs="Arial" w:eastAsia="Arial" w:hAnsi="Arial"/>
                <w:sz w:val="15"/>
                <w:szCs w:val="15"/>
                <w:color w:val="auto"/>
              </w:rPr>
              <w:t>4</w:t>
            </w:r>
          </w:p>
        </w:tc>
        <w:tc>
          <w:tcPr>
            <w:tcW w:w="200" w:type="dxa"/>
            <w:vAlign w:val="bottom"/>
          </w:tcPr>
          <w:p>
            <w:pPr>
              <w:spacing w:after="0"/>
              <w:rPr>
                <w:sz w:val="14"/>
                <w:szCs w:val="14"/>
                <w:color w:val="auto"/>
              </w:rPr>
            </w:pPr>
          </w:p>
        </w:tc>
        <w:tc>
          <w:tcPr>
            <w:tcW w:w="600" w:type="dxa"/>
            <w:vAlign w:val="bottom"/>
          </w:tcPr>
          <w:p>
            <w:pPr>
              <w:jc w:val="right"/>
              <w:ind w:right="67"/>
              <w:spacing w:after="0" w:line="163"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00" w:type="dxa"/>
            <w:vAlign w:val="bottom"/>
          </w:tcPr>
          <w:p>
            <w:pPr>
              <w:jc w:val="right"/>
              <w:ind w:right="68"/>
              <w:spacing w:after="0" w:line="163"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5"/>
        </w:trPr>
        <w:tc>
          <w:tcPr>
            <w:tcW w:w="2000" w:type="dxa"/>
            <w:vAlign w:val="bottom"/>
          </w:tcPr>
          <w:p>
            <w:pPr>
              <w:ind w:left="440"/>
              <w:spacing w:after="0"/>
              <w:rPr>
                <w:sz w:val="20"/>
                <w:szCs w:val="20"/>
                <w:color w:val="auto"/>
              </w:rPr>
            </w:pPr>
            <w:r>
              <w:rPr>
                <w:rFonts w:ascii="Arial" w:cs="Arial" w:eastAsia="Arial" w:hAnsi="Arial"/>
                <w:sz w:val="15"/>
                <w:szCs w:val="15"/>
                <w:color w:val="auto"/>
              </w:rPr>
              <w:t>Net actuarial gain</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2</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2</w:t>
            </w:r>
          </w:p>
        </w:tc>
        <w:tc>
          <w:tcPr>
            <w:tcW w:w="64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2"/>
        </w:trPr>
        <w:tc>
          <w:tcPr>
            <w:tcW w:w="2000" w:type="dxa"/>
            <w:vAlign w:val="bottom"/>
          </w:tcPr>
          <w:p>
            <w:pPr>
              <w:ind w:left="440"/>
              <w:spacing w:after="0" w:line="152" w:lineRule="exact"/>
              <w:rPr>
                <w:sz w:val="20"/>
                <w:szCs w:val="20"/>
                <w:color w:val="auto"/>
              </w:rPr>
            </w:pPr>
            <w:r>
              <w:rPr>
                <w:rFonts w:ascii="Arial" w:cs="Arial" w:eastAsia="Arial" w:hAnsi="Arial"/>
                <w:sz w:val="15"/>
                <w:szCs w:val="15"/>
                <w:color w:val="auto"/>
              </w:rPr>
              <w:t>Comprehensive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tcBorders>
          </w:tcPr>
          <w:p>
            <w:pPr>
              <w:ind w:left="440"/>
              <w:spacing w:after="0" w:line="169" w:lineRule="exact"/>
              <w:rPr>
                <w:sz w:val="20"/>
                <w:szCs w:val="20"/>
                <w:color w:val="auto"/>
              </w:rPr>
            </w:pPr>
            <w:r>
              <w:rPr>
                <w:rFonts w:ascii="Arial" w:cs="Arial" w:eastAsia="Arial" w:hAnsi="Arial"/>
                <w:sz w:val="15"/>
                <w:szCs w:val="15"/>
                <w:color w:val="auto"/>
              </w:rPr>
              <w:t>income (loss)</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rPr>
              <w:t>198</w:t>
            </w: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ind w:right="28"/>
              <w:spacing w:after="0" w:line="169" w:lineRule="exact"/>
              <w:rPr>
                <w:sz w:val="20"/>
                <w:szCs w:val="20"/>
                <w:color w:val="auto"/>
              </w:rPr>
            </w:pPr>
            <w:r>
              <w:rPr>
                <w:rFonts w:ascii="Arial" w:cs="Arial" w:eastAsia="Arial" w:hAnsi="Arial"/>
                <w:sz w:val="15"/>
                <w:szCs w:val="15"/>
                <w:color w:val="auto"/>
              </w:rPr>
              <w:t>(18)</w:t>
            </w: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188"/>
              <w:spacing w:after="0" w:line="169" w:lineRule="exact"/>
              <w:rPr>
                <w:sz w:val="20"/>
                <w:szCs w:val="20"/>
                <w:color w:val="auto"/>
              </w:rPr>
            </w:pPr>
            <w:r>
              <w:rPr>
                <w:rFonts w:ascii="Arial" w:cs="Arial" w:eastAsia="Arial" w:hAnsi="Arial"/>
                <w:sz w:val="15"/>
                <w:szCs w:val="15"/>
                <w:color w:val="auto"/>
              </w:rPr>
              <w:t>180</w:t>
            </w:r>
          </w:p>
        </w:tc>
        <w:tc>
          <w:tcPr>
            <w:tcW w:w="640" w:type="dxa"/>
            <w:vAlign w:val="bottom"/>
            <w:tcBorders>
              <w:bottom w:val="single" w:sz="8" w:color="auto"/>
            </w:tcBorders>
          </w:tcPr>
          <w:p>
            <w:pPr>
              <w:ind w:left="200"/>
              <w:spacing w:after="0" w:line="169" w:lineRule="exact"/>
              <w:rPr>
                <w:sz w:val="20"/>
                <w:szCs w:val="20"/>
                <w:color w:val="auto"/>
              </w:rPr>
            </w:pPr>
            <w:r>
              <w:rPr>
                <w:rFonts w:ascii="Arial" w:cs="Arial" w:eastAsia="Arial" w:hAnsi="Arial"/>
                <w:sz w:val="15"/>
                <w:szCs w:val="15"/>
                <w:color w:val="auto"/>
              </w:rPr>
              <w:t>$</w:t>
            </w:r>
          </w:p>
        </w:tc>
        <w:tc>
          <w:tcPr>
            <w:tcW w:w="470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280</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(12)</w:t>
            </w: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27"/>
        </w:trPr>
        <w:tc>
          <w:tcPr>
            <w:tcW w:w="200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vMerge w:val="restart"/>
          </w:tcPr>
          <w:p>
            <w:pPr>
              <w:jc w:val="right"/>
              <w:ind w:right="47"/>
              <w:spacing w:after="0"/>
              <w:rPr>
                <w:sz w:val="20"/>
                <w:szCs w:val="20"/>
                <w:color w:val="auto"/>
              </w:rPr>
            </w:pPr>
            <w:r>
              <w:rPr>
                <w:rFonts w:ascii="Arial" w:cs="Arial" w:eastAsia="Arial" w:hAnsi="Arial"/>
                <w:sz w:val="19"/>
                <w:szCs w:val="19"/>
                <w:color w:val="auto"/>
              </w:rPr>
              <w:t>&lt; font style="FONT-SIZE:9pt; COLOR:black; FONT-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5"/>
                <w:szCs w:val="15"/>
                <w:color w:val="auto"/>
              </w:rPr>
              <w:t>55</w:t>
            </w:r>
          </w:p>
        </w:tc>
        <w:tc>
          <w:tcPr>
            <w:tcW w:w="640" w:type="dxa"/>
            <w:vAlign w:val="bottom"/>
          </w:tcPr>
          <w:p>
            <w:pPr>
              <w:spacing w:after="0"/>
              <w:rPr>
                <w:sz w:val="16"/>
                <w:szCs w:val="16"/>
                <w:color w:val="auto"/>
              </w:rPr>
            </w:pPr>
          </w:p>
        </w:tc>
        <w:tc>
          <w:tcPr>
            <w:tcW w:w="4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ind w:left="440"/>
              <w:spacing w:after="0"/>
              <w:rPr>
                <w:sz w:val="20"/>
                <w:szCs w:val="20"/>
                <w:color w:val="auto"/>
              </w:rPr>
            </w:pPr>
            <w:r>
              <w:rPr>
                <w:rFonts w:ascii="Arial" w:cs="Arial" w:eastAsia="Arial" w:hAnsi="Arial"/>
                <w:sz w:val="15"/>
                <w:szCs w:val="15"/>
                <w:color w:val="auto"/>
              </w:rPr>
              <w:t>Net income (loss)</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63"/>
              <w:spacing w:after="0"/>
              <w:rPr>
                <w:sz w:val="20"/>
                <w:szCs w:val="20"/>
                <w:color w:val="auto"/>
              </w:rPr>
            </w:pPr>
            <w:r>
              <w:rPr>
                <w:rFonts w:ascii="Arial" w:cs="Arial" w:eastAsia="Arial" w:hAnsi="Arial"/>
                <w:sz w:val="15"/>
                <w:szCs w:val="15"/>
                <w:color w:val="auto"/>
              </w:rPr>
              <w:t>76</w:t>
            </w: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vMerge w:val="restart"/>
          </w:tcPr>
          <w:p>
            <w:pPr>
              <w:jc w:val="right"/>
              <w:ind w:right="28"/>
              <w:spacing w:after="0"/>
              <w:rPr>
                <w:sz w:val="20"/>
                <w:szCs w:val="20"/>
                <w:color w:val="auto"/>
              </w:rPr>
            </w:pPr>
            <w:r>
              <w:rPr>
                <w:rFonts w:ascii="Arial" w:cs="Arial" w:eastAsia="Arial" w:hAnsi="Arial"/>
                <w:sz w:val="15"/>
                <w:szCs w:val="15"/>
                <w:color w:val="auto"/>
              </w:rPr>
              <w:t>(21)</w:t>
            </w: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95"/>
              </w:rPr>
              <w:t>$</w:t>
            </w:r>
          </w:p>
        </w:tc>
        <w:tc>
          <w:tcPr>
            <w:tcW w:w="720" w:type="dxa"/>
            <w:vAlign w:val="bottom"/>
            <w:vMerge w:val="continue"/>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4700" w:type="dxa"/>
            <w:vAlign w:val="bottom"/>
            <w:vMerge w:val="restart"/>
          </w:tcPr>
          <w:p>
            <w:pPr>
              <w:jc w:val="right"/>
              <w:ind w:right="107"/>
              <w:spacing w:after="0"/>
              <w:rPr>
                <w:sz w:val="20"/>
                <w:szCs w:val="20"/>
                <w:color w:val="auto"/>
              </w:rPr>
            </w:pPr>
            <w:r>
              <w:rPr>
                <w:rFonts w:ascii="Arial" w:cs="Arial" w:eastAsia="Arial" w:hAnsi="Arial"/>
                <w:sz w:val="19"/>
                <w:szCs w:val="19"/>
                <w:color w:val="auto"/>
              </w:rPr>
              <w:t>FAMILY:'Arial','sans-serif'"&gt; 71</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67"/>
              <w:spacing w:after="0"/>
              <w:rPr>
                <w:sz w:val="20"/>
                <w:szCs w:val="20"/>
                <w:color w:val="auto"/>
              </w:rPr>
            </w:pPr>
            <w:r>
              <w:rPr>
                <w:rFonts w:ascii="Arial" w:cs="Arial" w:eastAsia="Arial" w:hAnsi="Arial"/>
                <w:sz w:val="15"/>
                <w:szCs w:val="15"/>
                <w:color w:val="auto"/>
              </w:rPr>
              <w:t>20</w:t>
            </w: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ind w:right="68"/>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7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00" w:type="dxa"/>
            <w:vAlign w:val="bottom"/>
          </w:tcPr>
          <w:p>
            <w:pPr>
              <w:ind w:left="440"/>
              <w:spacing w:after="0"/>
              <w:rPr>
                <w:sz w:val="20"/>
                <w:szCs w:val="20"/>
                <w:color w:val="auto"/>
              </w:rPr>
            </w:pPr>
            <w:r>
              <w:rPr>
                <w:rFonts w:ascii="Arial" w:cs="Arial" w:eastAsia="Arial" w:hAnsi="Arial"/>
                <w:sz w:val="19"/>
                <w:szCs w:val="19"/>
                <w:color w:val="auto"/>
              </w:rPr>
              <w:t>Financial</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440"/>
              <w:spacing w:after="0"/>
              <w:rPr>
                <w:sz w:val="20"/>
                <w:szCs w:val="20"/>
                <w:color w:val="auto"/>
              </w:rPr>
            </w:pPr>
            <w:r>
              <w:rPr>
                <w:rFonts w:ascii="Arial" w:cs="Arial" w:eastAsia="Arial" w:hAnsi="Arial"/>
                <w:sz w:val="19"/>
                <w:szCs w:val="19"/>
                <w:color w:val="auto"/>
              </w:rPr>
              <w:t>instruments</w:t>
            </w:r>
          </w:p>
        </w:tc>
        <w:tc>
          <w:tcPr>
            <w:tcW w:w="200" w:type="dxa"/>
            <w:vAlign w:val="bottom"/>
          </w:tcPr>
          <w:p>
            <w:pPr>
              <w:spacing w:after="0"/>
              <w:rPr>
                <w:sz w:val="20"/>
                <w:szCs w:val="20"/>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20"/>
                <w:szCs w:val="20"/>
                <w:color w:val="auto"/>
              </w:rPr>
            </w:pPr>
          </w:p>
        </w:tc>
        <w:tc>
          <w:tcPr>
            <w:tcW w:w="720" w:type="dxa"/>
            <w:vAlign w:val="bottom"/>
          </w:tcPr>
          <w:p>
            <w:pPr>
              <w:jc w:val="right"/>
              <w:ind w:right="188"/>
              <w:spacing w:after="0"/>
              <w:rPr>
                <w:sz w:val="20"/>
                <w:szCs w:val="20"/>
                <w:color w:val="auto"/>
              </w:rPr>
            </w:pPr>
            <w:r>
              <w:rPr>
                <w:rFonts w:ascii="Arial" w:cs="Arial" w:eastAsia="Arial" w:hAnsi="Arial"/>
                <w:sz w:val="15"/>
                <w:szCs w:val="15"/>
                <w:color w:val="auto"/>
              </w:rPr>
              <w:t>2</w:t>
            </w:r>
          </w:p>
        </w:tc>
        <w:tc>
          <w:tcPr>
            <w:tcW w:w="640" w:type="dxa"/>
            <w:vAlign w:val="bottom"/>
          </w:tcPr>
          <w:p>
            <w:pPr>
              <w:spacing w:after="0"/>
              <w:rPr>
                <w:sz w:val="20"/>
                <w:szCs w:val="20"/>
                <w:color w:val="auto"/>
              </w:rPr>
            </w:pPr>
          </w:p>
        </w:tc>
        <w:tc>
          <w:tcPr>
            <w:tcW w:w="47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0"/>
        </w:trPr>
        <w:tc>
          <w:tcPr>
            <w:tcW w:w="2000" w:type="dxa"/>
            <w:vAlign w:val="bottom"/>
          </w:tcPr>
          <w:p>
            <w:pPr>
              <w:ind w:left="440"/>
              <w:spacing w:after="0"/>
              <w:rPr>
                <w:sz w:val="20"/>
                <w:szCs w:val="20"/>
                <w:color w:val="auto"/>
              </w:rPr>
            </w:pPr>
            <w:r>
              <w:rPr>
                <w:rFonts w:ascii="Arial" w:cs="Arial" w:eastAsia="Arial" w:hAnsi="Arial"/>
                <w:sz w:val="15"/>
                <w:szCs w:val="15"/>
                <w:color w:val="auto"/>
              </w:rPr>
              <w:t>Net actuarial gain</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1</w:t>
            </w:r>
          </w:p>
        </w:tc>
        <w:tc>
          <w:tcPr>
            <w:tcW w:w="6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2"/>
        </w:trPr>
        <w:tc>
          <w:tcPr>
            <w:tcW w:w="2000" w:type="dxa"/>
            <w:vAlign w:val="bottom"/>
          </w:tcPr>
          <w:p>
            <w:pPr>
              <w:ind w:left="440"/>
              <w:spacing w:after="0" w:line="152" w:lineRule="exact"/>
              <w:rPr>
                <w:sz w:val="20"/>
                <w:szCs w:val="20"/>
                <w:color w:val="auto"/>
              </w:rPr>
            </w:pPr>
            <w:r>
              <w:rPr>
                <w:rFonts w:ascii="Arial" w:cs="Arial" w:eastAsia="Arial" w:hAnsi="Arial"/>
                <w:sz w:val="15"/>
                <w:szCs w:val="15"/>
                <w:color w:val="auto"/>
              </w:rPr>
              <w:t>Comprehensive</w:t>
            </w:r>
          </w:p>
        </w:tc>
        <w:tc>
          <w:tcPr>
            <w:tcW w:w="200" w:type="dxa"/>
            <w:vAlign w:val="bottom"/>
          </w:tcPr>
          <w:p>
            <w:pPr>
              <w:spacing w:after="0"/>
              <w:rPr>
                <w:sz w:val="13"/>
                <w:szCs w:val="13"/>
                <w:color w:val="auto"/>
              </w:rPr>
            </w:pPr>
          </w:p>
        </w:tc>
        <w:tc>
          <w:tcPr>
            <w:tcW w:w="600" w:type="dxa"/>
            <w:vAlign w:val="bottom"/>
            <w:vMerge w:val="restart"/>
          </w:tcPr>
          <w:p>
            <w:pPr>
              <w:jc w:val="right"/>
              <w:ind w:right="63"/>
              <w:spacing w:after="0"/>
              <w:rPr>
                <w:sz w:val="20"/>
                <w:szCs w:val="20"/>
                <w:color w:val="auto"/>
              </w:rPr>
            </w:pPr>
            <w:r>
              <w:rPr>
                <w:rFonts w:ascii="Arial" w:cs="Arial" w:eastAsia="Arial" w:hAnsi="Arial"/>
                <w:sz w:val="15"/>
                <w:szCs w:val="15"/>
                <w:color w:val="auto"/>
              </w:rPr>
              <w:t>77</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vMerge w:val="restart"/>
          </w:tcPr>
          <w:p>
            <w:pPr>
              <w:ind w:left="200"/>
              <w:spacing w:after="0"/>
              <w:rPr>
                <w:sz w:val="20"/>
                <w:szCs w:val="20"/>
                <w:color w:val="auto"/>
              </w:rPr>
            </w:pPr>
            <w:r>
              <w:rPr>
                <w:rFonts w:ascii="Arial" w:cs="Arial" w:eastAsia="Arial" w:hAnsi="Arial"/>
                <w:sz w:val="19"/>
                <w:szCs w:val="19"/>
                <w:color w:val="auto"/>
              </w:rPr>
              <w:t>$</w:t>
            </w:r>
          </w:p>
        </w:tc>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tcBorders>
          </w:tcPr>
          <w:p>
            <w:pPr>
              <w:ind w:left="440"/>
              <w:spacing w:after="0" w:line="169" w:lineRule="exact"/>
              <w:rPr>
                <w:sz w:val="20"/>
                <w:szCs w:val="20"/>
                <w:color w:val="auto"/>
              </w:rPr>
            </w:pPr>
            <w:r>
              <w:rPr>
                <w:rFonts w:ascii="Arial" w:cs="Arial" w:eastAsia="Arial" w:hAnsi="Arial"/>
                <w:sz w:val="15"/>
                <w:szCs w:val="15"/>
                <w:color w:val="auto"/>
              </w:rPr>
              <w:t>income (loss)</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ind w:right="28"/>
              <w:spacing w:after="0" w:line="169" w:lineRule="exact"/>
              <w:rPr>
                <w:sz w:val="20"/>
                <w:szCs w:val="20"/>
                <w:color w:val="auto"/>
              </w:rPr>
            </w:pPr>
            <w:r>
              <w:rPr>
                <w:rFonts w:ascii="Arial" w:cs="Arial" w:eastAsia="Arial" w:hAnsi="Arial"/>
                <w:sz w:val="15"/>
                <w:szCs w:val="15"/>
                <w:color w:val="auto"/>
              </w:rPr>
              <w:t>(19)</w:t>
            </w: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188"/>
              <w:spacing w:after="0" w:line="169" w:lineRule="exact"/>
              <w:rPr>
                <w:sz w:val="20"/>
                <w:szCs w:val="20"/>
                <w:color w:val="auto"/>
              </w:rPr>
            </w:pPr>
            <w:r>
              <w:rPr>
                <w:rFonts w:ascii="Arial" w:cs="Arial" w:eastAsia="Arial" w:hAnsi="Arial"/>
                <w:sz w:val="15"/>
                <w:szCs w:val="15"/>
                <w:color w:val="auto"/>
              </w:rPr>
              <w:t>58</w:t>
            </w:r>
          </w:p>
        </w:tc>
        <w:tc>
          <w:tcPr>
            <w:tcW w:w="64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72</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21</w:t>
            </w:r>
          </w:p>
        </w:tc>
        <w:tc>
          <w:tcPr>
            <w:tcW w:w="2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27"/>
        </w:trPr>
        <w:tc>
          <w:tcPr>
            <w:tcW w:w="2000" w:type="dxa"/>
            <w:vAlign w:val="bottom"/>
          </w:tcPr>
          <w:p>
            <w:pPr>
              <w:ind w:left="100"/>
              <w:spacing w:after="0"/>
              <w:rPr>
                <w:sz w:val="20"/>
                <w:szCs w:val="20"/>
                <w:color w:val="auto"/>
              </w:rPr>
            </w:pPr>
            <w:r>
              <w:rPr>
                <w:rFonts w:ascii="Arial" w:cs="Arial" w:eastAsia="Arial" w:hAnsi="Arial"/>
                <w:sz w:val="15"/>
                <w:szCs w:val="15"/>
                <w:b w:val="1"/>
                <w:bCs w:val="1"/>
                <w:color w:val="auto"/>
              </w:rPr>
              <w:t>PE:</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restart"/>
          </w:tcPr>
          <w:p>
            <w:pPr>
              <w:jc w:val="right"/>
              <w:ind w:right="27"/>
              <w:spacing w:after="0"/>
              <w:rPr>
                <w:sz w:val="20"/>
                <w:szCs w:val="20"/>
                <w:color w:val="auto"/>
              </w:rPr>
            </w:pPr>
            <w:r>
              <w:rPr>
                <w:rFonts w:ascii="Arial" w:cs="Arial" w:eastAsia="Arial" w:hAnsi="Arial"/>
                <w:sz w:val="15"/>
                <w:szCs w:val="15"/>
                <w:color w:val="auto"/>
              </w:rPr>
              <w:t>&amp;n</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95"/>
              </w:rPr>
              <w:t>$</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440"/>
              <w:spacing w:after="0"/>
              <w:rPr>
                <w:sz w:val="20"/>
                <w:szCs w:val="20"/>
                <w:color w:val="auto"/>
              </w:rPr>
            </w:pPr>
            <w:r>
              <w:rPr>
                <w:rFonts w:ascii="Arial" w:cs="Arial" w:eastAsia="Arial" w:hAnsi="Arial"/>
                <w:sz w:val="15"/>
                <w:szCs w:val="15"/>
                <w:color w:val="auto"/>
              </w:rPr>
              <w:t>Net income(2)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71</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vMerge w:val="continue"/>
          </w:tcPr>
          <w:p>
            <w:pPr>
              <w:spacing w:after="0"/>
              <w:rPr>
                <w:sz w:val="15"/>
                <w:szCs w:val="15"/>
                <w:color w:val="auto"/>
              </w:rPr>
            </w:pPr>
          </w:p>
        </w:tc>
        <w:tc>
          <w:tcPr>
            <w:tcW w:w="720" w:type="dxa"/>
            <w:vAlign w:val="bottom"/>
          </w:tcPr>
          <w:p>
            <w:pPr>
              <w:jc w:val="right"/>
              <w:ind w:right="188"/>
              <w:spacing w:after="0"/>
              <w:rPr>
                <w:sz w:val="20"/>
                <w:szCs w:val="20"/>
                <w:color w:val="auto"/>
              </w:rPr>
            </w:pPr>
            <w:r>
              <w:rPr>
                <w:rFonts w:ascii="Arial" w:cs="Arial" w:eastAsia="Arial" w:hAnsi="Arial"/>
                <w:sz w:val="15"/>
                <w:szCs w:val="15"/>
                <w:color w:val="auto"/>
              </w:rPr>
              <w:t>71</w:t>
            </w:r>
          </w:p>
        </w:tc>
        <w:tc>
          <w:tcPr>
            <w:tcW w:w="640" w:type="dxa"/>
            <w:vAlign w:val="bottom"/>
          </w:tcPr>
          <w:p>
            <w:pPr>
              <w:ind w:left="200"/>
              <w:spacing w:after="0"/>
              <w:rPr>
                <w:sz w:val="20"/>
                <w:szCs w:val="20"/>
                <w:color w:val="auto"/>
              </w:rPr>
            </w:pPr>
            <w:r>
              <w:rPr>
                <w:rFonts w:ascii="Arial" w:cs="Arial" w:eastAsia="Arial" w:hAnsi="Arial"/>
                <w:sz w:val="15"/>
                <w:szCs w:val="15"/>
                <w:color w:val="auto"/>
              </w:rPr>
              <w:t>$</w:t>
            </w:r>
          </w:p>
        </w:tc>
        <w:tc>
          <w:tcPr>
            <w:tcW w:w="4700" w:type="dxa"/>
            <w:vAlign w:val="bottom"/>
          </w:tcPr>
          <w:p>
            <w:pPr>
              <w:jc w:val="right"/>
              <w:spacing w:after="0"/>
              <w:rPr>
                <w:sz w:val="20"/>
                <w:szCs w:val="20"/>
                <w:color w:val="auto"/>
              </w:rPr>
            </w:pPr>
            <w:r>
              <w:rPr>
                <w:rFonts w:ascii="Arial" w:cs="Arial" w:eastAsia="Arial" w:hAnsi="Arial"/>
                <w:sz w:val="15"/>
                <w:szCs w:val="15"/>
                <w:color w:val="auto"/>
              </w:rPr>
              <w:t>63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bsp;-</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4"/>
        </w:trPr>
        <w:tc>
          <w:tcPr>
            <w:tcW w:w="2000" w:type="dxa"/>
            <w:vAlign w:val="bottom"/>
          </w:tcPr>
          <w:p>
            <w:pPr>
              <w:ind w:left="440"/>
              <w:spacing w:after="0"/>
              <w:rPr>
                <w:sz w:val="20"/>
                <w:szCs w:val="20"/>
                <w:color w:val="auto"/>
              </w:rPr>
            </w:pPr>
            <w:r>
              <w:rPr>
                <w:rFonts w:ascii="Arial" w:cs="Arial" w:eastAsia="Arial" w:hAnsi="Arial"/>
                <w:sz w:val="15"/>
                <w:szCs w:val="15"/>
                <w:color w:val="auto"/>
              </w:rPr>
              <w:t>Financial instruments</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1</w:t>
            </w:r>
          </w:p>
        </w:tc>
        <w:tc>
          <w:tcPr>
            <w:tcW w:w="6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00" w:type="dxa"/>
            <w:vAlign w:val="bottom"/>
          </w:tcPr>
          <w:p>
            <w:pPr>
              <w:ind w:left="440"/>
              <w:spacing w:after="0" w:line="216" w:lineRule="exact"/>
              <w:rPr>
                <w:sz w:val="20"/>
                <w:szCs w:val="20"/>
                <w:color w:val="auto"/>
              </w:rPr>
            </w:pPr>
            <w:r>
              <w:rPr>
                <w:rFonts w:ascii="Arial" w:cs="Arial" w:eastAsia="Arial" w:hAnsi="Arial"/>
                <w:sz w:val="19"/>
                <w:szCs w:val="19"/>
                <w:color w:val="auto"/>
              </w:rPr>
              <w:t>Comprehensive</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72</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88"/>
              <w:spacing w:after="0"/>
              <w:rPr>
                <w:sz w:val="20"/>
                <w:szCs w:val="20"/>
                <w:color w:val="auto"/>
              </w:rPr>
            </w:pPr>
            <w:r>
              <w:rPr>
                <w:rFonts w:ascii="Arial" w:cs="Arial" w:eastAsia="Arial" w:hAnsi="Arial"/>
                <w:sz w:val="15"/>
                <w:szCs w:val="15"/>
                <w:color w:val="auto"/>
              </w:rPr>
              <w:t>72</w:t>
            </w:r>
          </w:p>
        </w:tc>
        <w:tc>
          <w:tcPr>
            <w:tcW w:w="640" w:type="dxa"/>
            <w:vAlign w:val="bottom"/>
          </w:tcPr>
          <w:p>
            <w:pPr>
              <w:ind w:left="200"/>
              <w:spacing w:after="0"/>
              <w:rPr>
                <w:sz w:val="20"/>
                <w:szCs w:val="20"/>
                <w:color w:val="auto"/>
              </w:rPr>
            </w:pPr>
            <w:r>
              <w:rPr>
                <w:rFonts w:ascii="Arial" w:cs="Arial" w:eastAsia="Arial" w:hAnsi="Arial"/>
                <w:sz w:val="15"/>
                <w:szCs w:val="15"/>
                <w:color w:val="auto"/>
              </w:rPr>
              <w:t>$</w:t>
            </w:r>
          </w:p>
        </w:tc>
        <w:tc>
          <w:tcPr>
            <w:tcW w:w="4700" w:type="dxa"/>
            <w:vAlign w:val="bottom"/>
          </w:tcPr>
          <w:p>
            <w:pPr>
              <w:jc w:val="right"/>
              <w:ind w:right="87"/>
              <w:spacing w:after="0"/>
              <w:rPr>
                <w:sz w:val="20"/>
                <w:szCs w:val="20"/>
                <w:color w:val="auto"/>
              </w:rPr>
            </w:pPr>
            <w:r>
              <w:rPr>
                <w:rFonts w:ascii="Arial" w:cs="Arial" w:eastAsia="Arial" w:hAnsi="Arial"/>
                <w:sz w:val="15"/>
                <w:szCs w:val="15"/>
                <w:color w:val="auto"/>
              </w:rPr>
              <w:t>64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bl>
    <w:p>
      <w:pPr>
        <w:sectPr>
          <w:pgSz w:w="11900" w:h="16921" w:orient="portrait"/>
          <w:cols w:equalWidth="0" w:num="1">
            <w:col w:w="11443"/>
          </w:cols>
          <w:pgMar w:left="237" w:top="131" w:right="219" w:bottom="0" w:gutter="0" w:footer="0" w:header="0"/>
        </w:sectPr>
      </w:pPr>
    </w:p>
    <w:bookmarkStart w:id="18" w:name="page19"/>
    <w:bookmarkEnd w:id="18"/>
    <w:p>
      <w:pPr>
        <w:ind w:left="443"/>
        <w:spacing w:after="0"/>
        <w:rPr>
          <w:sz w:val="20"/>
          <w:szCs w:val="20"/>
          <w:color w:val="auto"/>
        </w:rPr>
      </w:pPr>
      <w:r>
        <w:rPr>
          <w:rFonts w:ascii="Arial" w:cs="Arial" w:eastAsia="Arial" w:hAnsi="Arial"/>
          <w:sz w:val="19"/>
          <w:szCs w:val="19"/>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5995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23495"/>
                    </a:xfrm>
                    <a:prstGeom prst="rect">
                      <a:avLst/>
                    </a:prstGeom>
                    <a:noFill/>
                  </pic:spPr>
                </pic:pic>
              </a:graphicData>
            </a:graphic>
          </wp:anchor>
        </w:drawing>
      </w:r>
    </w:p>
    <w:p>
      <w:pPr>
        <w:spacing w:after="0" w:line="52" w:lineRule="exact"/>
        <w:rPr>
          <w:sz w:val="20"/>
          <w:szCs w:val="20"/>
          <w:color w:val="auto"/>
        </w:rPr>
      </w:pPr>
    </w:p>
    <w:tbl>
      <w:tblPr>
        <w:tblLayout w:type="fixed"/>
        <w:tblInd w:w="3" w:type="dxa"/>
        <w:tblCellMar>
          <w:top w:w="0" w:type="dxa"/>
          <w:left w:w="0" w:type="dxa"/>
          <w:bottom w:w="0" w:type="dxa"/>
          <w:right w:w="0" w:type="dxa"/>
        </w:tblCellMar>
      </w:tblPr>
      <w:tr>
        <w:trPr>
          <w:trHeight w:val="172"/>
        </w:trPr>
        <w:tc>
          <w:tcPr>
            <w:tcW w:w="200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vMerge w:val="restart"/>
          </w:tcPr>
          <w:p>
            <w:pPr>
              <w:jc w:val="right"/>
              <w:ind w:right="12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00" w:type="dxa"/>
            <w:vAlign w:val="bottom"/>
          </w:tcPr>
          <w:p>
            <w:pPr>
              <w:ind w:left="44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7"/>
              <w:spacing w:after="0"/>
              <w:rPr>
                <w:sz w:val="20"/>
                <w:szCs w:val="20"/>
                <w:color w:val="auto"/>
              </w:rPr>
            </w:pPr>
            <w:r>
              <w:rPr>
                <w:rFonts w:ascii="Arial" w:cs="Arial" w:eastAsia="Arial" w:hAnsi="Arial"/>
                <w:sz w:val="15"/>
                <w:szCs w:val="15"/>
                <w:color w:val="auto"/>
              </w:rPr>
              <w:t>70</w:t>
            </w:r>
          </w:p>
        </w:tc>
        <w:tc>
          <w:tcPr>
            <w:tcW w:w="400" w:type="dxa"/>
            <w:vAlign w:val="bottom"/>
            <w:vMerge w:val="continue"/>
          </w:tcPr>
          <w:p>
            <w:pPr>
              <w:spacing w:after="0"/>
              <w:rPr>
                <w:sz w:val="20"/>
                <w:szCs w:val="20"/>
                <w:color w:val="auto"/>
              </w:rPr>
            </w:pPr>
          </w:p>
        </w:tc>
        <w:tc>
          <w:tcPr>
            <w:tcW w:w="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7"/>
              <w:spacing w:after="0"/>
              <w:rPr>
                <w:sz w:val="20"/>
                <w:szCs w:val="20"/>
                <w:color w:val="auto"/>
              </w:rPr>
            </w:pPr>
            <w:r>
              <w:rPr>
                <w:rFonts w:ascii="Arial" w:cs="Arial" w:eastAsia="Arial" w:hAnsi="Arial"/>
                <w:sz w:val="15"/>
                <w:szCs w:val="15"/>
                <w:color w:val="auto"/>
              </w:rPr>
              <w:t>70</w:t>
            </w:r>
          </w:p>
        </w:tc>
        <w:tc>
          <w:tcPr>
            <w:tcW w:w="2800" w:type="dxa"/>
            <w:vAlign w:val="bottom"/>
            <w:gridSpan w:val="2"/>
          </w:tcPr>
          <w:p>
            <w:pPr>
              <w:jc w:val="right"/>
              <w:ind w:right="2380"/>
              <w:spacing w:after="0"/>
              <w:rPr>
                <w:sz w:val="20"/>
                <w:szCs w:val="20"/>
                <w:color w:val="auto"/>
              </w:rPr>
            </w:pPr>
            <w:r>
              <w:rPr>
                <w:rFonts w:ascii="Arial" w:cs="Arial" w:eastAsia="Arial" w:hAnsi="Arial"/>
                <w:sz w:val="15"/>
                <w:szCs w:val="15"/>
                <w:color w:val="auto"/>
              </w:rPr>
              <w:t>$</w:t>
            </w:r>
          </w:p>
        </w:tc>
        <w:tc>
          <w:tcPr>
            <w:tcW w:w="2640" w:type="dxa"/>
            <w:vAlign w:val="bottom"/>
          </w:tcPr>
          <w:p>
            <w:pPr>
              <w:jc w:val="right"/>
              <w:ind w:right="47"/>
              <w:spacing w:after="0"/>
              <w:rPr>
                <w:sz w:val="20"/>
                <w:szCs w:val="20"/>
                <w:color w:val="auto"/>
              </w:rPr>
            </w:pPr>
            <w:r>
              <w:rPr>
                <w:rFonts w:ascii="Arial" w:cs="Arial" w:eastAsia="Arial" w:hAnsi="Arial"/>
                <w:sz w:val="15"/>
                <w:szCs w:val="15"/>
                <w:color w:val="auto"/>
              </w:rPr>
              <w:t>66</w:t>
            </w:r>
          </w:p>
        </w:tc>
        <w:tc>
          <w:tcPr>
            <w:tcW w:w="4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67"/>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12"/>
        </w:trPr>
        <w:tc>
          <w:tcPr>
            <w:tcW w:w="2000" w:type="dxa"/>
            <w:vAlign w:val="bottom"/>
          </w:tcPr>
          <w:p>
            <w:pPr>
              <w:ind w:left="440"/>
              <w:spacing w:after="0"/>
              <w:rPr>
                <w:sz w:val="20"/>
                <w:szCs w:val="20"/>
                <w:color w:val="auto"/>
              </w:rPr>
            </w:pPr>
            <w:r>
              <w:rPr>
                <w:rFonts w:ascii="Arial" w:cs="Arial" w:eastAsia="Arial" w:hAnsi="Arial"/>
                <w:sz w:val="15"/>
                <w:szCs w:val="15"/>
                <w:color w:val="auto"/>
              </w:rPr>
              <w:t>Financial instruments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w:t>
            </w: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2"/>
        </w:trPr>
        <w:tc>
          <w:tcPr>
            <w:tcW w:w="2000" w:type="dxa"/>
            <w:vAlign w:val="bottom"/>
          </w:tcPr>
          <w:p>
            <w:pPr>
              <w:ind w:left="440"/>
              <w:spacing w:after="0" w:line="152" w:lineRule="exact"/>
              <w:rPr>
                <w:sz w:val="20"/>
                <w:szCs w:val="20"/>
                <w:color w:val="auto"/>
              </w:rPr>
            </w:pPr>
            <w:r>
              <w:rPr>
                <w:rFonts w:ascii="Arial" w:cs="Arial" w:eastAsia="Arial" w:hAnsi="Arial"/>
                <w:sz w:val="15"/>
                <w:szCs w:val="15"/>
                <w:color w:val="auto"/>
              </w:rPr>
              <w:t>Comprehensive</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vMerge w:val="restart"/>
          </w:tcPr>
          <w:p>
            <w:pPr>
              <w:jc w:val="right"/>
              <w:ind w:right="47"/>
              <w:spacing w:after="0"/>
              <w:rPr>
                <w:sz w:val="20"/>
                <w:szCs w:val="20"/>
                <w:color w:val="auto"/>
              </w:rPr>
            </w:pPr>
            <w:r>
              <w:rPr>
                <w:rFonts w:ascii="Arial" w:cs="Arial" w:eastAsia="Arial" w:hAnsi="Arial"/>
                <w:sz w:val="15"/>
                <w:szCs w:val="15"/>
                <w:color w:val="auto"/>
              </w:rPr>
              <w:t>71</w:t>
            </w:r>
          </w:p>
        </w:tc>
        <w:tc>
          <w:tcPr>
            <w:tcW w:w="2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40" w:type="dxa"/>
            <w:vAlign w:val="bottom"/>
            <w:vMerge w:val="restart"/>
          </w:tcPr>
          <w:p>
            <w:pPr>
              <w:jc w:val="right"/>
              <w:ind w:right="47"/>
              <w:spacing w:after="0"/>
              <w:rPr>
                <w:sz w:val="20"/>
                <w:szCs w:val="20"/>
                <w:color w:val="auto"/>
              </w:rPr>
            </w:pPr>
            <w:r>
              <w:rPr>
                <w:rFonts w:ascii="Arial" w:cs="Arial" w:eastAsia="Arial" w:hAnsi="Arial"/>
                <w:sz w:val="15"/>
                <w:szCs w:val="15"/>
                <w:color w:val="auto"/>
              </w:rPr>
              <w:t>67</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tcBorders>
          </w:tcPr>
          <w:p>
            <w:pPr>
              <w:ind w:left="440"/>
              <w:spacing w:after="0" w:line="169" w:lineRule="exact"/>
              <w:rPr>
                <w:sz w:val="20"/>
                <w:szCs w:val="20"/>
                <w:color w:val="auto"/>
              </w:rPr>
            </w:pPr>
            <w:r>
              <w:rPr>
                <w:rFonts w:ascii="Arial" w:cs="Arial" w:eastAsia="Arial" w:hAnsi="Arial"/>
                <w:sz w:val="15"/>
                <w:szCs w:val="15"/>
                <w:color w:val="auto"/>
              </w:rPr>
              <w:t>income</w:t>
            </w:r>
          </w:p>
        </w:tc>
        <w:tc>
          <w:tcPr>
            <w:tcW w:w="34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71</w:t>
            </w:r>
          </w:p>
        </w:tc>
        <w:tc>
          <w:tcPr>
            <w:tcW w:w="400" w:type="dxa"/>
            <w:vAlign w:val="bottom"/>
            <w:tcBorders>
              <w:bottom w:val="single" w:sz="8" w:color="auto"/>
            </w:tcBorders>
          </w:tcPr>
          <w:p>
            <w:pPr>
              <w:jc w:val="right"/>
              <w:ind w:right="127"/>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gridSpan w:val="2"/>
          </w:tcPr>
          <w:p>
            <w:pPr>
              <w:jc w:val="right"/>
              <w:ind w:right="2380"/>
              <w:spacing w:after="0" w:line="169" w:lineRule="exact"/>
              <w:rPr>
                <w:sz w:val="20"/>
                <w:szCs w:val="20"/>
                <w:color w:val="auto"/>
              </w:rPr>
            </w:pPr>
            <w:r>
              <w:rPr>
                <w:rFonts w:ascii="Arial" w:cs="Arial" w:eastAsia="Arial" w:hAnsi="Arial"/>
                <w:sz w:val="15"/>
                <w:szCs w:val="15"/>
                <w:color w:val="auto"/>
              </w:rPr>
              <w:t>$</w:t>
            </w:r>
          </w:p>
        </w:tc>
        <w:tc>
          <w:tcPr>
            <w:tcW w:w="26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3" w:hanging="341"/>
        <w:spacing w:after="0"/>
        <w:tabs>
          <w:tab w:leader="none" w:pos="443"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Shareholders' equity of Sempra Energy Consolidated, SDG&amp;E, PE or SoCalGas as indicated in left margin.</w:t>
      </w:r>
    </w:p>
    <w:p>
      <w:pPr>
        <w:spacing w:after="0" w:line="63" w:lineRule="exact"/>
        <w:rPr>
          <w:rFonts w:ascii="Arial" w:cs="Arial" w:eastAsia="Arial" w:hAnsi="Arial"/>
          <w:sz w:val="13"/>
          <w:szCs w:val="13"/>
          <w:i w:val="1"/>
          <w:iCs w:val="1"/>
          <w:color w:val="auto"/>
        </w:rPr>
      </w:pPr>
    </w:p>
    <w:p>
      <w:pPr>
        <w:ind w:left="443" w:hanging="341"/>
        <w:spacing w:after="0"/>
        <w:tabs>
          <w:tab w:leader="none" w:pos="443"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Before preferred dividends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317105" cy="294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7105" cy="2940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COMPREHENSIVE INCOME (Continued)</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176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3"/>
                <w:szCs w:val="13"/>
                <w:color w:val="auto"/>
              </w:rPr>
              <w:t>Six months ended June 30,</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color w:val="auto"/>
              </w:rPr>
              <w:t>2010</w:t>
            </w:r>
          </w:p>
        </w:tc>
        <w:tc>
          <w:tcPr>
            <w:tcW w:w="1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2009</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06"/>
              <w:spacing w:after="0"/>
              <w:rPr>
                <w:sz w:val="20"/>
                <w:szCs w:val="20"/>
                <w:color w:val="auto"/>
              </w:rPr>
            </w:pPr>
            <w:r>
              <w:rPr>
                <w:rFonts w:ascii="Arial" w:cs="Arial" w:eastAsia="Arial" w:hAnsi="Arial"/>
                <w:sz w:val="13"/>
                <w:szCs w:val="13"/>
                <w:color w:val="auto"/>
                <w:w w:val="97"/>
              </w:rPr>
              <w:t>Share-</w:t>
            </w:r>
          </w:p>
        </w:tc>
        <w:tc>
          <w:tcPr>
            <w:tcW w:w="220" w:type="dxa"/>
            <w:vAlign w:val="bottom"/>
          </w:tcPr>
          <w:p>
            <w:pPr>
              <w:spacing w:after="0"/>
              <w:rPr>
                <w:sz w:val="19"/>
                <w:szCs w:val="19"/>
                <w:color w:val="auto"/>
              </w:rPr>
            </w:pPr>
          </w:p>
        </w:tc>
        <w:tc>
          <w:tcPr>
            <w:tcW w:w="580" w:type="dxa"/>
            <w:vAlign w:val="bottom"/>
          </w:tcPr>
          <w:p>
            <w:pPr>
              <w:jc w:val="right"/>
              <w:ind w:right="187"/>
              <w:spacing w:after="0"/>
              <w:rPr>
                <w:sz w:val="20"/>
                <w:szCs w:val="20"/>
                <w:color w:val="auto"/>
              </w:rPr>
            </w:pPr>
            <w:r>
              <w:rPr>
                <w:rFonts w:ascii="Arial" w:cs="Arial" w:eastAsia="Arial" w:hAnsi="Arial"/>
                <w:sz w:val="13"/>
                <w:szCs w:val="13"/>
                <w:color w:val="auto"/>
              </w:rPr>
              <w:t>Non-</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9"/>
                <w:szCs w:val="19"/>
                <w:color w:val="auto"/>
              </w:rPr>
            </w:pPr>
          </w:p>
        </w:tc>
        <w:tc>
          <w:tcPr>
            <w:tcW w:w="740" w:type="dxa"/>
            <w:vAlign w:val="bottom"/>
          </w:tcPr>
          <w:p>
            <w:pPr>
              <w:jc w:val="right"/>
              <w:ind w:right="207"/>
              <w:spacing w:after="0"/>
              <w:rPr>
                <w:sz w:val="20"/>
                <w:szCs w:val="20"/>
                <w:color w:val="auto"/>
              </w:rPr>
            </w:pPr>
            <w:r>
              <w:rPr>
                <w:rFonts w:ascii="Arial" w:cs="Arial" w:eastAsia="Arial" w:hAnsi="Arial"/>
                <w:sz w:val="13"/>
                <w:szCs w:val="13"/>
                <w:color w:val="auto"/>
              </w:rPr>
              <w:t>Non-</w:t>
            </w: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780" w:type="dxa"/>
            <w:vAlign w:val="bottom"/>
            <w:gridSpan w:val="2"/>
          </w:tcPr>
          <w:p>
            <w:pPr>
              <w:jc w:val="right"/>
              <w:ind w:right="86"/>
              <w:spacing w:after="0"/>
              <w:rPr>
                <w:sz w:val="20"/>
                <w:szCs w:val="20"/>
                <w:color w:val="auto"/>
              </w:rPr>
            </w:pPr>
            <w:r>
              <w:rPr>
                <w:rFonts w:ascii="Arial" w:cs="Arial" w:eastAsia="Arial" w:hAnsi="Arial"/>
                <w:sz w:val="13"/>
                <w:szCs w:val="13"/>
                <w:color w:val="auto"/>
              </w:rPr>
              <w:t>holders'</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controlling</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2"/>
          </w:tcPr>
          <w:p>
            <w:pPr>
              <w:ind w:left="480"/>
              <w:spacing w:after="0"/>
              <w:rPr>
                <w:sz w:val="20"/>
                <w:szCs w:val="20"/>
                <w:color w:val="auto"/>
              </w:rPr>
            </w:pPr>
            <w:r>
              <w:rPr>
                <w:rFonts w:ascii="Arial" w:cs="Arial" w:eastAsia="Arial" w:hAnsi="Arial"/>
                <w:sz w:val="13"/>
                <w:szCs w:val="13"/>
                <w:color w:val="auto"/>
              </w:rPr>
              <w:t>Total</w:t>
            </w:r>
          </w:p>
        </w:tc>
        <w:tc>
          <w:tcPr>
            <w:tcW w:w="178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holders'</w:t>
            </w:r>
          </w:p>
        </w:tc>
        <w:tc>
          <w:tcPr>
            <w:tcW w:w="1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controlling</w:t>
            </w:r>
          </w:p>
        </w:tc>
        <w:tc>
          <w:tcPr>
            <w:tcW w:w="440" w:type="dxa"/>
            <w:vAlign w:val="bottom"/>
          </w:tcPr>
          <w:p>
            <w:pPr>
              <w:spacing w:after="0"/>
              <w:rPr>
                <w:sz w:val="19"/>
                <w:szCs w:val="19"/>
                <w:color w:val="auto"/>
              </w:rPr>
            </w:pPr>
          </w:p>
        </w:tc>
        <w:tc>
          <w:tcPr>
            <w:tcW w:w="1820" w:type="dxa"/>
            <w:vAlign w:val="bottom"/>
          </w:tcPr>
          <w:p>
            <w:pPr>
              <w:jc w:val="right"/>
              <w:ind w:right="861"/>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6"/>
        </w:trPr>
        <w:tc>
          <w:tcPr>
            <w:tcW w:w="17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3"/>
                <w:szCs w:val="13"/>
                <w:color w:val="auto"/>
              </w:rPr>
              <w:t>Equity(1)</w:t>
            </w:r>
          </w:p>
        </w:tc>
        <w:tc>
          <w:tcPr>
            <w:tcW w:w="8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3"/>
                <w:szCs w:val="13"/>
                <w:color w:val="auto"/>
              </w:rPr>
              <w:t>Interests</w:t>
            </w: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color w:val="auto"/>
              </w:rPr>
              <w:t>Equity</w:t>
            </w:r>
          </w:p>
        </w:tc>
        <w:tc>
          <w:tcPr>
            <w:tcW w:w="1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Equity(1)</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Interests</w:t>
            </w: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63"/>
        </w:trPr>
        <w:tc>
          <w:tcPr>
            <w:tcW w:w="1760" w:type="dxa"/>
            <w:vAlign w:val="bottom"/>
          </w:tcPr>
          <w:p>
            <w:pPr>
              <w:ind w:left="100"/>
              <w:spacing w:after="0" w:line="163" w:lineRule="exact"/>
              <w:rPr>
                <w:sz w:val="20"/>
                <w:szCs w:val="20"/>
                <w:color w:val="auto"/>
              </w:rPr>
            </w:pPr>
            <w:r>
              <w:rPr>
                <w:rFonts w:ascii="Arial" w:cs="Arial" w:eastAsia="Arial" w:hAnsi="Arial"/>
                <w:sz w:val="15"/>
                <w:szCs w:val="15"/>
                <w:b w:val="1"/>
                <w:bCs w:val="1"/>
                <w:color w:val="auto"/>
              </w:rPr>
              <w:t>Sempra Energy</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100"/>
              <w:spacing w:after="0"/>
              <w:rPr>
                <w:sz w:val="20"/>
                <w:szCs w:val="20"/>
                <w:color w:val="auto"/>
              </w:rPr>
            </w:pPr>
            <w:r>
              <w:rPr>
                <w:rFonts w:ascii="Arial" w:cs="Arial" w:eastAsia="Arial" w:hAnsi="Arial"/>
                <w:sz w:val="15"/>
                <w:szCs w:val="15"/>
                <w:b w:val="1"/>
                <w:bCs w:val="1"/>
                <w:color w:val="auto"/>
              </w:rPr>
              <w:t>Consolidated:</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760" w:type="dxa"/>
            <w:vAlign w:val="bottom"/>
          </w:tcPr>
          <w:p>
            <w:pPr>
              <w:ind w:left="440"/>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760" w:type="dxa"/>
            <w:vAlign w:val="bottom"/>
          </w:tcPr>
          <w:p>
            <w:pPr>
              <w:ind w:left="440"/>
              <w:spacing w:after="0"/>
              <w:rPr>
                <w:sz w:val="20"/>
                <w:szCs w:val="20"/>
                <w:color w:val="auto"/>
              </w:rPr>
            </w:pPr>
            <w:r>
              <w:rPr>
                <w:rFonts w:ascii="Arial" w:cs="Arial" w:eastAsia="Arial" w:hAnsi="Arial"/>
                <w:sz w:val="19"/>
                <w:szCs w:val="19"/>
                <w:color w:val="auto"/>
              </w:rPr>
              <w:t>(loss)(2)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333</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(28)</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780" w:type="dxa"/>
            <w:vAlign w:val="bottom"/>
          </w:tcPr>
          <w:p>
            <w:pPr>
              <w:jc w:val="right"/>
              <w:ind w:right="62"/>
              <w:spacing w:after="0"/>
              <w:rPr>
                <w:sz w:val="20"/>
                <w:szCs w:val="20"/>
                <w:color w:val="auto"/>
              </w:rPr>
            </w:pPr>
            <w:r>
              <w:rPr>
                <w:rFonts w:ascii="Arial" w:cs="Arial" w:eastAsia="Arial" w:hAnsi="Arial"/>
                <w:sz w:val="15"/>
                <w:szCs w:val="15"/>
                <w:color w:val="auto"/>
              </w:rPr>
              <w:t>305</w:t>
            </w:r>
          </w:p>
        </w:tc>
        <w:tc>
          <w:tcPr>
            <w:tcW w:w="6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519</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w:t>
            </w:r>
          </w:p>
        </w:tc>
        <w:tc>
          <w:tcPr>
            <w:tcW w:w="4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514</w:t>
            </w: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Foreign currency</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440"/>
              <w:spacing w:after="0"/>
              <w:rPr>
                <w:sz w:val="20"/>
                <w:szCs w:val="20"/>
                <w:color w:val="auto"/>
              </w:rPr>
            </w:pPr>
            <w:r>
              <w:rPr>
                <w:rFonts w:ascii="Arial" w:cs="Arial" w:eastAsia="Arial" w:hAnsi="Arial"/>
                <w:sz w:val="15"/>
                <w:szCs w:val="15"/>
                <w:color w:val="auto"/>
              </w:rPr>
              <w:t>translation</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9"/>
                <w:szCs w:val="19"/>
                <w:color w:val="auto"/>
              </w:rPr>
              <w:t>&lt; p</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Arial" w:cs="Arial" w:eastAsia="Arial" w:hAnsi="Arial"/>
                <w:sz w:val="19"/>
                <w:szCs w:val="19"/>
                <w:color w:val="auto"/>
              </w:rPr>
              <w:t>style="MARGIN:0in</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60" w:type="dxa"/>
            <w:vAlign w:val="bottom"/>
            <w:gridSpan w:val="2"/>
          </w:tcPr>
          <w:p>
            <w:pPr>
              <w:ind w:left="40"/>
              <w:spacing w:after="0"/>
              <w:rPr>
                <w:sz w:val="20"/>
                <w:szCs w:val="20"/>
                <w:color w:val="auto"/>
              </w:rPr>
            </w:pPr>
            <w:r>
              <w:rPr>
                <w:rFonts w:ascii="Arial" w:cs="Arial" w:eastAsia="Arial" w:hAnsi="Arial"/>
                <w:sz w:val="19"/>
                <w:szCs w:val="19"/>
                <w:color w:val="auto"/>
              </w:rPr>
              <w:t>0in 0pt"&gt;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760" w:type="dxa"/>
            <w:vAlign w:val="bottom"/>
          </w:tcPr>
          <w:p>
            <w:pPr>
              <w:ind w:left="600"/>
              <w:spacing w:after="0"/>
              <w:rPr>
                <w:sz w:val="20"/>
                <w:szCs w:val="20"/>
                <w:color w:val="auto"/>
              </w:rPr>
            </w:pPr>
            <w:r>
              <w:rPr>
                <w:rFonts w:ascii="Arial" w:cs="Arial" w:eastAsia="Arial" w:hAnsi="Arial"/>
                <w:sz w:val="15"/>
                <w:szCs w:val="15"/>
                <w:color w:val="auto"/>
              </w:rPr>
              <w:t>adjustments</w:t>
            </w:r>
          </w:p>
        </w:tc>
        <w:tc>
          <w:tcPr>
            <w:tcW w:w="200" w:type="dxa"/>
            <w:vAlign w:val="bottom"/>
          </w:tcPr>
          <w:p>
            <w:pPr>
              <w:spacing w:after="0"/>
              <w:rPr>
                <w:sz w:val="16"/>
                <w:szCs w:val="16"/>
                <w:color w:val="auto"/>
              </w:rPr>
            </w:pP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6"/>
                <w:szCs w:val="16"/>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jc w:val="right"/>
              <w:ind w:right="2"/>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80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Financial</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instruments</w:t>
            </w:r>
          </w:p>
        </w:tc>
        <w:tc>
          <w:tcPr>
            <w:tcW w:w="200" w:type="dxa"/>
            <w:vAlign w:val="bottom"/>
          </w:tcPr>
          <w:p>
            <w:pPr>
              <w:spacing w:after="0"/>
              <w:rPr>
                <w:sz w:val="14"/>
                <w:szCs w:val="14"/>
                <w:color w:val="auto"/>
              </w:rPr>
            </w:pPr>
          </w:p>
        </w:tc>
        <w:tc>
          <w:tcPr>
            <w:tcW w:w="580" w:type="dxa"/>
            <w:vAlign w:val="bottom"/>
          </w:tcPr>
          <w:p>
            <w:pPr>
              <w:jc w:val="right"/>
              <w:ind w:right="6"/>
              <w:spacing w:after="0" w:line="171" w:lineRule="exact"/>
              <w:rPr>
                <w:sz w:val="20"/>
                <w:szCs w:val="20"/>
                <w:color w:val="auto"/>
              </w:rPr>
            </w:pPr>
            <w:r>
              <w:rPr>
                <w:rFonts w:ascii="Arial" w:cs="Arial" w:eastAsia="Arial" w:hAnsi="Arial"/>
                <w:sz w:val="15"/>
                <w:szCs w:val="15"/>
                <w:color w:val="auto"/>
              </w:rPr>
              <w:t>(9)</w:t>
            </w:r>
          </w:p>
        </w:tc>
        <w:tc>
          <w:tcPr>
            <w:tcW w:w="220" w:type="dxa"/>
            <w:vAlign w:val="bottom"/>
          </w:tcPr>
          <w:p>
            <w:pPr>
              <w:spacing w:after="0"/>
              <w:rPr>
                <w:sz w:val="14"/>
                <w:szCs w:val="14"/>
                <w:color w:val="auto"/>
              </w:rPr>
            </w:pPr>
          </w:p>
        </w:tc>
        <w:tc>
          <w:tcPr>
            <w:tcW w:w="5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4</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ind w:left="1600"/>
              <w:spacing w:after="0" w:line="171" w:lineRule="exact"/>
              <w:rPr>
                <w:sz w:val="20"/>
                <w:szCs w:val="20"/>
                <w:color w:val="auto"/>
              </w:rPr>
            </w:pPr>
            <w:r>
              <w:rPr>
                <w:rFonts w:ascii="Arial" w:cs="Arial" w:eastAsia="Arial" w:hAnsi="Arial"/>
                <w:sz w:val="15"/>
                <w:szCs w:val="15"/>
                <w:color w:val="auto"/>
              </w:rPr>
              <w:t>(5)</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23</w:t>
            </w:r>
          </w:p>
        </w:tc>
        <w:tc>
          <w:tcPr>
            <w:tcW w:w="18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Arial" w:cs="Arial" w:eastAsia="Arial" w:hAnsi="Arial"/>
                <w:sz w:val="15"/>
                <w:szCs w:val="15"/>
                <w:color w:val="auto"/>
              </w:rPr>
              <w:t>(3)</w:t>
            </w:r>
          </w:p>
        </w:tc>
        <w:tc>
          <w:tcPr>
            <w:tcW w:w="440" w:type="dxa"/>
            <w:vAlign w:val="bottom"/>
          </w:tcPr>
          <w:p>
            <w:pPr>
              <w:spacing w:after="0"/>
              <w:rPr>
                <w:sz w:val="14"/>
                <w:szCs w:val="14"/>
                <w:color w:val="auto"/>
              </w:rPr>
            </w:pPr>
          </w:p>
        </w:tc>
        <w:tc>
          <w:tcPr>
            <w:tcW w:w="1820" w:type="dxa"/>
            <w:vAlign w:val="bottom"/>
          </w:tcPr>
          <w:p>
            <w:pPr>
              <w:jc w:val="right"/>
              <w:ind w:right="41"/>
              <w:spacing w:after="0" w:line="171"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Available-for-sale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440"/>
              <w:spacing w:after="0"/>
              <w:rPr>
                <w:sz w:val="20"/>
                <w:szCs w:val="20"/>
                <w:color w:val="auto"/>
              </w:rPr>
            </w:pPr>
            <w:r>
              <w:rPr>
                <w:rFonts w:ascii="Arial" w:cs="Arial" w:eastAsia="Arial" w:hAnsi="Arial"/>
                <w:sz w:val="15"/>
                <w:szCs w:val="15"/>
                <w:color w:val="auto"/>
              </w:rPr>
              <w:t>sec urities</w:t>
            </w:r>
          </w:p>
        </w:tc>
        <w:tc>
          <w:tcPr>
            <w:tcW w:w="20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80"/>
              <w:spacing w:after="0"/>
              <w:rPr>
                <w:sz w:val="20"/>
                <w:szCs w:val="20"/>
                <w:color w:val="auto"/>
              </w:rPr>
            </w:pPr>
            <w:r>
              <w:rPr>
                <w:rFonts w:ascii="Arial" w:cs="Arial" w:eastAsia="Arial" w:hAnsi="Arial"/>
                <w:sz w:val="19"/>
                <w:szCs w:val="19"/>
                <w:color w:val="auto"/>
              </w:rPr>
              <w:t>&amp;n</w:t>
            </w:r>
          </w:p>
        </w:tc>
        <w:tc>
          <w:tcPr>
            <w:tcW w:w="1780" w:type="dxa"/>
            <w:vAlign w:val="bottom"/>
          </w:tcPr>
          <w:p>
            <w:pPr>
              <w:jc w:val="right"/>
              <w:ind w:right="2"/>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ind w:right="308"/>
              <w:spacing w:after="0"/>
              <w:rPr>
                <w:sz w:val="20"/>
                <w:szCs w:val="20"/>
                <w:color w:val="auto"/>
              </w:rPr>
            </w:pPr>
            <w:r>
              <w:rPr>
                <w:rFonts w:ascii="Arial" w:cs="Arial" w:eastAsia="Arial" w:hAnsi="Arial"/>
                <w:sz w:val="15"/>
                <w:szCs w:val="15"/>
                <w:color w:val="auto"/>
                <w:w w:val="79"/>
              </w:rPr>
              <w:t>-</w:t>
            </w: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3"/>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440"/>
              <w:spacing w:after="0"/>
              <w:rPr>
                <w:sz w:val="20"/>
                <w:szCs w:val="20"/>
                <w:color w:val="auto"/>
              </w:rPr>
            </w:pPr>
            <w:r>
              <w:rPr>
                <w:rFonts w:ascii="Arial" w:cs="Arial" w:eastAsia="Arial" w:hAnsi="Arial"/>
                <w:sz w:val="15"/>
                <w:szCs w:val="15"/>
                <w:color w:val="auto"/>
              </w:rPr>
              <w:t>Net actuarial gain</w:t>
            </w:r>
          </w:p>
        </w:tc>
        <w:tc>
          <w:tcPr>
            <w:tcW w:w="200" w:type="dxa"/>
            <w:vAlign w:val="bottom"/>
          </w:tcPr>
          <w:p>
            <w:pPr>
              <w:spacing w:after="0"/>
              <w:rPr>
                <w:sz w:val="20"/>
                <w:szCs w:val="20"/>
                <w:color w:val="auto"/>
              </w:rPr>
            </w:pP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20"/>
                <w:szCs w:val="20"/>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80"/>
              <w:spacing w:after="0"/>
              <w:rPr>
                <w:sz w:val="20"/>
                <w:szCs w:val="20"/>
                <w:color w:val="auto"/>
              </w:rPr>
            </w:pPr>
            <w:r>
              <w:rPr>
                <w:rFonts w:ascii="Arial" w:cs="Arial" w:eastAsia="Arial" w:hAnsi="Arial"/>
                <w:sz w:val="19"/>
                <w:szCs w:val="19"/>
                <w:color w:val="auto"/>
              </w:rPr>
              <w:t>bsp;</w:t>
            </w:r>
          </w:p>
        </w:tc>
        <w:tc>
          <w:tcPr>
            <w:tcW w:w="1780" w:type="dxa"/>
            <w:vAlign w:val="bottom"/>
          </w:tcPr>
          <w:p>
            <w:pPr>
              <w:jc w:val="right"/>
              <w:ind w:right="42"/>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1760" w:type="dxa"/>
            <w:vAlign w:val="bottom"/>
          </w:tcPr>
          <w:p>
            <w:pPr>
              <w:ind w:left="440"/>
              <w:spacing w:after="0" w:line="188" w:lineRule="exact"/>
              <w:rPr>
                <w:sz w:val="20"/>
                <w:szCs w:val="20"/>
                <w:color w:val="auto"/>
              </w:rPr>
            </w:pPr>
            <w:r>
              <w:rPr>
                <w:rFonts w:ascii="Arial" w:cs="Arial" w:eastAsia="Arial" w:hAnsi="Arial"/>
                <w:sz w:val="19"/>
                <w:szCs w:val="19"/>
                <w:color w:val="auto"/>
                <w:w w:val="97"/>
              </w:rPr>
              <w:t>Comprehensive</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9"/>
                <w:szCs w:val="19"/>
                <w:color w:val="auto"/>
              </w:rPr>
              <w:t>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303</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279</w:t>
            </w:r>
          </w:p>
        </w:tc>
        <w:tc>
          <w:tcPr>
            <w:tcW w:w="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637</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248"/>
        </w:trPr>
        <w:tc>
          <w:tcPr>
            <w:tcW w:w="176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60" w:type="dxa"/>
            <w:vAlign w:val="bottom"/>
            <w:gridSpan w:val="2"/>
          </w:tcPr>
          <w:p>
            <w:pPr>
              <w:ind w:left="40"/>
              <w:spacing w:after="0"/>
              <w:rPr>
                <w:sz w:val="20"/>
                <w:szCs w:val="20"/>
                <w:color w:val="auto"/>
              </w:rPr>
            </w:pPr>
            <w:r>
              <w:rPr>
                <w:rFonts w:ascii="Arial" w:cs="Arial" w:eastAsia="Arial" w:hAnsi="Arial"/>
                <w:sz w:val="19"/>
                <w:szCs w:val="19"/>
                <w:color w:val="auto"/>
              </w:rPr>
              <w:t>&amp; nbsp;</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760" w:type="dxa"/>
            <w:vAlign w:val="bottom"/>
          </w:tcPr>
          <w:p>
            <w:pPr>
              <w:ind w:left="440"/>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160</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(29)</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780" w:type="dxa"/>
            <w:vAlign w:val="bottom"/>
          </w:tcPr>
          <w:p>
            <w:pPr>
              <w:jc w:val="right"/>
              <w:ind w:right="62"/>
              <w:spacing w:after="0"/>
              <w:rPr>
                <w:sz w:val="20"/>
                <w:szCs w:val="20"/>
                <w:color w:val="auto"/>
              </w:rPr>
            </w:pPr>
            <w:r>
              <w:rPr>
                <w:rFonts w:ascii="Arial" w:cs="Arial" w:eastAsia="Arial" w:hAnsi="Arial"/>
                <w:sz w:val="15"/>
                <w:szCs w:val="15"/>
                <w:color w:val="auto"/>
              </w:rPr>
              <w:t>131</w:t>
            </w:r>
          </w:p>
        </w:tc>
        <w:tc>
          <w:tcPr>
            <w:tcW w:w="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171</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w:t>
            </w:r>
          </w:p>
        </w:tc>
        <w:tc>
          <w:tcPr>
            <w:tcW w:w="4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19"/>
                <w:szCs w:val="19"/>
                <w:color w:val="auto"/>
              </w:rPr>
              <w:t>&lt; font style="FONT-</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19"/>
                <w:szCs w:val="19"/>
                <w:color w:val="auto"/>
              </w:rPr>
              <w:t>SIZE:9pt;</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19"/>
                <w:szCs w:val="19"/>
                <w:color w:val="auto"/>
              </w:rPr>
              <w:t>COLOR:black;</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19"/>
                <w:szCs w:val="19"/>
                <w:color w:val="auto"/>
              </w:rPr>
              <w:t>FONT-</w:t>
            </w:r>
          </w:p>
        </w:tc>
        <w:tc>
          <w:tcPr>
            <w:tcW w:w="0" w:type="dxa"/>
            <w:vAlign w:val="bottom"/>
          </w:tcPr>
          <w:p>
            <w:pPr>
              <w:spacing w:after="0"/>
              <w:rPr>
                <w:sz w:val="1"/>
                <w:szCs w:val="1"/>
                <w:color w:val="auto"/>
              </w:rPr>
            </w:pPr>
          </w:p>
        </w:tc>
      </w:tr>
      <w:tr>
        <w:trPr>
          <w:trHeight w:val="219"/>
        </w:trPr>
        <w:tc>
          <w:tcPr>
            <w:tcW w:w="1760" w:type="dxa"/>
            <w:vAlign w:val="bottom"/>
            <w:vMerge w:val="restart"/>
          </w:tcPr>
          <w:p>
            <w:pPr>
              <w:ind w:left="440"/>
              <w:spacing w:after="0"/>
              <w:rPr>
                <w:sz w:val="20"/>
                <w:szCs w:val="20"/>
                <w:color w:val="auto"/>
              </w:rPr>
            </w:pPr>
            <w:r>
              <w:rPr>
                <w:rFonts w:ascii="Arial" w:cs="Arial" w:eastAsia="Arial" w:hAnsi="Arial"/>
                <w:sz w:val="15"/>
                <w:szCs w:val="15"/>
                <w:color w:val="auto"/>
              </w:rPr>
              <w:t>Financial</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19"/>
                <w:szCs w:val="19"/>
                <w:color w:val="auto"/>
                <w:w w:val="98"/>
              </w:rPr>
              <w:t>FAMILY:'Arial','sans-</w:t>
            </w:r>
          </w:p>
        </w:tc>
        <w:tc>
          <w:tcPr>
            <w:tcW w:w="0" w:type="dxa"/>
            <w:vAlign w:val="bottom"/>
          </w:tcPr>
          <w:p>
            <w:pPr>
              <w:spacing w:after="0"/>
              <w:rPr>
                <w:sz w:val="1"/>
                <w:szCs w:val="1"/>
                <w:color w:val="auto"/>
              </w:rPr>
            </w:pPr>
          </w:p>
        </w:tc>
      </w:tr>
      <w:tr>
        <w:trPr>
          <w:trHeight w:val="70"/>
        </w:trPr>
        <w:tc>
          <w:tcPr>
            <w:tcW w:w="1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20" w:type="dxa"/>
            <w:vAlign w:val="bottom"/>
            <w:vMerge w:val="restart"/>
          </w:tcPr>
          <w:p>
            <w:pPr>
              <w:jc w:val="right"/>
              <w:ind w:right="1"/>
              <w:spacing w:after="0"/>
              <w:rPr>
                <w:sz w:val="20"/>
                <w:szCs w:val="20"/>
                <w:color w:val="auto"/>
              </w:rPr>
            </w:pPr>
            <w:r>
              <w:rPr>
                <w:rFonts w:ascii="Arial" w:cs="Arial" w:eastAsia="Arial" w:hAnsi="Arial"/>
                <w:sz w:val="19"/>
                <w:szCs w:val="19"/>
                <w:color w:val="auto"/>
              </w:rPr>
              <w:t>serif'"&gt; (1)</w:t>
            </w:r>
          </w:p>
        </w:tc>
        <w:tc>
          <w:tcPr>
            <w:tcW w:w="0" w:type="dxa"/>
            <w:vAlign w:val="bottom"/>
          </w:tcPr>
          <w:p>
            <w:pPr>
              <w:spacing w:after="0"/>
              <w:rPr>
                <w:sz w:val="1"/>
                <w:szCs w:val="1"/>
                <w:color w:val="auto"/>
              </w:rPr>
            </w:pPr>
          </w:p>
        </w:tc>
      </w:tr>
      <w:tr>
        <w:trPr>
          <w:trHeight w:val="178"/>
        </w:trPr>
        <w:tc>
          <w:tcPr>
            <w:tcW w:w="1760" w:type="dxa"/>
            <w:vAlign w:val="bottom"/>
          </w:tcPr>
          <w:p>
            <w:pPr>
              <w:ind w:left="440"/>
              <w:spacing w:after="0"/>
              <w:rPr>
                <w:sz w:val="20"/>
                <w:szCs w:val="20"/>
                <w:color w:val="auto"/>
              </w:rPr>
            </w:pPr>
            <w:r>
              <w:rPr>
                <w:rFonts w:ascii="Arial" w:cs="Arial" w:eastAsia="Arial" w:hAnsi="Arial"/>
                <w:sz w:val="15"/>
                <w:szCs w:val="15"/>
                <w:color w:val="auto"/>
              </w:rPr>
              <w:t>instruments</w:t>
            </w:r>
          </w:p>
        </w:tc>
        <w:tc>
          <w:tcPr>
            <w:tcW w:w="200" w:type="dxa"/>
            <w:vAlign w:val="bottom"/>
          </w:tcPr>
          <w:p>
            <w:pPr>
              <w:spacing w:after="0"/>
              <w:rPr>
                <w:sz w:val="15"/>
                <w:szCs w:val="15"/>
                <w:color w:val="auto"/>
              </w:rPr>
            </w:pP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2"/>
          </w:tcPr>
          <w:p>
            <w:pPr>
              <w:ind w:left="1080"/>
              <w:spacing w:after="0"/>
              <w:rPr>
                <w:sz w:val="20"/>
                <w:szCs w:val="20"/>
                <w:color w:val="auto"/>
              </w:rPr>
            </w:pPr>
            <w:r>
              <w:rPr>
                <w:rFonts w:ascii="Arial" w:cs="Arial" w:eastAsia="Arial" w:hAnsi="Arial"/>
                <w:sz w:val="15"/>
                <w:szCs w:val="15"/>
                <w:color w:val="auto"/>
              </w:rPr>
              <w:t>&amp;nbs p;4</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4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440"/>
              <w:spacing w:after="0"/>
              <w:rPr>
                <w:sz w:val="20"/>
                <w:szCs w:val="20"/>
                <w:color w:val="auto"/>
              </w:rPr>
            </w:pPr>
            <w:r>
              <w:rPr>
                <w:rFonts w:ascii="Arial" w:cs="Arial" w:eastAsia="Arial" w:hAnsi="Arial"/>
                <w:sz w:val="15"/>
                <w:szCs w:val="15"/>
                <w:color w:val="auto"/>
              </w:rPr>
              <w:t>Net actuarial gain</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2"/>
        </w:trPr>
        <w:tc>
          <w:tcPr>
            <w:tcW w:w="1760" w:type="dxa"/>
            <w:vAlign w:val="bottom"/>
          </w:tcPr>
          <w:p>
            <w:pPr>
              <w:ind w:left="440"/>
              <w:spacing w:after="0" w:line="152" w:lineRule="exact"/>
              <w:rPr>
                <w:sz w:val="20"/>
                <w:szCs w:val="20"/>
                <w:color w:val="auto"/>
              </w:rPr>
            </w:pPr>
            <w:r>
              <w:rPr>
                <w:rFonts w:ascii="Arial" w:cs="Arial" w:eastAsia="Arial" w:hAnsi="Arial"/>
                <w:sz w:val="15"/>
                <w:szCs w:val="15"/>
                <w:color w:val="auto"/>
              </w:rPr>
              <w:t>Comprehensive</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60" w:type="dxa"/>
            <w:vAlign w:val="bottom"/>
          </w:tcPr>
          <w:p>
            <w:pPr>
              <w:ind w:left="440"/>
              <w:spacing w:after="0" w:line="169" w:lineRule="exact"/>
              <w:rPr>
                <w:sz w:val="20"/>
                <w:szCs w:val="20"/>
                <w:color w:val="auto"/>
              </w:rPr>
            </w:pPr>
            <w:r>
              <w:rPr>
                <w:rFonts w:ascii="Arial" w:cs="Arial" w:eastAsia="Arial" w:hAnsi="Arial"/>
                <w:sz w:val="15"/>
                <w:szCs w:val="15"/>
                <w:color w:val="auto"/>
              </w:rPr>
              <w:t>income (loss)</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line="169" w:lineRule="exact"/>
              <w:rPr>
                <w:sz w:val="20"/>
                <w:szCs w:val="20"/>
                <w:color w:val="auto"/>
              </w:rPr>
            </w:pPr>
            <w:r>
              <w:rPr>
                <w:rFonts w:ascii="Arial" w:cs="Arial" w:eastAsia="Arial" w:hAnsi="Arial"/>
                <w:sz w:val="15"/>
                <w:szCs w:val="15"/>
                <w:color w:val="auto"/>
              </w:rPr>
              <w:t>161</w:t>
            </w:r>
          </w:p>
        </w:tc>
        <w:tc>
          <w:tcPr>
            <w:tcW w:w="220" w:type="dxa"/>
            <w:vAlign w:val="bottom"/>
          </w:tcPr>
          <w:p>
            <w:pPr>
              <w:ind w:left="10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(25)</w:t>
            </w:r>
          </w:p>
        </w:tc>
        <w:tc>
          <w:tcPr>
            <w:tcW w:w="500" w:type="dxa"/>
            <w:vAlign w:val="bottom"/>
          </w:tcPr>
          <w:p>
            <w:pPr>
              <w:ind w:left="8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780" w:type="dxa"/>
            <w:vAlign w:val="bottom"/>
          </w:tcPr>
          <w:p>
            <w:pPr>
              <w:jc w:val="right"/>
              <w:ind w:right="62"/>
              <w:spacing w:after="0" w:line="169" w:lineRule="exact"/>
              <w:rPr>
                <w:sz w:val="20"/>
                <w:szCs w:val="20"/>
                <w:color w:val="auto"/>
              </w:rPr>
            </w:pPr>
            <w:r>
              <w:rPr>
                <w:rFonts w:ascii="Arial" w:cs="Arial" w:eastAsia="Arial" w:hAnsi="Arial"/>
                <w:sz w:val="15"/>
                <w:szCs w:val="15"/>
                <w:color w:val="auto"/>
              </w:rPr>
              <w:t>136</w:t>
            </w:r>
          </w:p>
        </w:tc>
        <w:tc>
          <w:tcPr>
            <w:tcW w:w="60" w:type="dxa"/>
            <w:vAlign w:val="bottom"/>
          </w:tcPr>
          <w:p>
            <w:pPr>
              <w:spacing w:after="0"/>
              <w:rPr>
                <w:sz w:val="16"/>
                <w:szCs w:val="16"/>
                <w:color w:val="auto"/>
              </w:rPr>
            </w:pPr>
          </w:p>
        </w:tc>
        <w:tc>
          <w:tcPr>
            <w:tcW w:w="19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174</w:t>
            </w:r>
          </w:p>
        </w:tc>
        <w:tc>
          <w:tcPr>
            <w:tcW w:w="18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24</w:t>
            </w:r>
          </w:p>
        </w:tc>
        <w:tc>
          <w:tcPr>
            <w:tcW w:w="440" w:type="dxa"/>
            <w:vAlign w:val="bottom"/>
          </w:tcPr>
          <w:p>
            <w:pPr>
              <w:jc w:val="right"/>
              <w:ind w:right="88"/>
              <w:spacing w:after="0" w:line="169" w:lineRule="exact"/>
              <w:rPr>
                <w:sz w:val="20"/>
                <w:szCs w:val="20"/>
                <w:color w:val="auto"/>
              </w:rPr>
            </w:pPr>
            <w:r>
              <w:rPr>
                <w:rFonts w:ascii="Arial" w:cs="Arial" w:eastAsia="Arial" w:hAnsi="Arial"/>
                <w:sz w:val="15"/>
                <w:szCs w:val="15"/>
                <w:color w:val="auto"/>
              </w:rPr>
              <w:t>$</w:t>
            </w:r>
          </w:p>
        </w:tc>
        <w:tc>
          <w:tcPr>
            <w:tcW w:w="1820" w:type="dxa"/>
            <w:vAlign w:val="bottom"/>
          </w:tcPr>
          <w:p>
            <w:pPr>
              <w:jc w:val="right"/>
              <w:ind w:right="41"/>
              <w:spacing w:after="0" w:line="169" w:lineRule="exact"/>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0"/>
        </w:trPr>
        <w:tc>
          <w:tcPr>
            <w:tcW w:w="1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60"/>
              <w:spacing w:after="0" w:line="200" w:lineRule="exact"/>
              <w:rPr>
                <w:sz w:val="20"/>
                <w:szCs w:val="20"/>
                <w:color w:val="auto"/>
              </w:rPr>
            </w:pPr>
            <w:r>
              <w:rPr>
                <w:rFonts w:ascii="Arial" w:cs="Arial" w:eastAsia="Arial" w:hAnsi="Arial"/>
                <w:sz w:val="19"/>
                <w:szCs w:val="19"/>
                <w:color w:val="auto"/>
              </w:rPr>
              <w:t>&amp;nbs</w:t>
            </w:r>
          </w:p>
        </w:tc>
        <w:tc>
          <w:tcPr>
            <w:tcW w:w="4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60" w:type="dxa"/>
            <w:vAlign w:val="bottom"/>
          </w:tcPr>
          <w:p>
            <w:pPr>
              <w:ind w:left="100"/>
              <w:spacing w:after="0"/>
              <w:rPr>
                <w:sz w:val="20"/>
                <w:szCs w:val="20"/>
                <w:color w:val="auto"/>
              </w:rPr>
            </w:pPr>
            <w:r>
              <w:rPr>
                <w:rFonts w:ascii="Arial" w:cs="Arial" w:eastAsia="Arial" w:hAnsi="Arial"/>
                <w:sz w:val="15"/>
                <w:szCs w:val="15"/>
                <w:b w:val="1"/>
                <w:bCs w:val="1"/>
                <w:color w:val="auto"/>
              </w:rPr>
              <w:t>PE:</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9"/>
                <w:szCs w:val="19"/>
                <w:color w:val="auto"/>
              </w:rPr>
              <w:t>p;</w:t>
            </w:r>
          </w:p>
        </w:tc>
        <w:tc>
          <w:tcPr>
            <w:tcW w:w="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440"/>
              <w:spacing w:after="0"/>
              <w:rPr>
                <w:sz w:val="20"/>
                <w:szCs w:val="20"/>
                <w:color w:val="auto"/>
              </w:rPr>
            </w:pPr>
            <w:r>
              <w:rPr>
                <w:rFonts w:ascii="Arial" w:cs="Arial" w:eastAsia="Arial" w:hAnsi="Arial"/>
                <w:sz w:val="15"/>
                <w:szCs w:val="15"/>
                <w:color w:val="auto"/>
              </w:rPr>
              <w:t>Net income(2)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136</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780" w:type="dxa"/>
            <w:vAlign w:val="bottom"/>
          </w:tcPr>
          <w:p>
            <w:pPr>
              <w:jc w:val="right"/>
              <w:ind w:right="62"/>
              <w:spacing w:after="0"/>
              <w:rPr>
                <w:sz w:val="20"/>
                <w:szCs w:val="20"/>
                <w:color w:val="auto"/>
              </w:rPr>
            </w:pPr>
            <w:r>
              <w:rPr>
                <w:rFonts w:ascii="Arial" w:cs="Arial" w:eastAsia="Arial" w:hAnsi="Arial"/>
                <w:sz w:val="15"/>
                <w:szCs w:val="15"/>
                <w:color w:val="auto"/>
              </w:rPr>
              <w:t>136</w:t>
            </w:r>
          </w:p>
        </w:tc>
        <w:tc>
          <w:tcPr>
            <w:tcW w:w="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122</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Financial</w:t>
            </w:r>
          </w:p>
        </w:tc>
        <w:tc>
          <w:tcPr>
            <w:tcW w:w="20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9"/>
                <w:szCs w:val="19"/>
                <w:color w:val="auto"/>
              </w:rPr>
              <w:t>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Pr>
          <w:p>
            <w:pPr>
              <w:ind w:left="440"/>
              <w:spacing w:after="0" w:line="169" w:lineRule="exact"/>
              <w:rPr>
                <w:sz w:val="20"/>
                <w:szCs w:val="20"/>
                <w:color w:val="auto"/>
              </w:rPr>
            </w:pPr>
            <w:r>
              <w:rPr>
                <w:rFonts w:ascii="Arial" w:cs="Arial" w:eastAsia="Arial" w:hAnsi="Arial"/>
                <w:sz w:val="15"/>
                <w:szCs w:val="15"/>
                <w:color w:val="auto"/>
              </w:rPr>
              <w:t>instruments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2"/>
              <w:spacing w:after="0" w:line="169" w:lineRule="exact"/>
              <w:rPr>
                <w:sz w:val="20"/>
                <w:szCs w:val="20"/>
                <w:color w:val="auto"/>
              </w:rPr>
            </w:pPr>
            <w:r>
              <w:rPr>
                <w:rFonts w:ascii="Arial" w:cs="Arial" w:eastAsia="Arial" w:hAnsi="Arial"/>
                <w:sz w:val="15"/>
                <w:szCs w:val="15"/>
                <w:color w:val="auto"/>
              </w:rPr>
              <w:t>1</w:t>
            </w: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color w:val="auto"/>
              </w:rPr>
              <w:t>2</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2"/>
        </w:trPr>
        <w:tc>
          <w:tcPr>
            <w:tcW w:w="1760" w:type="dxa"/>
            <w:vAlign w:val="bottom"/>
          </w:tcPr>
          <w:p>
            <w:pPr>
              <w:ind w:left="440"/>
              <w:spacing w:after="0" w:line="152" w:lineRule="exact"/>
              <w:rPr>
                <w:sz w:val="20"/>
                <w:szCs w:val="20"/>
                <w:color w:val="auto"/>
              </w:rPr>
            </w:pPr>
            <w:r>
              <w:rPr>
                <w:rFonts w:ascii="Arial" w:cs="Arial" w:eastAsia="Arial" w:hAnsi="Arial"/>
                <w:sz w:val="15"/>
                <w:szCs w:val="15"/>
                <w:color w:val="auto"/>
              </w:rPr>
              <w:t>Comprehensive</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ind w:right="46"/>
              <w:spacing w:after="0"/>
              <w:rPr>
                <w:sz w:val="20"/>
                <w:szCs w:val="20"/>
                <w:color w:val="auto"/>
              </w:rPr>
            </w:pPr>
            <w:r>
              <w:rPr>
                <w:rFonts w:ascii="Arial" w:cs="Arial" w:eastAsia="Arial" w:hAnsi="Arial"/>
                <w:sz w:val="15"/>
                <w:szCs w:val="15"/>
                <w:color w:val="auto"/>
              </w:rPr>
              <w:t>137</w:t>
            </w:r>
          </w:p>
        </w:tc>
        <w:tc>
          <w:tcPr>
            <w:tcW w:w="2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ind w:right="67"/>
              <w:spacing w:after="0"/>
              <w:rPr>
                <w:sz w:val="20"/>
                <w:szCs w:val="20"/>
                <w:color w:val="auto"/>
              </w:rPr>
            </w:pPr>
            <w:r>
              <w:rPr>
                <w:rFonts w:ascii="Arial" w:cs="Arial" w:eastAsia="Arial" w:hAnsi="Arial"/>
                <w:sz w:val="15"/>
                <w:szCs w:val="15"/>
                <w:color w:val="auto"/>
              </w:rPr>
              <w:t>-</w:t>
            </w:r>
          </w:p>
        </w:tc>
        <w:tc>
          <w:tcPr>
            <w:tcW w:w="5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780" w:type="dxa"/>
            <w:vAlign w:val="bottom"/>
            <w:vMerge w:val="restart"/>
          </w:tcPr>
          <w:p>
            <w:pPr>
              <w:jc w:val="right"/>
              <w:ind w:right="62"/>
              <w:spacing w:after="0"/>
              <w:rPr>
                <w:sz w:val="20"/>
                <w:szCs w:val="20"/>
                <w:color w:val="auto"/>
              </w:rPr>
            </w:pPr>
            <w:r>
              <w:rPr>
                <w:rFonts w:ascii="Arial" w:cs="Arial" w:eastAsia="Arial" w:hAnsi="Arial"/>
                <w:sz w:val="15"/>
                <w:szCs w:val="15"/>
                <w:color w:val="auto"/>
              </w:rPr>
              <w:t>137</w:t>
            </w:r>
          </w:p>
        </w:tc>
        <w:tc>
          <w:tcPr>
            <w:tcW w:w="60" w:type="dxa"/>
            <w:vAlign w:val="bottom"/>
          </w:tcPr>
          <w:p>
            <w:pPr>
              <w:spacing w:after="0"/>
              <w:rPr>
                <w:sz w:val="13"/>
                <w:szCs w:val="13"/>
                <w:color w:val="auto"/>
              </w:rPr>
            </w:pPr>
          </w:p>
        </w:tc>
        <w:tc>
          <w:tcPr>
            <w:tcW w:w="19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124</w:t>
            </w:r>
          </w:p>
        </w:tc>
        <w:tc>
          <w:tcPr>
            <w:tcW w:w="1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40" w:type="dxa"/>
            <w:vAlign w:val="bottom"/>
            <w:vMerge w:val="restart"/>
          </w:tcPr>
          <w:p>
            <w:pPr>
              <w:jc w:val="right"/>
              <w:ind w:right="88"/>
              <w:spacing w:after="0"/>
              <w:rPr>
                <w:sz w:val="20"/>
                <w:szCs w:val="20"/>
                <w:color w:val="auto"/>
              </w:rPr>
            </w:pPr>
            <w:r>
              <w:rPr>
                <w:rFonts w:ascii="Arial" w:cs="Arial" w:eastAsia="Arial" w:hAnsi="Arial"/>
                <w:sz w:val="15"/>
                <w:szCs w:val="15"/>
                <w:color w:val="auto"/>
              </w:rPr>
              <w:t>$</w:t>
            </w:r>
          </w:p>
        </w:tc>
        <w:tc>
          <w:tcPr>
            <w:tcW w:w="1820" w:type="dxa"/>
            <w:vAlign w:val="bottom"/>
            <w:vMerge w:val="restart"/>
          </w:tcPr>
          <w:p>
            <w:pPr>
              <w:jc w:val="right"/>
              <w:ind w:right="41"/>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tcPr>
          <w:p>
            <w:pPr>
              <w:ind w:left="440"/>
              <w:spacing w:after="0" w:line="156" w:lineRule="exact"/>
              <w:rPr>
                <w:sz w:val="20"/>
                <w:szCs w:val="20"/>
                <w:color w:val="auto"/>
              </w:rPr>
            </w:pPr>
            <w:r>
              <w:rPr>
                <w:rFonts w:ascii="Arial" w:cs="Arial" w:eastAsia="Arial" w:hAnsi="Arial"/>
                <w:sz w:val="15"/>
                <w:szCs w:val="15"/>
                <w:color w:val="auto"/>
              </w:rPr>
              <w:t>income</w:t>
            </w:r>
          </w:p>
        </w:tc>
        <w:tc>
          <w:tcPr>
            <w:tcW w:w="2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176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Arial" w:cs="Arial" w:eastAsia="Arial" w:hAnsi="Arial"/>
                <w:sz w:val="19"/>
                <w:szCs w:val="19"/>
                <w:color w:val="auto"/>
              </w:rPr>
              <w:t>&lt; /td&gt;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44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135</w:t>
            </w:r>
          </w:p>
        </w:tc>
        <w:tc>
          <w:tcPr>
            <w:tcW w:w="220" w:type="dxa"/>
            <w:vAlign w:val="bottom"/>
          </w:tcPr>
          <w:p>
            <w:pPr>
              <w:ind w:left="10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780" w:type="dxa"/>
            <w:vAlign w:val="bottom"/>
          </w:tcPr>
          <w:p>
            <w:pPr>
              <w:jc w:val="right"/>
              <w:ind w:right="62"/>
              <w:spacing w:after="0"/>
              <w:rPr>
                <w:sz w:val="20"/>
                <w:szCs w:val="20"/>
                <w:color w:val="auto"/>
              </w:rPr>
            </w:pPr>
            <w:r>
              <w:rPr>
                <w:rFonts w:ascii="Arial" w:cs="Arial" w:eastAsia="Arial" w:hAnsi="Arial"/>
                <w:sz w:val="15"/>
                <w:szCs w:val="15"/>
                <w:color w:val="auto"/>
              </w:rPr>
              <w:t>135</w:t>
            </w:r>
          </w:p>
        </w:tc>
        <w:tc>
          <w:tcPr>
            <w:tcW w:w="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125</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41"/>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70"/>
        </w:trPr>
        <w:tc>
          <w:tcPr>
            <w:tcW w:w="1760" w:type="dxa"/>
            <w:vAlign w:val="bottom"/>
          </w:tcPr>
          <w:p>
            <w:pPr>
              <w:ind w:left="440"/>
              <w:spacing w:after="0" w:line="171" w:lineRule="exact"/>
              <w:rPr>
                <w:sz w:val="20"/>
                <w:szCs w:val="20"/>
                <w:color w:val="auto"/>
              </w:rPr>
            </w:pPr>
            <w:r>
              <w:rPr>
                <w:rFonts w:ascii="Arial" w:cs="Arial" w:eastAsia="Arial" w:hAnsi="Arial"/>
                <w:sz w:val="15"/>
                <w:szCs w:val="15"/>
                <w:color w:val="auto"/>
              </w:rPr>
              <w:t>Financial</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vMerge w:val="restart"/>
          </w:tcPr>
          <w:p>
            <w:pPr>
              <w:jc w:val="right"/>
              <w:ind w:right="42"/>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760" w:type="dxa"/>
            <w:vAlign w:val="bottom"/>
            <w:vMerge w:val="restart"/>
          </w:tcPr>
          <w:p>
            <w:pPr>
              <w:ind w:left="440"/>
              <w:spacing w:after="0" w:line="169" w:lineRule="exact"/>
              <w:rPr>
                <w:sz w:val="20"/>
                <w:szCs w:val="20"/>
                <w:color w:val="auto"/>
              </w:rPr>
            </w:pPr>
            <w:r>
              <w:rPr>
                <w:rFonts w:ascii="Arial" w:cs="Arial" w:eastAsia="Arial" w:hAnsi="Arial"/>
                <w:sz w:val="15"/>
                <w:szCs w:val="15"/>
                <w:color w:val="auto"/>
              </w:rPr>
              <w:t>instruments</w:t>
            </w:r>
          </w:p>
        </w:tc>
        <w:tc>
          <w:tcPr>
            <w:tcW w:w="200" w:type="dxa"/>
            <w:vAlign w:val="bottom"/>
          </w:tcPr>
          <w:p>
            <w:pPr>
              <w:spacing w:after="0"/>
              <w:rPr>
                <w:sz w:val="7"/>
                <w:szCs w:val="7"/>
                <w:color w:val="auto"/>
              </w:rPr>
            </w:pPr>
          </w:p>
        </w:tc>
        <w:tc>
          <w:tcPr>
            <w:tcW w:w="580" w:type="dxa"/>
            <w:vAlign w:val="bottom"/>
            <w:vMerge w:val="restart"/>
          </w:tcPr>
          <w:p>
            <w:pPr>
              <w:jc w:val="right"/>
              <w:ind w:right="46"/>
              <w:spacing w:after="0" w:line="169"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7"/>
                <w:szCs w:val="7"/>
                <w:color w:val="auto"/>
              </w:rPr>
            </w:pPr>
          </w:p>
        </w:tc>
        <w:tc>
          <w:tcPr>
            <w:tcW w:w="580" w:type="dxa"/>
            <w:vAlign w:val="bottom"/>
            <w:vMerge w:val="restart"/>
          </w:tcPr>
          <w:p>
            <w:pPr>
              <w:jc w:val="right"/>
              <w:ind w:right="67"/>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vMerge w:val="restart"/>
          </w:tcPr>
          <w:p>
            <w:pPr>
              <w:jc w:val="right"/>
              <w:ind w:right="160"/>
              <w:spacing w:after="0" w:line="169" w:lineRule="exact"/>
              <w:rPr>
                <w:sz w:val="20"/>
                <w:szCs w:val="20"/>
                <w:color w:val="auto"/>
              </w:rPr>
            </w:pPr>
            <w:r>
              <w:rPr>
                <w:rFonts w:ascii="Arial" w:cs="Arial" w:eastAsia="Arial" w:hAnsi="Arial"/>
                <w:sz w:val="15"/>
                <w:szCs w:val="15"/>
                <w:color w:val="auto"/>
              </w:rPr>
              <w:t>2</w:t>
            </w:r>
          </w:p>
        </w:tc>
        <w:tc>
          <w:tcPr>
            <w:tcW w:w="180" w:type="dxa"/>
            <w:vAlign w:val="bottom"/>
          </w:tcPr>
          <w:p>
            <w:pPr>
              <w:spacing w:after="0"/>
              <w:rPr>
                <w:sz w:val="7"/>
                <w:szCs w:val="7"/>
                <w:color w:val="auto"/>
              </w:rPr>
            </w:pPr>
          </w:p>
        </w:tc>
        <w:tc>
          <w:tcPr>
            <w:tcW w:w="7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7"/>
                <w:szCs w:val="7"/>
                <w:color w:val="auto"/>
              </w:rPr>
            </w:pPr>
          </w:p>
        </w:tc>
        <w:tc>
          <w:tcPr>
            <w:tcW w:w="182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2"/>
          </w:tcPr>
          <w:p>
            <w:pPr>
              <w:ind w:left="40"/>
              <w:spacing w:after="0" w:line="193" w:lineRule="exact"/>
              <w:rPr>
                <w:sz w:val="20"/>
                <w:szCs w:val="20"/>
                <w:color w:val="auto"/>
              </w:rPr>
            </w:pPr>
            <w:r>
              <w:rPr>
                <w:rFonts w:ascii="Arial" w:cs="Arial" w:eastAsia="Arial" w:hAnsi="Arial"/>
                <w:sz w:val="19"/>
                <w:szCs w:val="19"/>
                <w:color w:val="auto"/>
              </w:rPr>
              <w:t>&lt; p</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9"/>
                <w:szCs w:val="19"/>
                <w:color w:val="auto"/>
              </w:rPr>
              <w:t>style="MARGIN:0in</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2"/>
          </w:tcPr>
          <w:p>
            <w:pPr>
              <w:ind w:left="40"/>
              <w:spacing w:after="0"/>
              <w:rPr>
                <w:sz w:val="20"/>
                <w:szCs w:val="20"/>
                <w:color w:val="auto"/>
              </w:rPr>
            </w:pPr>
            <w:r>
              <w:rPr>
                <w:rFonts w:ascii="Arial" w:cs="Arial" w:eastAsia="Arial" w:hAnsi="Arial"/>
                <w:sz w:val="19"/>
                <w:szCs w:val="19"/>
                <w:color w:val="auto"/>
              </w:rPr>
              <w:t>0in 0pt; TEXT-</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2"/>
          </w:tcPr>
          <w:p>
            <w:pPr>
              <w:ind w:left="40"/>
              <w:spacing w:after="0"/>
              <w:rPr>
                <w:sz w:val="20"/>
                <w:szCs w:val="20"/>
                <w:color w:val="auto"/>
              </w:rPr>
            </w:pPr>
            <w:r>
              <w:rPr>
                <w:rFonts w:ascii="Arial" w:cs="Arial" w:eastAsia="Arial" w:hAnsi="Arial"/>
                <w:sz w:val="19"/>
                <w:szCs w:val="19"/>
                <w:color w:val="auto"/>
              </w:rPr>
              <w:t>ALIGN:right"</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60" w:type="dxa"/>
            <w:vAlign w:val="bottom"/>
          </w:tcPr>
          <w:p>
            <w:pPr>
              <w:ind w:left="440"/>
              <w:spacing w:after="0"/>
              <w:rPr>
                <w:sz w:val="20"/>
                <w:szCs w:val="20"/>
                <w:color w:val="auto"/>
              </w:rPr>
            </w:pPr>
            <w:r>
              <w:rPr>
                <w:rFonts w:ascii="Arial" w:cs="Arial" w:eastAsia="Arial" w:hAnsi="Arial"/>
                <w:sz w:val="15"/>
                <w:szCs w:val="15"/>
                <w:color w:val="auto"/>
              </w:rPr>
              <w:t>Comprehensive</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Arial" w:cs="Arial" w:eastAsia="Arial" w:hAnsi="Arial"/>
                <w:sz w:val="19"/>
                <w:szCs w:val="19"/>
                <w:color w:val="auto"/>
              </w:rPr>
              <w:t xml:space="preserve">align=right&gt; </w:t>
            </w:r>
            <w:r>
              <w:rPr>
                <w:rFonts w:ascii="Arial" w:cs="Arial" w:eastAsia="Arial" w:hAnsi="Arial"/>
                <w:sz w:val="14"/>
                <w:szCs w:val="14"/>
                <w:color w:val="auto"/>
              </w:rPr>
              <w:t>136</w:t>
            </w:r>
          </w:p>
        </w:tc>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760" w:type="dxa"/>
            <w:vAlign w:val="bottom"/>
            <w:tcBorders>
              <w:bottom w:val="single" w:sz="8" w:color="auto"/>
            </w:tcBorders>
          </w:tcPr>
          <w:p>
            <w:pPr>
              <w:ind w:left="440"/>
              <w:spacing w:after="0" w:line="169" w:lineRule="exact"/>
              <w:rPr>
                <w:sz w:val="20"/>
                <w:szCs w:val="20"/>
                <w:color w:val="auto"/>
              </w:rPr>
            </w:pPr>
            <w:r>
              <w:rPr>
                <w:rFonts w:ascii="Arial" w:cs="Arial" w:eastAsia="Arial" w:hAnsi="Arial"/>
                <w:sz w:val="15"/>
                <w:szCs w:val="15"/>
                <w:color w:val="auto"/>
              </w:rPr>
              <w:t>income</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5"/>
                <w:szCs w:val="15"/>
                <w:color w:val="auto"/>
              </w:rPr>
              <w:t>136</w:t>
            </w:r>
          </w:p>
        </w:tc>
        <w:tc>
          <w:tcPr>
            <w:tcW w:w="22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color w:val="auto"/>
              </w:rPr>
              <w:t>127</w:t>
            </w:r>
          </w:p>
        </w:tc>
        <w:tc>
          <w:tcPr>
            <w:tcW w:w="18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3" w:hanging="341"/>
        <w:spacing w:after="0"/>
        <w:tabs>
          <w:tab w:leader="none" w:pos="443"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Shareholders' equity of Sempra Energy Consolidated, SDG&amp;E, PE or SoCalGas as indicated in left margin.</w:t>
      </w:r>
    </w:p>
    <w:p>
      <w:pPr>
        <w:spacing w:after="0" w:line="57" w:lineRule="exact"/>
        <w:rPr>
          <w:rFonts w:ascii="Arial" w:cs="Arial" w:eastAsia="Arial" w:hAnsi="Arial"/>
          <w:sz w:val="13"/>
          <w:szCs w:val="13"/>
          <w:i w:val="1"/>
          <w:iCs w:val="1"/>
          <w:color w:val="auto"/>
        </w:rPr>
      </w:pPr>
    </w:p>
    <w:p>
      <w:pPr>
        <w:ind w:left="443" w:hanging="341"/>
        <w:spacing w:after="0"/>
        <w:tabs>
          <w:tab w:leader="none" w:pos="443"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Before preferred dividends of subsidiaries.</w:t>
      </w:r>
    </w:p>
    <w:p>
      <w:pPr>
        <w:spacing w:after="0" w:line="38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amounts for comprehensive income in the tables above are net of income tax expense (benefit) as follows:</w:t>
      </w:r>
    </w:p>
    <w:p>
      <w:pPr>
        <w:spacing w:after="0" w:line="303" w:lineRule="exact"/>
        <w:rPr>
          <w:sz w:val="20"/>
          <w:szCs w:val="20"/>
          <w:color w:val="auto"/>
        </w:rPr>
      </w:pPr>
    </w:p>
    <w:p>
      <w:pPr>
        <w:ind w:left="3" w:right="440" w:hanging="3"/>
        <w:spacing w:after="0" w:line="276" w:lineRule="auto"/>
        <w:tabs>
          <w:tab w:leader="none" w:pos="1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td style="BORDER-RIGHT:0px; PADDING-RIGHT:5.75pt; BORDER-TOP:0px; PADDING-LEFT:5.75pt; BACKGROUND:white; PADDING-BOTTOM:0in; BORDER-LEFT:0px; PADDING-TOP:0in; BORDER-BOTTOM:0px; HEIGHT:12pt" valign=bottom&gt;</w:t>
      </w:r>
    </w:p>
    <w:p>
      <w:pPr>
        <w:spacing w:after="0" w:line="161" w:lineRule="exact"/>
        <w:rPr>
          <w:rFonts w:ascii="Arial" w:cs="Arial" w:eastAsia="Arial" w:hAnsi="Arial"/>
          <w:sz w:val="16"/>
          <w:szCs w:val="16"/>
          <w:color w:val="auto"/>
        </w:rPr>
      </w:pPr>
    </w:p>
    <w:p>
      <w:pPr>
        <w:ind w:left="3" w:right="440" w:hanging="3"/>
        <w:spacing w:after="0" w:line="261" w:lineRule="auto"/>
        <w:tabs>
          <w:tab w:leader="none" w:pos="1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td style="BORDER-RIGHT:0px; PADDING-RIGHT:5.75pt; BORDER-TOP:0px; PADDING-LEFT:5.75pt; BACKGROUND:white; PADDING-BOTTOM:0in; BORDER-LEFT:0px; PADDING-TOP:0in; BORDER-BOTTOM:silver 2.25pt solid; HEIGHT:12pt" valign=bottom&gt;</w:t>
      </w:r>
    </w:p>
    <w:p>
      <w:pPr>
        <w:ind w:left="11343"/>
        <w:spacing w:after="0"/>
        <w:rPr>
          <w:sz w:val="20"/>
          <w:szCs w:val="20"/>
          <w:color w:val="auto"/>
        </w:rPr>
      </w:pPr>
      <w:r>
        <w:rPr>
          <w:rFonts w:ascii="Arial" w:cs="Arial" w:eastAsia="Arial" w:hAnsi="Arial"/>
          <w:sz w:val="15"/>
          <w:szCs w:val="15"/>
          <w:color w:val="auto"/>
        </w:rPr>
        <w:t>$</w:t>
      </w:r>
    </w:p>
    <w:p>
      <w:pPr>
        <w:spacing w:after="0" w:line="1" w:lineRule="exact"/>
        <w:rPr>
          <w:sz w:val="20"/>
          <w:szCs w:val="20"/>
          <w:color w:val="auto"/>
        </w:rPr>
      </w:pPr>
    </w:p>
    <w:p>
      <w:pPr>
        <w:ind w:left="3" w:right="420" w:hanging="3"/>
        <w:spacing w:after="0" w:line="253" w:lineRule="auto"/>
        <w:tabs>
          <w:tab w:leader="none" w:pos="1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td colspan=13 style="BORDER-RIGHT:0px; PADDING-RIGHT:5.75pt; BORDER-TOP:0px; PADDING-LEFT:5.75pt; BACKGROUND:white; PADDING-BOTTOM:0in; BORDER-LEFT:0px; PADDING-TOP:0in; BORDER-BOTTOM:black 1pt solid; HEIGHT:12.75pt" valign=bottom&gt;</w:t>
      </w:r>
    </w:p>
    <w:p>
      <w:pPr>
        <w:sectPr>
          <w:pgSz w:w="11900" w:h="16838" w:orient="portrait"/>
          <w:cols w:equalWidth="0" w:num="1">
            <w:col w:w="11523"/>
          </w:cols>
          <w:pgMar w:left="237" w:top="120" w:right="139" w:bottom="0" w:gutter="0" w:footer="0" w:header="0"/>
        </w:sectPr>
      </w:pPr>
    </w:p>
    <w:p>
      <w:pPr>
        <w:spacing w:after="0" w:line="1" w:lineRule="exact"/>
        <w:rPr>
          <w:sz w:val="20"/>
          <w:szCs w:val="20"/>
          <w:color w:val="auto"/>
        </w:rPr>
      </w:pPr>
    </w:p>
    <w:p>
      <w:pPr>
        <w:jc w:val="center"/>
        <w:ind w:right="97"/>
        <w:spacing w:after="0"/>
        <w:rPr>
          <w:sz w:val="20"/>
          <w:szCs w:val="20"/>
          <w:color w:val="auto"/>
        </w:rPr>
      </w:pPr>
      <w:r>
        <w:rPr>
          <w:rFonts w:ascii="Arial" w:cs="Arial" w:eastAsia="Arial" w:hAnsi="Arial"/>
          <w:sz w:val="13"/>
          <w:szCs w:val="13"/>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5397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75" cy="23495"/>
                    </a:xfrm>
                    <a:prstGeom prst="rect">
                      <a:avLst/>
                    </a:prstGeom>
                    <a:noFill/>
                  </pic:spPr>
                </pic:pic>
              </a:graphicData>
            </a:graphic>
          </wp:anchor>
        </w:drawing>
      </w:r>
    </w:p>
    <w:p>
      <w:pPr>
        <w:sectPr>
          <w:pgSz w:w="11900" w:h="16838" w:orient="portrait"/>
          <w:cols w:equalWidth="0" w:num="1">
            <w:col w:w="11523"/>
          </w:cols>
          <w:pgMar w:left="237" w:top="120" w:right="139" w:bottom="0" w:gutter="0" w:footer="0" w:header="0"/>
          <w:type w:val="continuous"/>
        </w:sectPr>
      </w:pPr>
    </w:p>
    <w:bookmarkStart w:id="19" w:name="page20"/>
    <w:bookmarkEnd w:id="19"/>
    <w:p>
      <w:pPr>
        <w:spacing w:after="0" w:line="5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 w:lineRule="exact"/>
        <w:rPr>
          <w:sz w:val="20"/>
          <w:szCs w:val="20"/>
          <w:color w:val="auto"/>
        </w:rPr>
      </w:pPr>
    </w:p>
    <w:p>
      <w:pPr>
        <w:ind w:left="3" w:right="280" w:firstLine="83"/>
        <w:spacing w:after="0" w:line="258" w:lineRule="auto"/>
        <w:tabs>
          <w:tab w:leader="none" w:pos="21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td style="BORDER-RIGHT:0px; PADDING-RIGHT:5.75pt; BORDER-TOP:0px; PADDING-LEFT:5.75pt; BACKGROUND:white; PADDING-BOTTOM:0in; BORDER-LEFT:0px; PADDING-TOP:0in; BORDER-BOTTOM:0px; HEIGHT:10.5pt" valign=bottom&gt;</w:t>
      </w:r>
    </w:p>
    <w:p>
      <w:pPr>
        <w:spacing w:after="0" w:line="174" w:lineRule="exact"/>
        <w:rPr>
          <w:rFonts w:ascii="Arial" w:cs="Arial" w:eastAsia="Arial" w:hAnsi="Arial"/>
          <w:sz w:val="16"/>
          <w:szCs w:val="16"/>
          <w:color w:val="auto"/>
        </w:rPr>
      </w:pPr>
    </w:p>
    <w:p>
      <w:pPr>
        <w:ind w:left="3" w:right="360" w:hanging="3"/>
        <w:spacing w:after="0" w:line="276" w:lineRule="auto"/>
        <w:tabs>
          <w:tab w:leader="none" w:pos="1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td style="BORDER-RIGHT:0px; PADDING-RIGHT:5.75pt; BORDER-TOP:0px; PADDING-LEFT:5.75pt; BACKGROUND:white; PADDING-BOTTOM:0in; BORDER-LEFT:0px; PADDING-TOP:0in; BORDER-BOTTOM:0px; HEIGHT:13.5pt"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288280" cy="294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88280" cy="294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-517525</wp:posOffset>
            </wp:positionV>
            <wp:extent cx="5397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75" cy="23495"/>
                    </a:xfrm>
                    <a:prstGeom prst="rect">
                      <a:avLst/>
                    </a:prstGeom>
                    <a:noFill/>
                  </pic:spPr>
                </pic:pic>
              </a:graphicData>
            </a:graphic>
          </wp:anchor>
        </w:drawing>
      </w:r>
    </w:p>
    <w:p>
      <w:pPr>
        <w:spacing w:after="0" w:line="195"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INCOME TAX EXPENSE (BENEFIT) ASSOCIATED WITH OTHER COMPREHENSIVE INCOME</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320" w:type="dxa"/>
            <w:vAlign w:val="bottom"/>
            <w:gridSpan w:val="2"/>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3"/>
                <w:szCs w:val="13"/>
                <w:color w:val="auto"/>
              </w:rPr>
              <w:t>Three months ended June 30,</w:t>
            </w: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31"/>
              <w:spacing w:after="0"/>
              <w:rPr>
                <w:sz w:val="20"/>
                <w:szCs w:val="20"/>
                <w:color w:val="auto"/>
              </w:rPr>
            </w:pPr>
            <w:r>
              <w:rPr>
                <w:rFonts w:ascii="Arial" w:cs="Arial" w:eastAsia="Arial" w:hAnsi="Arial"/>
                <w:sz w:val="13"/>
                <w:szCs w:val="13"/>
                <w:color w:val="auto"/>
                <w:w w:val="96"/>
              </w:rPr>
              <w:t>2010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2009</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48"/>
              <w:spacing w:after="0"/>
              <w:rPr>
                <w:sz w:val="20"/>
                <w:szCs w:val="20"/>
                <w:color w:val="auto"/>
              </w:rPr>
            </w:pPr>
            <w:r>
              <w:rPr>
                <w:rFonts w:ascii="Arial" w:cs="Arial" w:eastAsia="Arial" w:hAnsi="Arial"/>
                <w:sz w:val="13"/>
                <w:szCs w:val="13"/>
                <w:color w:val="auto"/>
                <w:w w:val="98"/>
              </w:rPr>
              <w:t>Share - -</w:t>
            </w:r>
          </w:p>
        </w:tc>
        <w:tc>
          <w:tcPr>
            <w:tcW w:w="600" w:type="dxa"/>
            <w:vAlign w:val="bottom"/>
          </w:tcPr>
          <w:p>
            <w:pPr>
              <w:jc w:val="center"/>
              <w:ind w:left="131"/>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27"/>
              <w:spacing w:after="0"/>
              <w:rPr>
                <w:sz w:val="20"/>
                <w:szCs w:val="20"/>
                <w:color w:val="auto"/>
              </w:rPr>
            </w:pPr>
            <w:r>
              <w:rPr>
                <w:rFonts w:ascii="Arial" w:cs="Arial" w:eastAsia="Arial" w:hAnsi="Arial"/>
                <w:sz w:val="13"/>
                <w:szCs w:val="13"/>
                <w:color w:val="auto"/>
              </w:rPr>
              <w:t>Share-</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9"/>
              </w:rPr>
              <w:t>Non-</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48"/>
              <w:spacing w:after="0"/>
              <w:rPr>
                <w:sz w:val="20"/>
                <w:szCs w:val="20"/>
                <w:color w:val="auto"/>
              </w:rPr>
            </w:pPr>
            <w:r>
              <w:rPr>
                <w:rFonts w:ascii="Arial" w:cs="Arial" w:eastAsia="Arial" w:hAnsi="Arial"/>
                <w:sz w:val="13"/>
                <w:szCs w:val="13"/>
                <w:color w:val="auto"/>
              </w:rPr>
              <w:t>holders'</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controlling</w:t>
            </w:r>
          </w:p>
        </w:tc>
        <w:tc>
          <w:tcPr>
            <w:tcW w:w="240" w:type="dxa"/>
            <w:vAlign w:val="bottom"/>
          </w:tcPr>
          <w:p>
            <w:pPr>
              <w:spacing w:after="0"/>
              <w:rPr>
                <w:sz w:val="19"/>
                <w:szCs w:val="19"/>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3"/>
                <w:szCs w:val="13"/>
                <w:color w:val="auto"/>
                <w:w w:val="89"/>
              </w:rPr>
              <w:t>Total</w:t>
            </w: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holders'</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7"/>
              </w:rPr>
              <w:t>controlling</w:t>
            </w:r>
          </w:p>
        </w:tc>
        <w:tc>
          <w:tcPr>
            <w:tcW w:w="340" w:type="dxa"/>
            <w:vAlign w:val="bottom"/>
          </w:tcPr>
          <w:p>
            <w:pPr>
              <w:spacing w:after="0"/>
              <w:rPr>
                <w:sz w:val="19"/>
                <w:szCs w:val="19"/>
                <w:color w:val="auto"/>
              </w:rPr>
            </w:pPr>
          </w:p>
        </w:tc>
        <w:tc>
          <w:tcPr>
            <w:tcW w:w="820" w:type="dxa"/>
            <w:vAlign w:val="bottom"/>
          </w:tcPr>
          <w:p>
            <w:pPr>
              <w:jc w:val="center"/>
              <w:ind w:right="269"/>
              <w:spacing w:after="0"/>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ind w:right="148"/>
              <w:spacing w:after="0"/>
              <w:rPr>
                <w:sz w:val="20"/>
                <w:szCs w:val="20"/>
                <w:color w:val="auto"/>
              </w:rPr>
            </w:pPr>
            <w:r>
              <w:rPr>
                <w:rFonts w:ascii="Arial" w:cs="Arial" w:eastAsia="Arial" w:hAnsi="Arial"/>
                <w:sz w:val="13"/>
                <w:szCs w:val="13"/>
                <w:color w:val="auto"/>
                <w:w w:val="96"/>
              </w:rPr>
              <w:t>Equity(1)</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Interests</w:t>
            </w:r>
          </w:p>
        </w:tc>
        <w:tc>
          <w:tcPr>
            <w:tcW w:w="240" w:type="dxa"/>
            <w:vAlign w:val="bottom"/>
          </w:tcPr>
          <w:p>
            <w:pPr>
              <w:spacing w:after="0"/>
              <w:rPr>
                <w:sz w:val="17"/>
                <w:szCs w:val="17"/>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3"/>
                <w:szCs w:val="13"/>
                <w:color w:val="auto"/>
                <w:w w:val="99"/>
              </w:rPr>
              <w:t>Equity</w:t>
            </w:r>
          </w:p>
        </w:tc>
        <w:tc>
          <w:tcPr>
            <w:tcW w:w="800" w:type="dxa"/>
            <w:vAlign w:val="bottom"/>
            <w:gridSpan w:val="2"/>
          </w:tcPr>
          <w:p>
            <w:pPr>
              <w:jc w:val="right"/>
              <w:ind w:right="67"/>
              <w:spacing w:after="0"/>
              <w:rPr>
                <w:sz w:val="20"/>
                <w:szCs w:val="20"/>
                <w:color w:val="auto"/>
              </w:rPr>
            </w:pPr>
            <w:r>
              <w:rPr>
                <w:rFonts w:ascii="Arial" w:cs="Arial" w:eastAsia="Arial" w:hAnsi="Arial"/>
                <w:sz w:val="13"/>
                <w:szCs w:val="13"/>
                <w:color w:val="auto"/>
              </w:rPr>
              <w:t>Equity(1)</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rPr>
              <w:t>Interests</w:t>
            </w:r>
          </w:p>
        </w:tc>
        <w:tc>
          <w:tcPr>
            <w:tcW w:w="340" w:type="dxa"/>
            <w:vAlign w:val="bottom"/>
          </w:tcPr>
          <w:p>
            <w:pPr>
              <w:spacing w:after="0"/>
              <w:rPr>
                <w:sz w:val="17"/>
                <w:szCs w:val="17"/>
                <w:color w:val="auto"/>
              </w:rPr>
            </w:pPr>
          </w:p>
        </w:tc>
        <w:tc>
          <w:tcPr>
            <w:tcW w:w="820" w:type="dxa"/>
            <w:vAlign w:val="bottom"/>
          </w:tcPr>
          <w:p>
            <w:pPr>
              <w:jc w:val="center"/>
              <w:ind w:right="269"/>
              <w:spacing w:after="0"/>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219"/>
        </w:trPr>
        <w:tc>
          <w:tcPr>
            <w:tcW w:w="232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(6)</w:t>
            </w:r>
          </w:p>
        </w:tc>
        <w:tc>
          <w:tcPr>
            <w:tcW w:w="600" w:type="dxa"/>
            <w:vAlign w:val="bottom"/>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67"/>
              <w:spacing w:after="0"/>
              <w:rPr>
                <w:sz w:val="20"/>
                <w:szCs w:val="20"/>
                <w:color w:val="auto"/>
              </w:rPr>
            </w:pPr>
            <w:r>
              <w:rPr>
                <w:rFonts w:ascii="Arial" w:cs="Arial" w:eastAsia="Arial" w:hAnsi="Arial"/>
                <w:sz w:val="15"/>
                <w:szCs w:val="15"/>
                <w:color w:val="auto"/>
              </w:rPr>
              <w:t>12</w:t>
            </w:r>
          </w:p>
        </w:tc>
        <w:tc>
          <w:tcPr>
            <w:tcW w:w="380" w:type="dxa"/>
            <w:vAlign w:val="bottom"/>
          </w:tcPr>
          <w:p>
            <w:pPr>
              <w:ind w:left="200"/>
              <w:spacing w:after="0"/>
              <w:rPr>
                <w:sz w:val="20"/>
                <w:szCs w:val="20"/>
                <w:color w:val="auto"/>
              </w:rPr>
            </w:pPr>
            <w:r>
              <w:rPr>
                <w:rFonts w:ascii="Arial" w:cs="Arial" w:eastAsia="Arial" w:hAnsi="Arial"/>
                <w:sz w:val="15"/>
                <w:szCs w:val="15"/>
                <w:color w:val="auto"/>
              </w:rPr>
              <w:t>$</w:t>
            </w:r>
          </w:p>
        </w:tc>
        <w:tc>
          <w:tcPr>
            <w:tcW w:w="400" w:type="dxa"/>
            <w:vAlign w:val="bottom"/>
          </w:tcPr>
          <w:p>
            <w:pPr>
              <w:ind w:left="22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9"/>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ind w:left="80"/>
              <w:spacing w:after="0"/>
              <w:rPr>
                <w:sz w:val="20"/>
                <w:szCs w:val="20"/>
                <w:color w:val="auto"/>
              </w:rPr>
            </w:pPr>
            <w:r>
              <w:rPr>
                <w:rFonts w:ascii="Arial" w:cs="Arial" w:eastAsia="Arial" w:hAnsi="Arial"/>
                <w:sz w:val="15"/>
                <w:szCs w:val="15"/>
                <w:color w:val="auto"/>
              </w:rPr>
              <w:t>Available-for-sale securities</w:t>
            </w:r>
          </w:p>
        </w:tc>
        <w:tc>
          <w:tcPr>
            <w:tcW w:w="2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w:t>
            </w:r>
          </w:p>
        </w:tc>
        <w:tc>
          <w:tcPr>
            <w:tcW w:w="600" w:type="dxa"/>
            <w:vAlign w:val="bottom"/>
          </w:tcPr>
          <w:p>
            <w:pPr>
              <w:spacing w:after="0"/>
              <w:rPr>
                <w:sz w:val="19"/>
                <w:szCs w:val="19"/>
                <w:color w:val="auto"/>
              </w:rPr>
            </w:pPr>
          </w:p>
        </w:tc>
        <w:tc>
          <w:tcPr>
            <w:tcW w:w="200" w:type="dxa"/>
            <w:vAlign w:val="bottom"/>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400" w:type="dxa"/>
            <w:vAlign w:val="bottom"/>
          </w:tcPr>
          <w:p>
            <w:pPr>
              <w:ind w:left="3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820" w:type="dxa"/>
            <w:vAlign w:val="bottom"/>
          </w:tcPr>
          <w:p>
            <w:pPr>
              <w:jc w:val="right"/>
              <w:ind w:right="4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Net actuarial gain</w:t>
            </w:r>
          </w:p>
        </w:tc>
        <w:tc>
          <w:tcPr>
            <w:tcW w:w="240" w:type="dxa"/>
            <w:vAlign w:val="bottom"/>
            <w:tcBorders>
              <w:bottom w:val="single" w:sz="8" w:color="C0C0C0"/>
            </w:tcBorders>
          </w:tcPr>
          <w:p>
            <w:pPr>
              <w:spacing w:after="0"/>
              <w:rPr>
                <w:sz w:val="19"/>
                <w:szCs w:val="19"/>
                <w:color w:val="auto"/>
              </w:rPr>
            </w:pP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1</w:t>
            </w:r>
          </w:p>
        </w:tc>
        <w:tc>
          <w:tcPr>
            <w:tcW w:w="600" w:type="dxa"/>
            <w:vAlign w:val="bottom"/>
            <w:tcBorders>
              <w:bottom w:val="single" w:sz="8" w:color="C0C0C0"/>
            </w:tcBorders>
          </w:tcPr>
          <w:p>
            <w:pPr>
              <w:spacing w:after="0"/>
              <w:rPr>
                <w:sz w:val="19"/>
                <w:szCs w:val="19"/>
                <w:color w:val="auto"/>
              </w:rPr>
            </w:pP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C0C0C0"/>
            </w:tcBorders>
          </w:tcPr>
          <w:p>
            <w:pPr>
              <w:spacing w:after="0"/>
              <w:rPr>
                <w:sz w:val="19"/>
                <w:szCs w:val="19"/>
                <w:color w:val="auto"/>
              </w:rPr>
            </w:pPr>
          </w:p>
        </w:tc>
        <w:tc>
          <w:tcPr>
            <w:tcW w:w="360" w:type="dxa"/>
            <w:vAlign w:val="bottom"/>
            <w:tcBorders>
              <w:bottom w:val="single" w:sz="8" w:color="C0C0C0"/>
            </w:tcBorders>
          </w:tcPr>
          <w:p>
            <w:pPr>
              <w:spacing w:after="0"/>
              <w:rPr>
                <w:sz w:val="19"/>
                <w:szCs w:val="19"/>
                <w:color w:val="auto"/>
              </w:rPr>
            </w:pP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C0C0C0"/>
            </w:tcBorders>
          </w:tcPr>
          <w:p>
            <w:pPr>
              <w:spacing w:after="0"/>
              <w:rPr>
                <w:sz w:val="19"/>
                <w:szCs w:val="19"/>
                <w:color w:val="auto"/>
              </w:rPr>
            </w:pP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spacing w:after="0"/>
              <w:rPr>
                <w:sz w:val="19"/>
                <w:szCs w:val="19"/>
                <w:color w:val="auto"/>
              </w:rPr>
            </w:pPr>
          </w:p>
        </w:tc>
        <w:tc>
          <w:tcPr>
            <w:tcW w:w="82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SDG&amp;E: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bottom w:val="single" w:sz="8" w:color="C0C0C0"/>
            </w:tcBorders>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0C0C0"/>
            </w:tcBorders>
          </w:tcPr>
          <w:p>
            <w:pPr>
              <w:spacing w:after="0"/>
              <w:rPr>
                <w:sz w:val="19"/>
                <w:szCs w:val="19"/>
                <w:color w:val="auto"/>
              </w:rPr>
            </w:pPr>
          </w:p>
        </w:tc>
        <w:tc>
          <w:tcPr>
            <w:tcW w:w="36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Pr>
          <w:p>
            <w:pPr>
              <w:ind w:left="30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PE:</w:t>
            </w:r>
          </w:p>
        </w:tc>
        <w:tc>
          <w:tcPr>
            <w:tcW w:w="2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9"/>
                <w:szCs w:val="19"/>
                <w:color w:val="auto"/>
              </w:rPr>
              <w:t>&amp;n bsp;</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0" w:type="dxa"/>
            <w:vAlign w:val="bottom"/>
            <w:tcBorders>
              <w:bottom w:val="single" w:sz="8" w:color="C0C0C0"/>
            </w:tcBorders>
          </w:tcPr>
          <w:p>
            <w:pPr>
              <w:spacing w:after="0"/>
              <w:rPr>
                <w:sz w:val="18"/>
                <w:szCs w:val="18"/>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1</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C0C0C0"/>
            </w:tcBorders>
          </w:tcPr>
          <w:p>
            <w:pPr>
              <w:spacing w:after="0"/>
              <w:rPr>
                <w:sz w:val="18"/>
                <w:szCs w:val="18"/>
                <w:color w:val="auto"/>
              </w:rPr>
            </w:pPr>
          </w:p>
        </w:tc>
        <w:tc>
          <w:tcPr>
            <w:tcW w:w="36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SoCalGas: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bottom w:val="single" w:sz="8" w:color="C0C0C0"/>
            </w:tcBorders>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1</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C0C0C0"/>
            </w:tcBorders>
          </w:tcPr>
          <w:p>
            <w:pPr>
              <w:spacing w:after="0"/>
              <w:rPr>
                <w:sz w:val="19"/>
                <w:szCs w:val="19"/>
                <w:color w:val="auto"/>
              </w:rPr>
            </w:pPr>
          </w:p>
        </w:tc>
        <w:tc>
          <w:tcPr>
            <w:tcW w:w="36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2009</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48"/>
              <w:spacing w:after="0"/>
              <w:rPr>
                <w:sz w:val="20"/>
                <w:szCs w:val="20"/>
                <w:color w:val="auto"/>
              </w:rPr>
            </w:pPr>
            <w:r>
              <w:rPr>
                <w:rFonts w:ascii="Arial" w:cs="Arial" w:eastAsia="Arial" w:hAnsi="Arial"/>
                <w:sz w:val="13"/>
                <w:szCs w:val="13"/>
                <w:color w:val="auto"/>
                <w:w w:val="97"/>
              </w:rPr>
              <w:t>Share-</w:t>
            </w:r>
          </w:p>
        </w:tc>
        <w:tc>
          <w:tcPr>
            <w:tcW w:w="600" w:type="dxa"/>
            <w:vAlign w:val="bottom"/>
          </w:tcPr>
          <w:p>
            <w:pPr>
              <w:jc w:val="center"/>
              <w:ind w:left="131"/>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27"/>
              <w:spacing w:after="0"/>
              <w:rPr>
                <w:sz w:val="20"/>
                <w:szCs w:val="20"/>
                <w:color w:val="auto"/>
              </w:rPr>
            </w:pPr>
            <w:r>
              <w:rPr>
                <w:rFonts w:ascii="Arial" w:cs="Arial" w:eastAsia="Arial" w:hAnsi="Arial"/>
                <w:sz w:val="13"/>
                <w:szCs w:val="13"/>
                <w:color w:val="auto"/>
              </w:rPr>
              <w:t>Share-</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9"/>
              </w:rPr>
              <w:t>Non-</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48"/>
              <w:spacing w:after="0"/>
              <w:rPr>
                <w:sz w:val="20"/>
                <w:szCs w:val="20"/>
                <w:color w:val="auto"/>
              </w:rPr>
            </w:pPr>
            <w:r>
              <w:rPr>
                <w:rFonts w:ascii="Arial" w:cs="Arial" w:eastAsia="Arial" w:hAnsi="Arial"/>
                <w:sz w:val="13"/>
                <w:szCs w:val="13"/>
                <w:color w:val="auto"/>
              </w:rPr>
              <w:t>holders'</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controlling</w:t>
            </w:r>
          </w:p>
        </w:tc>
        <w:tc>
          <w:tcPr>
            <w:tcW w:w="240" w:type="dxa"/>
            <w:vAlign w:val="bottom"/>
          </w:tcPr>
          <w:p>
            <w:pPr>
              <w:spacing w:after="0"/>
              <w:rPr>
                <w:sz w:val="19"/>
                <w:szCs w:val="19"/>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3"/>
                <w:szCs w:val="13"/>
                <w:color w:val="auto"/>
                <w:w w:val="89"/>
              </w:rPr>
              <w:t>Total</w:t>
            </w: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holders'</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7"/>
              </w:rPr>
              <w:t>controlling</w:t>
            </w:r>
          </w:p>
        </w:tc>
        <w:tc>
          <w:tcPr>
            <w:tcW w:w="340" w:type="dxa"/>
            <w:vAlign w:val="bottom"/>
          </w:tcPr>
          <w:p>
            <w:pPr>
              <w:spacing w:after="0"/>
              <w:rPr>
                <w:sz w:val="19"/>
                <w:szCs w:val="19"/>
                <w:color w:val="auto"/>
              </w:rPr>
            </w:pPr>
          </w:p>
        </w:tc>
        <w:tc>
          <w:tcPr>
            <w:tcW w:w="820" w:type="dxa"/>
            <w:vAlign w:val="bottom"/>
          </w:tcPr>
          <w:p>
            <w:pPr>
              <w:jc w:val="center"/>
              <w:ind w:right="269"/>
              <w:spacing w:after="0"/>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206"/>
        </w:trPr>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color w:val="auto"/>
                <w:w w:val="99"/>
              </w:rPr>
              <w:t>Equity(1)</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Interests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3"/>
                <w:szCs w:val="13"/>
                <w:color w:val="auto"/>
                <w:w w:val="99"/>
              </w:rPr>
              <w:t>Equity</w:t>
            </w:r>
          </w:p>
        </w:tc>
        <w:tc>
          <w:tcPr>
            <w:tcW w:w="80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3"/>
                <w:szCs w:val="13"/>
                <w:color w:val="auto"/>
              </w:rPr>
              <w:t>Equity(1)</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Interests</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69"/>
              <w:spacing w:after="0"/>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219"/>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(6)</w:t>
            </w:r>
          </w:p>
        </w:tc>
        <w:tc>
          <w:tcPr>
            <w:tcW w:w="600" w:type="dxa"/>
            <w:vAlign w:val="bottom"/>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67"/>
              <w:spacing w:after="0"/>
              <w:rPr>
                <w:sz w:val="20"/>
                <w:szCs w:val="20"/>
                <w:color w:val="auto"/>
              </w:rPr>
            </w:pPr>
            <w:r>
              <w:rPr>
                <w:rFonts w:ascii="Arial" w:cs="Arial" w:eastAsia="Arial" w:hAnsi="Arial"/>
                <w:sz w:val="15"/>
                <w:szCs w:val="15"/>
                <w:color w:val="auto"/>
              </w:rPr>
              <w:t>14</w:t>
            </w:r>
          </w:p>
        </w:tc>
        <w:tc>
          <w:tcPr>
            <w:tcW w:w="380" w:type="dxa"/>
            <w:vAlign w:val="bottom"/>
          </w:tcPr>
          <w:p>
            <w:pPr>
              <w:ind w:left="200"/>
              <w:spacing w:after="0"/>
              <w:rPr>
                <w:sz w:val="20"/>
                <w:szCs w:val="20"/>
                <w:color w:val="auto"/>
              </w:rPr>
            </w:pPr>
            <w:r>
              <w:rPr>
                <w:rFonts w:ascii="Arial" w:cs="Arial" w:eastAsia="Arial" w:hAnsi="Arial"/>
                <w:sz w:val="15"/>
                <w:szCs w:val="15"/>
                <w:color w:val="auto"/>
              </w:rPr>
              <w:t>$</w:t>
            </w:r>
          </w:p>
        </w:tc>
        <w:tc>
          <w:tcPr>
            <w:tcW w:w="400" w:type="dxa"/>
            <w:vAlign w:val="bottom"/>
          </w:tcPr>
          <w:p>
            <w:pPr>
              <w:ind w:left="22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9"/>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960" w:type="dxa"/>
            <w:vAlign w:val="bottom"/>
          </w:tcPr>
          <w:p>
            <w:pPr>
              <w:ind w:left="80"/>
              <w:spacing w:after="0"/>
              <w:rPr>
                <w:sz w:val="20"/>
                <w:szCs w:val="20"/>
                <w:color w:val="auto"/>
              </w:rPr>
            </w:pPr>
            <w:r>
              <w:rPr>
                <w:rFonts w:ascii="Arial" w:cs="Arial" w:eastAsia="Arial" w:hAnsi="Arial"/>
                <w:sz w:val="15"/>
                <w:szCs w:val="15"/>
                <w:color w:val="auto"/>
              </w:rPr>
              <w:t>Available-for-sale securities</w:t>
            </w:r>
          </w:p>
        </w:tc>
        <w:tc>
          <w:tcPr>
            <w:tcW w:w="2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w:t>
            </w:r>
          </w:p>
        </w:tc>
        <w:tc>
          <w:tcPr>
            <w:tcW w:w="600" w:type="dxa"/>
            <w:vAlign w:val="bottom"/>
          </w:tcPr>
          <w:p>
            <w:pPr>
              <w:spacing w:after="0"/>
              <w:rPr>
                <w:sz w:val="19"/>
                <w:szCs w:val="19"/>
                <w:color w:val="auto"/>
              </w:rPr>
            </w:pPr>
          </w:p>
        </w:tc>
        <w:tc>
          <w:tcPr>
            <w:tcW w:w="200" w:type="dxa"/>
            <w:vAlign w:val="bottom"/>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3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4&amp;nb sp;</w:t>
            </w:r>
          </w:p>
        </w:tc>
        <w:tc>
          <w:tcPr>
            <w:tcW w:w="0" w:type="dxa"/>
            <w:vAlign w:val="bottom"/>
          </w:tcPr>
          <w:p>
            <w:pPr>
              <w:spacing w:after="0"/>
              <w:rPr>
                <w:sz w:val="1"/>
                <w:szCs w:val="1"/>
                <w:color w:val="auto"/>
              </w:rPr>
            </w:pPr>
          </w:p>
        </w:tc>
      </w:tr>
      <w:tr>
        <w:trPr>
          <w:trHeight w:val="228"/>
        </w:trPr>
        <w:tc>
          <w:tcPr>
            <w:tcW w:w="360" w:type="dxa"/>
            <w:vAlign w:val="bottom"/>
            <w:tcBorders>
              <w:bottom w:val="single" w:sz="8" w:color="C0C0C0"/>
            </w:tcBorders>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Net actuarial gain</w:t>
            </w:r>
          </w:p>
        </w:tc>
        <w:tc>
          <w:tcPr>
            <w:tcW w:w="240" w:type="dxa"/>
            <w:vAlign w:val="bottom"/>
            <w:tcBorders>
              <w:bottom w:val="single" w:sz="8" w:color="C0C0C0"/>
            </w:tcBorders>
          </w:tcPr>
          <w:p>
            <w:pPr>
              <w:spacing w:after="0"/>
              <w:rPr>
                <w:sz w:val="19"/>
                <w:szCs w:val="19"/>
                <w:color w:val="auto"/>
              </w:rPr>
            </w:pP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2</w:t>
            </w:r>
          </w:p>
        </w:tc>
        <w:tc>
          <w:tcPr>
            <w:tcW w:w="600" w:type="dxa"/>
            <w:vAlign w:val="bottom"/>
            <w:tcBorders>
              <w:bottom w:val="single" w:sz="8" w:color="C0C0C0"/>
            </w:tcBorders>
          </w:tcPr>
          <w:p>
            <w:pPr>
              <w:spacing w:after="0"/>
              <w:rPr>
                <w:sz w:val="19"/>
                <w:szCs w:val="19"/>
                <w:color w:val="auto"/>
              </w:rPr>
            </w:pP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C0C0C0"/>
            </w:tcBorders>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2</w:t>
            </w:r>
          </w:p>
        </w:tc>
        <w:tc>
          <w:tcPr>
            <w:tcW w:w="380" w:type="dxa"/>
            <w:vAlign w:val="bottom"/>
            <w:tcBorders>
              <w:bottom w:val="single" w:sz="8" w:color="C0C0C0"/>
            </w:tcBorders>
          </w:tcPr>
          <w:p>
            <w:pPr>
              <w:spacing w:after="0"/>
              <w:rPr>
                <w:sz w:val="19"/>
                <w:szCs w:val="19"/>
                <w:color w:val="auto"/>
              </w:rPr>
            </w:pPr>
          </w:p>
        </w:tc>
        <w:tc>
          <w:tcPr>
            <w:tcW w:w="400" w:type="dxa"/>
            <w:vAlign w:val="bottom"/>
            <w:tcBorders>
              <w:bottom w:val="single" w:sz="8" w:color="C0C0C0"/>
            </w:tcBorders>
          </w:tcPr>
          <w:p>
            <w:pPr>
              <w:ind w:left="30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spacing w:after="0"/>
              <w:rPr>
                <w:sz w:val="19"/>
                <w:szCs w:val="19"/>
                <w:color w:val="auto"/>
              </w:rPr>
            </w:pPr>
          </w:p>
        </w:tc>
        <w:tc>
          <w:tcPr>
            <w:tcW w:w="820" w:type="dxa"/>
            <w:vAlign w:val="bottom"/>
            <w:tcBorders>
              <w:bottom w:val="single" w:sz="8" w:color="C0C0C0"/>
            </w:tcBorders>
          </w:tcPr>
          <w:p>
            <w:pPr>
              <w:jc w:val="right"/>
              <w:ind w:right="9"/>
              <w:spacing w:after="0"/>
              <w:rPr>
                <w:sz w:val="20"/>
                <w:szCs w:val="20"/>
                <w:color w:val="auto"/>
              </w:rPr>
            </w:pPr>
            <w:r>
              <w:rPr>
                <w:rFonts w:ascii="Arial" w:cs="Arial" w:eastAsia="Arial" w:hAnsi="Arial"/>
                <w:sz w:val="15"/>
                <w:szCs w:val="15"/>
                <w:color w:val="auto"/>
              </w:rPr>
              <w:t>2&amp;nb sp;</w:t>
            </w:r>
          </w:p>
        </w:tc>
        <w:tc>
          <w:tcPr>
            <w:tcW w:w="0" w:type="dxa"/>
            <w:vAlign w:val="bottom"/>
          </w:tcPr>
          <w:p>
            <w:pPr>
              <w:spacing w:after="0"/>
              <w:rPr>
                <w:sz w:val="1"/>
                <w:szCs w:val="1"/>
                <w:color w:val="auto"/>
              </w:rPr>
            </w:pPr>
          </w:p>
        </w:tc>
      </w:tr>
      <w:tr>
        <w:trPr>
          <w:trHeight w:val="22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SDG&amp;E: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9"/>
                <w:szCs w:val="19"/>
                <w:color w:val="auto"/>
              </w:rPr>
              <w:t xml:space="preserve">&amp;n bsp;  </w:t>
            </w: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0C0C0"/>
            </w:tcBorders>
            <w:gridSpan w:val="2"/>
            <w:vMerge w:val="continue"/>
          </w:tcPr>
          <w:p>
            <w:pPr>
              <w:spacing w:after="0"/>
              <w:rPr>
                <w:sz w:val="19"/>
                <w:szCs w:val="19"/>
                <w:color w:val="auto"/>
              </w:rPr>
            </w:pPr>
          </w:p>
        </w:tc>
        <w:tc>
          <w:tcPr>
            <w:tcW w:w="360" w:type="dxa"/>
            <w:vAlign w:val="bottom"/>
            <w:tcBorders>
              <w:bottom w:val="single" w:sz="8" w:color="C0C0C0"/>
            </w:tcBorders>
          </w:tcPr>
          <w:p>
            <w:pPr>
              <w:ind w:left="140"/>
              <w:spacing w:after="0"/>
              <w:rPr>
                <w:sz w:val="20"/>
                <w:szCs w:val="20"/>
                <w:color w:val="auto"/>
              </w:rPr>
            </w:pPr>
            <w:r>
              <w:rPr>
                <w:rFonts w:ascii="Arial" w:cs="Arial" w:eastAsia="Arial" w:hAnsi="Arial"/>
                <w:sz w:val="15"/>
                <w:szCs w:val="15"/>
                <w:color w:val="auto"/>
              </w:rPr>
              <w:t>1</w:t>
            </w:r>
          </w:p>
        </w:tc>
        <w:tc>
          <w:tcPr>
            <w:tcW w:w="440" w:type="dxa"/>
            <w:vAlign w:val="bottom"/>
            <w:tcBorders>
              <w:bottom w:val="single" w:sz="8" w:color="C0C0C0"/>
            </w:tcBorders>
          </w:tcPr>
          <w:p>
            <w:pPr>
              <w:jc w:val="right"/>
              <w:ind w:right="27"/>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PE: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bottom w:val="single" w:sz="8" w:color="C0C0C0"/>
            </w:tcBorders>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1</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36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7"/>
        </w:trPr>
        <w:tc>
          <w:tcPr>
            <w:tcW w:w="2320" w:type="dxa"/>
            <w:vAlign w:val="bottom"/>
            <w:gridSpan w:val="2"/>
          </w:tcPr>
          <w:p>
            <w:pPr>
              <w:ind w:left="100"/>
              <w:spacing w:after="0"/>
              <w:rPr>
                <w:sz w:val="20"/>
                <w:szCs w:val="20"/>
                <w:color w:val="auto"/>
              </w:rPr>
            </w:pPr>
            <w:r>
              <w:rPr>
                <w:rFonts w:ascii="Arial" w:cs="Arial" w:eastAsia="Arial" w:hAnsi="Arial"/>
                <w:sz w:val="15"/>
                <w:szCs w:val="15"/>
                <w:b w:val="1"/>
                <w:bCs w:val="1"/>
                <w:color w:val="auto"/>
              </w:rPr>
              <w:t>SoCalGas: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bottom w:val="single" w:sz="8" w:color="C0C0C0"/>
            </w:tcBorders>
          </w:tcPr>
          <w:p>
            <w:pPr>
              <w:spacing w:after="0"/>
              <w:rPr>
                <w:sz w:val="19"/>
                <w:szCs w:val="19"/>
                <w:color w:val="auto"/>
              </w:rPr>
            </w:pPr>
          </w:p>
        </w:tc>
        <w:tc>
          <w:tcPr>
            <w:tcW w:w="1960" w:type="dxa"/>
            <w:vAlign w:val="bottom"/>
            <w:tcBorders>
              <w:bottom w:val="single" w:sz="8" w:color="C0C0C0"/>
            </w:tcBorders>
          </w:tcPr>
          <w:p>
            <w:pPr>
              <w:ind w:left="80"/>
              <w:spacing w:after="0"/>
              <w:rPr>
                <w:sz w:val="20"/>
                <w:szCs w:val="20"/>
                <w:color w:val="auto"/>
              </w:rPr>
            </w:pPr>
            <w:r>
              <w:rPr>
                <w:rFonts w:ascii="Arial" w:cs="Arial" w:eastAsia="Arial" w:hAnsi="Arial"/>
                <w:sz w:val="15"/>
                <w:szCs w:val="15"/>
                <w:color w:val="auto"/>
              </w:rPr>
              <w:t>Financial instruments</w:t>
            </w:r>
          </w:p>
        </w:tc>
        <w:tc>
          <w:tcPr>
            <w:tcW w:w="2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1</w:t>
            </w:r>
          </w:p>
        </w:tc>
        <w:tc>
          <w:tcPr>
            <w:tcW w:w="600" w:type="dxa"/>
            <w:vAlign w:val="bottom"/>
            <w:tcBorders>
              <w:bottom w:val="single" w:sz="8" w:color="C0C0C0"/>
            </w:tcBorders>
          </w:tcPr>
          <w:p>
            <w:pPr>
              <w:jc w:val="right"/>
              <w:ind w:right="271"/>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C0C0C0"/>
            </w:tcBorders>
          </w:tcPr>
          <w:p>
            <w:pPr>
              <w:ind w:left="1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C0C0C0"/>
            </w:tcBorders>
          </w:tcPr>
          <w:p>
            <w:pPr>
              <w:spacing w:after="0"/>
              <w:rPr>
                <w:sz w:val="19"/>
                <w:szCs w:val="19"/>
                <w:color w:val="auto"/>
              </w:rPr>
            </w:pPr>
          </w:p>
        </w:tc>
        <w:tc>
          <w:tcPr>
            <w:tcW w:w="36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C0C0C0"/>
            </w:tcBorders>
          </w:tcPr>
          <w:p>
            <w:pPr>
              <w:ind w:lef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ind w:lef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0C0C0"/>
            </w:tcBorders>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3" w:hanging="349"/>
        <w:spacing w:after="0"/>
        <w:tabs>
          <w:tab w:leader="none" w:pos="443"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Shareholders' equity of Sempra Energy Consolidated, SDG&amp;E, PE or SoCalGas as indicated in left margin.</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165" w:lineRule="exact"/>
        <w:rPr>
          <w:sz w:val="20"/>
          <w:szCs w:val="20"/>
          <w:color w:val="auto"/>
        </w:rPr>
      </w:pPr>
    </w:p>
    <w:p>
      <w:pPr>
        <w:ind w:left="3" w:right="340"/>
        <w:spacing w:after="0" w:line="310" w:lineRule="auto"/>
        <w:rPr>
          <w:sz w:val="20"/>
          <w:szCs w:val="20"/>
          <w:color w:val="auto"/>
        </w:rPr>
      </w:pPr>
      <w:r>
        <w:rPr>
          <w:rFonts w:ascii="Arial" w:cs="Arial" w:eastAsia="Arial" w:hAnsi="Arial"/>
          <w:sz w:val="15"/>
          <w:szCs w:val="15"/>
          <w:color w:val="auto"/>
        </w:rPr>
        <w:t>The following two tables provide a reconciliation of Sempra Energy and SDG&amp;E shareholders’ equity and noncontrolling interests for the six months ended June 30, 2010 and 2009. There were no changes in the equity of PE's noncontrolling interests for the three months or six months ended June 30, 2010 or 2009.</w:t>
      </w:r>
    </w:p>
    <w:p>
      <w:pPr>
        <w:spacing w:after="0" w:line="200" w:lineRule="exact"/>
        <w:rPr>
          <w:sz w:val="20"/>
          <w:szCs w:val="20"/>
          <w:color w:val="auto"/>
        </w:rPr>
      </w:pPr>
    </w:p>
    <w:p>
      <w:pPr>
        <w:spacing w:after="0" w:line="242" w:lineRule="exact"/>
        <w:rPr>
          <w:sz w:val="20"/>
          <w:szCs w:val="20"/>
          <w:color w:val="auto"/>
        </w:rPr>
      </w:pPr>
    </w:p>
    <w:p>
      <w:pPr>
        <w:ind w:left="3"/>
        <w:spacing w:after="0"/>
        <w:rPr>
          <w:sz w:val="20"/>
          <w:szCs w:val="20"/>
          <w:color w:val="auto"/>
        </w:rPr>
      </w:pPr>
      <w:r>
        <w:rPr>
          <w:rFonts w:ascii="Arial" w:cs="Arial" w:eastAsia="Arial" w:hAnsi="Arial"/>
          <w:sz w:val="15"/>
          <w:szCs w:val="15"/>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4523105" cy="294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23105" cy="294005"/>
                    </a:xfrm>
                    <a:prstGeom prst="rect">
                      <a:avLst/>
                    </a:prstGeom>
                    <a:noFill/>
                  </pic:spPr>
                </pic:pic>
              </a:graphicData>
            </a:graphic>
          </wp:anchor>
        </w:drawing>
      </w:r>
    </w:p>
    <w:p>
      <w:pPr>
        <w:spacing w:after="0" w:line="216"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SHAREHOLDERS' EQUITY AND NONCONTROLLING INTERESTS</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334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9"/>
        </w:trPr>
        <w:tc>
          <w:tcPr>
            <w:tcW w:w="3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Sempra</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Energy</w:t>
            </w:r>
          </w:p>
        </w:tc>
        <w:tc>
          <w:tcPr>
            <w:tcW w:w="420" w:type="dxa"/>
            <w:vAlign w:val="bottom"/>
          </w:tcPr>
          <w:p>
            <w:pPr>
              <w:spacing w:after="0"/>
              <w:rPr>
                <w:sz w:val="19"/>
                <w:szCs w:val="19"/>
                <w:color w:val="auto"/>
              </w:rPr>
            </w:pPr>
          </w:p>
        </w:tc>
        <w:tc>
          <w:tcPr>
            <w:tcW w:w="680" w:type="dxa"/>
            <w:vAlign w:val="bottom"/>
          </w:tcPr>
          <w:p>
            <w:pPr>
              <w:jc w:val="right"/>
              <w:ind w:right="88"/>
              <w:spacing w:after="0"/>
              <w:rPr>
                <w:sz w:val="20"/>
                <w:szCs w:val="20"/>
                <w:color w:val="auto"/>
              </w:rPr>
            </w:pPr>
            <w:r>
              <w:rPr>
                <w:rFonts w:ascii="Arial" w:cs="Arial" w:eastAsia="Arial" w:hAnsi="Arial"/>
                <w:sz w:val="13"/>
                <w:szCs w:val="13"/>
                <w:color w:val="auto"/>
              </w:rPr>
              <w:t>Non-</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Shareholders'</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controlling</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3"/>
                <w:szCs w:val="13"/>
                <w:color w:val="auto"/>
              </w:rPr>
              <w:t>Total</w:t>
            </w:r>
          </w:p>
        </w:tc>
      </w:tr>
      <w:tr>
        <w:trPr>
          <w:trHeight w:val="206"/>
        </w:trPr>
        <w:tc>
          <w:tcPr>
            <w:tcW w:w="3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Equity</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Interests</w:t>
            </w: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Equity</w:t>
            </w:r>
          </w:p>
        </w:tc>
      </w:tr>
      <w:tr>
        <w:trPr>
          <w:trHeight w:val="182"/>
        </w:trPr>
        <w:tc>
          <w:tcPr>
            <w:tcW w:w="3340" w:type="dxa"/>
            <w:vAlign w:val="bottom"/>
          </w:tcPr>
          <w:p>
            <w:pPr>
              <w:ind w:left="100"/>
              <w:spacing w:after="0"/>
              <w:rPr>
                <w:sz w:val="20"/>
                <w:szCs w:val="20"/>
                <w:color w:val="auto"/>
              </w:rPr>
            </w:pPr>
            <w:r>
              <w:rPr>
                <w:rFonts w:ascii="Arial" w:cs="Arial" w:eastAsia="Arial" w:hAnsi="Arial"/>
                <w:sz w:val="15"/>
                <w:szCs w:val="15"/>
                <w:color w:val="auto"/>
              </w:rPr>
              <w:t>Balance at December 31, 2009</w:t>
            </w:r>
          </w:p>
        </w:tc>
        <w:tc>
          <w:tcPr>
            <w:tcW w:w="50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9,007</w:t>
            </w:r>
          </w:p>
        </w:tc>
        <w:tc>
          <w:tcPr>
            <w:tcW w:w="4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244</w:t>
            </w:r>
          </w:p>
        </w:tc>
        <w:tc>
          <w:tcPr>
            <w:tcW w:w="6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9,251</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Comprehensive income (loss)</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303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279</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Share-based compensation expense</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22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22</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Common stock dividends declared</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(193)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(193)</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Preferred dividends of subsidiaries</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(5)</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Issuance of common stock</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46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46</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w w:val="98"/>
              </w:rPr>
              <w:t>Tax benefit related to share-based compensation</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1</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Repurchase of common stock</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(2)</w:t>
            </w:r>
          </w:p>
        </w:tc>
      </w:tr>
      <w:tr>
        <w:trPr>
          <w:trHeight w:val="212"/>
        </w:trPr>
        <w:tc>
          <w:tcPr>
            <w:tcW w:w="3340" w:type="dxa"/>
            <w:vAlign w:val="bottom"/>
          </w:tcPr>
          <w:p>
            <w:pPr>
              <w:ind w:left="100"/>
              <w:spacing w:after="0"/>
              <w:rPr>
                <w:sz w:val="20"/>
                <w:szCs w:val="20"/>
                <w:color w:val="auto"/>
              </w:rPr>
            </w:pPr>
            <w:r>
              <w:rPr>
                <w:rFonts w:ascii="Arial" w:cs="Arial" w:eastAsia="Arial" w:hAnsi="Arial"/>
                <w:sz w:val="15"/>
                <w:szCs w:val="15"/>
                <w:color w:val="auto"/>
              </w:rPr>
              <w:t>Common stock released from ESOP</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9"/>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11</w:t>
            </w:r>
          </w:p>
        </w:tc>
      </w:tr>
      <w:tr>
        <w:trPr>
          <w:trHeight w:val="228"/>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Balance at June 30, 2010</w:t>
            </w:r>
          </w:p>
        </w:tc>
        <w:tc>
          <w:tcPr>
            <w:tcW w:w="5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7"/>
              <w:spacing w:after="0" w:line="212" w:lineRule="exact"/>
              <w:rPr>
                <w:sz w:val="20"/>
                <w:szCs w:val="20"/>
                <w:color w:val="auto"/>
              </w:rPr>
            </w:pPr>
            <w:r>
              <w:rPr>
                <w:rFonts w:ascii="Arial" w:cs="Arial" w:eastAsia="Arial" w:hAnsi="Arial"/>
                <w:sz w:val="19"/>
                <w:szCs w:val="19"/>
                <w:color w:val="auto"/>
              </w:rPr>
              <w:t>9,190</w:t>
            </w:r>
          </w:p>
        </w:tc>
        <w:tc>
          <w:tcPr>
            <w:tcW w:w="4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c>
          <w:tcPr>
            <w:tcW w:w="62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9,410</w:t>
            </w:r>
          </w:p>
        </w:tc>
      </w:tr>
      <w:tr>
        <w:trPr>
          <w:trHeight w:val="178"/>
        </w:trPr>
        <w:tc>
          <w:tcPr>
            <w:tcW w:w="3340" w:type="dxa"/>
            <w:vAlign w:val="bottom"/>
          </w:tcPr>
          <w:p>
            <w:pPr>
              <w:ind w:left="100"/>
              <w:spacing w:after="0"/>
              <w:rPr>
                <w:sz w:val="20"/>
                <w:szCs w:val="20"/>
                <w:color w:val="auto"/>
              </w:rPr>
            </w:pPr>
            <w:r>
              <w:rPr>
                <w:rFonts w:ascii="Arial" w:cs="Arial" w:eastAsia="Arial" w:hAnsi="Arial"/>
                <w:sz w:val="15"/>
                <w:szCs w:val="15"/>
                <w:color w:val="auto"/>
              </w:rPr>
              <w:t>Balance at December 31, 2008</w:t>
            </w:r>
          </w:p>
        </w:tc>
        <w:tc>
          <w:tcPr>
            <w:tcW w:w="50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7,969</w:t>
            </w:r>
          </w:p>
        </w:tc>
        <w:tc>
          <w:tcPr>
            <w:tcW w:w="4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340</w:t>
            </w:r>
          </w:p>
        </w:tc>
        <w:tc>
          <w:tcPr>
            <w:tcW w:w="6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8,309</w:t>
            </w:r>
          </w:p>
        </w:tc>
      </w:tr>
      <w:tr>
        <w:trPr>
          <w:trHeight w:val="219"/>
        </w:trPr>
        <w:tc>
          <w:tcPr>
            <w:tcW w:w="3340" w:type="dxa"/>
            <w:vAlign w:val="bottom"/>
          </w:tcPr>
          <w:p>
            <w:pPr>
              <w:spacing w:after="0"/>
              <w:rPr>
                <w:sz w:val="19"/>
                <w:szCs w:val="19"/>
                <w:color w:val="auto"/>
              </w:rPr>
            </w:pPr>
          </w:p>
        </w:tc>
        <w:tc>
          <w:tcPr>
            <w:tcW w:w="500" w:type="dxa"/>
            <w:vAlign w:val="bottom"/>
          </w:tcPr>
          <w:p>
            <w:pPr>
              <w:jc w:val="right"/>
              <w:ind w:right="27"/>
              <w:spacing w:after="0"/>
              <w:rPr>
                <w:sz w:val="20"/>
                <w:szCs w:val="20"/>
                <w:color w:val="auto"/>
              </w:rPr>
            </w:pPr>
            <w:r>
              <w:rPr>
                <w:rFonts w:ascii="Arial" w:cs="Arial" w:eastAsia="Arial" w:hAnsi="Arial"/>
                <w:sz w:val="15"/>
                <w:szCs w:val="15"/>
                <w:color w:val="auto"/>
              </w:rPr>
              <w:t>637</w:t>
            </w:r>
          </w:p>
        </w:tc>
        <w:tc>
          <w:tcPr>
            <w:tcW w:w="920" w:type="dxa"/>
            <w:vAlign w:val="bottom"/>
          </w:tcPr>
          <w:p>
            <w:pPr>
              <w:spacing w:after="0"/>
              <w:rPr>
                <w:sz w:val="19"/>
                <w:szCs w:val="19"/>
                <w:color w:val="auto"/>
              </w:rPr>
            </w:pP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680" w:type="dxa"/>
            <w:vAlign w:val="bottom"/>
          </w:tcPr>
          <w:p>
            <w:pPr>
              <w:spacing w:after="0"/>
              <w:rPr>
                <w:sz w:val="19"/>
                <w:szCs w:val="19"/>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629</w:t>
            </w:r>
          </w:p>
        </w:tc>
        <w:tc>
          <w:tcPr>
            <w:tcW w:w="640" w:type="dxa"/>
            <w:vAlign w:val="bottom"/>
          </w:tcPr>
          <w:p>
            <w:pPr>
              <w:spacing w:after="0"/>
              <w:rPr>
                <w:sz w:val="19"/>
                <w:szCs w:val="19"/>
                <w:color w:val="auto"/>
              </w:rPr>
            </w:pP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Purchase of noncontrolling interest in subsidiary</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(94)</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Share-based compensation expense</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20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-&amp;n bsp;</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20</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Common stock dividends d eclared</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(190)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(190)</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Preferred dividends of subsidiaries</w:t>
            </w:r>
          </w:p>
        </w:tc>
        <w:tc>
          <w:tcPr>
            <w:tcW w:w="500" w:type="dxa"/>
            <w:vAlign w:val="bottom"/>
          </w:tcPr>
          <w:p>
            <w:pPr>
              <w:spacing w:after="0"/>
              <w:rPr>
                <w:sz w:val="19"/>
                <w:szCs w:val="19"/>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(5)</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rPr>
              <w:t>Issuance of common stock</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44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19"/>
        </w:trPr>
        <w:tc>
          <w:tcPr>
            <w:tcW w:w="3340" w:type="dxa"/>
            <w:vAlign w:val="bottom"/>
          </w:tcPr>
          <w:p>
            <w:pPr>
              <w:ind w:left="100"/>
              <w:spacing w:after="0"/>
              <w:rPr>
                <w:sz w:val="20"/>
                <w:szCs w:val="20"/>
                <w:color w:val="auto"/>
              </w:rPr>
            </w:pPr>
            <w:r>
              <w:rPr>
                <w:rFonts w:ascii="Arial" w:cs="Arial" w:eastAsia="Arial" w:hAnsi="Arial"/>
                <w:sz w:val="15"/>
                <w:szCs w:val="15"/>
                <w:color w:val="auto"/>
                <w:w w:val="98"/>
              </w:rPr>
              <w:t>Tax benefit related to share-based compensation</w:t>
            </w:r>
          </w:p>
        </w:tc>
        <w:tc>
          <w:tcPr>
            <w:tcW w:w="50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5</w:t>
            </w:r>
          </w:p>
        </w:tc>
      </w:tr>
      <w:tr>
        <w:trPr>
          <w:trHeight w:val="213"/>
        </w:trPr>
        <w:tc>
          <w:tcPr>
            <w:tcW w:w="3340" w:type="dxa"/>
            <w:vAlign w:val="bottom"/>
          </w:tcPr>
          <w:p>
            <w:pPr>
              <w:ind w:left="100"/>
              <w:spacing w:after="0"/>
              <w:rPr>
                <w:sz w:val="20"/>
                <w:szCs w:val="20"/>
                <w:color w:val="auto"/>
              </w:rPr>
            </w:pPr>
            <w:r>
              <w:rPr>
                <w:rFonts w:ascii="Arial" w:cs="Arial" w:eastAsia="Arial" w:hAnsi="Arial"/>
                <w:sz w:val="15"/>
                <w:szCs w:val="15"/>
                <w:color w:val="auto"/>
              </w:rPr>
              <w:t>Common stock released from ESOP</w:t>
            </w:r>
          </w:p>
        </w:tc>
        <w:tc>
          <w:tcPr>
            <w:tcW w:w="500" w:type="dxa"/>
            <w:vAlign w:val="bottom"/>
          </w:tcPr>
          <w:p>
            <w:pPr>
              <w:spacing w:after="0"/>
              <w:rPr>
                <w:sz w:val="18"/>
                <w:szCs w:val="18"/>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7</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7</w:t>
            </w:r>
          </w:p>
        </w:tc>
      </w:tr>
      <w:tr>
        <w:trPr>
          <w:trHeight w:val="176"/>
        </w:trPr>
        <w:tc>
          <w:tcPr>
            <w:tcW w:w="3340" w:type="dxa"/>
            <w:vAlign w:val="bottom"/>
          </w:tcPr>
          <w:p>
            <w:pPr>
              <w:ind w:left="100"/>
              <w:spacing w:after="0"/>
              <w:rPr>
                <w:sz w:val="20"/>
                <w:szCs w:val="20"/>
                <w:color w:val="auto"/>
              </w:rPr>
            </w:pPr>
            <w:r>
              <w:rPr>
                <w:rFonts w:ascii="Arial" w:cs="Arial" w:eastAsia="Arial" w:hAnsi="Arial"/>
                <w:sz w:val="15"/>
                <w:szCs w:val="15"/>
                <w:color w:val="auto"/>
              </w:rPr>
              <w:t>Equity contributed by noncontrolling interests</w:t>
            </w:r>
          </w:p>
        </w:tc>
        <w:tc>
          <w:tcPr>
            <w:tcW w:w="50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6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5"/>
                <w:szCs w:val="15"/>
                <w:color w:val="auto"/>
              </w:rPr>
              <w:t>7</w:t>
            </w:r>
          </w:p>
        </w:tc>
      </w:tr>
    </w:tbl>
    <w:p>
      <w:pPr>
        <w:sectPr>
          <w:pgSz w:w="11900" w:h="16895" w:orient="portrait"/>
          <w:cols w:equalWidth="0" w:num="1">
            <w:col w:w="11443"/>
          </w:cols>
          <w:pgMar w:left="237" w:top="141" w:right="219" w:bottom="0" w:gutter="0" w:footer="0" w:header="0"/>
        </w:sectPr>
      </w:pPr>
    </w:p>
    <w:bookmarkStart w:id="20" w:name="page21"/>
    <w:bookmarkEnd w:id="20"/>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4264025</wp:posOffset>
            </wp:positionH>
            <wp:positionV relativeFrom="page">
              <wp:posOffset>135255</wp:posOffset>
            </wp:positionV>
            <wp:extent cx="40957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9575" cy="7620"/>
                    </a:xfrm>
                    <a:prstGeom prst="rect">
                      <a:avLst/>
                    </a:prstGeom>
                    <a:noFill/>
                  </pic:spPr>
                </pic:pic>
              </a:graphicData>
            </a:graphic>
          </wp:anchor>
        </w:drawing>
        <w:drawing>
          <wp:anchor simplePos="0" relativeHeight="251657728" behindDoc="1" locked="0" layoutInCell="0" allowOverlap="1">
            <wp:simplePos x="0" y="0"/>
            <wp:positionH relativeFrom="page">
              <wp:posOffset>2609215</wp:posOffset>
            </wp:positionH>
            <wp:positionV relativeFrom="page">
              <wp:posOffset>135255</wp:posOffset>
            </wp:positionV>
            <wp:extent cx="13220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Balance at June 30, 2009</w:t>
            </w:r>
          </w:p>
        </w:tc>
        <w:tc>
          <w:tcPr>
            <w:tcW w:w="32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8,477</w:t>
            </w:r>
          </w:p>
        </w:tc>
        <w:tc>
          <w:tcPr>
            <w:tcW w:w="1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8,732</w:t>
            </w:r>
          </w:p>
        </w:tc>
      </w:tr>
      <w:tr>
        <w:trPr>
          <w:trHeight w:val="195"/>
        </w:trPr>
        <w:tc>
          <w:tcPr>
            <w:tcW w:w="4280" w:type="dxa"/>
            <w:vAlign w:val="bottom"/>
            <w:tcBorders>
              <w:bottom w:val="single" w:sz="8" w:color="auto"/>
            </w:tcBorders>
            <w:gridSpan w:val="5"/>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4640" w:type="dxa"/>
            <w:vAlign w:val="bottom"/>
            <w:gridSpan w:val="7"/>
            <w:shd w:val="clear" w:color="auto" w:fill="C0C0C0"/>
          </w:tcPr>
          <w:p>
            <w:pPr>
              <w:ind w:left="100"/>
              <w:spacing w:after="0"/>
              <w:rPr>
                <w:sz w:val="20"/>
                <w:szCs w:val="20"/>
                <w:color w:val="auto"/>
              </w:rPr>
            </w:pPr>
            <w:r>
              <w:rPr>
                <w:rFonts w:ascii="Arial" w:cs="Arial" w:eastAsia="Arial" w:hAnsi="Arial"/>
                <w:sz w:val="15"/>
                <w:szCs w:val="15"/>
                <w:b w:val="1"/>
                <w:bCs w:val="1"/>
                <w:color w:val="auto"/>
              </w:rPr>
              <w:t>SHAREHOLDERS' EQUITY AND NONCONTROLLING INTEREST</w:t>
            </w:r>
          </w:p>
        </w:tc>
        <w:tc>
          <w:tcPr>
            <w:tcW w:w="12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0"/>
        </w:trPr>
        <w:tc>
          <w:tcPr>
            <w:tcW w:w="3020" w:type="dxa"/>
            <w:vAlign w:val="bottom"/>
            <w:shd w:val="clear" w:color="auto" w:fill="C0C0C0"/>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3"/>
        </w:trPr>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auto"/>
              </w:rPr>
              <w:t>SDG&amp;E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9"/>
        </w:trPr>
        <w:tc>
          <w:tcPr>
            <w:tcW w:w="3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auto"/>
                <w:w w:val="97"/>
              </w:rPr>
              <w:t>Shareholders'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color w:val="auto"/>
              </w:rPr>
              <w:t>controlling</w:t>
            </w:r>
          </w:p>
        </w:tc>
        <w:tc>
          <w:tcPr>
            <w:tcW w:w="200" w:type="dxa"/>
            <w:vAlign w:val="bottom"/>
          </w:tcPr>
          <w:p>
            <w:pPr>
              <w:spacing w:after="0"/>
              <w:rPr>
                <w:sz w:val="19"/>
                <w:szCs w:val="19"/>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3"/>
                <w:szCs w:val="13"/>
                <w:color w:val="auto"/>
                <w:w w:val="96"/>
              </w:rPr>
              <w:t>Total</w:t>
            </w:r>
          </w:p>
        </w:tc>
        <w:tc>
          <w:tcPr>
            <w:tcW w:w="640" w:type="dxa"/>
            <w:vAlign w:val="bottom"/>
          </w:tcPr>
          <w:p>
            <w:pPr>
              <w:spacing w:after="0"/>
              <w:rPr>
                <w:sz w:val="19"/>
                <w:szCs w:val="19"/>
                <w:color w:val="auto"/>
              </w:rPr>
            </w:pPr>
          </w:p>
        </w:tc>
      </w:tr>
      <w:tr>
        <w:trPr>
          <w:trHeight w:val="206"/>
        </w:trPr>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auto"/>
              </w:rPr>
              <w:t>Equity</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color w:val="auto"/>
              </w:rPr>
              <w:t>Interest</w:t>
            </w:r>
          </w:p>
        </w:tc>
        <w:tc>
          <w:tcPr>
            <w:tcW w:w="200" w:type="dxa"/>
            <w:vAlign w:val="bottom"/>
          </w:tcPr>
          <w:p>
            <w:pPr>
              <w:spacing w:after="0"/>
              <w:rPr>
                <w:sz w:val="17"/>
                <w:szCs w:val="17"/>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3"/>
                <w:szCs w:val="13"/>
                <w:color w:val="auto"/>
                <w:w w:val="99"/>
              </w:rPr>
              <w:t>Equity</w:t>
            </w:r>
          </w:p>
        </w:tc>
        <w:tc>
          <w:tcPr>
            <w:tcW w:w="640" w:type="dxa"/>
            <w:vAlign w:val="bottom"/>
          </w:tcPr>
          <w:p>
            <w:pPr>
              <w:spacing w:after="0"/>
              <w:rPr>
                <w:sz w:val="17"/>
                <w:szCs w:val="17"/>
                <w:color w:val="auto"/>
              </w:rPr>
            </w:pPr>
          </w:p>
        </w:tc>
      </w:tr>
      <w:tr>
        <w:trPr>
          <w:trHeight w:val="194"/>
        </w:trPr>
        <w:tc>
          <w:tcPr>
            <w:tcW w:w="302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Balance at December 31, 2009</w:t>
            </w:r>
          </w:p>
        </w:tc>
        <w:tc>
          <w:tcPr>
            <w:tcW w:w="3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2,739</w:t>
            </w: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gridSpan w:val="3"/>
          </w:tcPr>
          <w:p>
            <w:pPr>
              <w:jc w:val="right"/>
              <w:ind w:right="47"/>
              <w:spacing w:after="0"/>
              <w:rPr>
                <w:sz w:val="20"/>
                <w:szCs w:val="20"/>
                <w:color w:val="auto"/>
              </w:rPr>
            </w:pPr>
            <w:r>
              <w:rPr>
                <w:rFonts w:ascii="Arial" w:cs="Arial" w:eastAsia="Arial" w:hAnsi="Arial"/>
                <w:sz w:val="15"/>
                <w:szCs w:val="15"/>
                <w:color w:val="auto"/>
              </w:rPr>
              <w:t>2,885</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5"/>
                <w:szCs w:val="15"/>
                <w:color w:val="auto"/>
              </w:rPr>
              <w:t>Comprehensive income (loss)</w:t>
            </w:r>
          </w:p>
        </w:tc>
        <w:tc>
          <w:tcPr>
            <w:tcW w:w="3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ind w:right="67"/>
              <w:spacing w:after="0"/>
              <w:rPr>
                <w:sz w:val="20"/>
                <w:szCs w:val="20"/>
                <w:color w:val="auto"/>
              </w:rPr>
            </w:pPr>
            <w:r>
              <w:rPr>
                <w:rFonts w:ascii="Arial" w:cs="Arial" w:eastAsia="Arial" w:hAnsi="Arial"/>
                <w:sz w:val="15"/>
                <w:szCs w:val="15"/>
                <w:color w:val="auto"/>
                <w:w w:val="95"/>
              </w:rPr>
              <w:t>136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2"/>
        </w:trPr>
        <w:tc>
          <w:tcPr>
            <w:tcW w:w="3020" w:type="dxa"/>
            <w:vAlign w:val="bottom"/>
          </w:tcPr>
          <w:p>
            <w:pPr>
              <w:ind w:left="100"/>
              <w:spacing w:after="0"/>
              <w:rPr>
                <w:sz w:val="20"/>
                <w:szCs w:val="20"/>
                <w:color w:val="auto"/>
              </w:rPr>
            </w:pPr>
            <w:r>
              <w:rPr>
                <w:rFonts w:ascii="Arial" w:cs="Arial" w:eastAsia="Arial" w:hAnsi="Arial"/>
                <w:sz w:val="15"/>
                <w:szCs w:val="15"/>
                <w:color w:val="auto"/>
              </w:rPr>
              <w:t>Preferred stock dividends declared</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4"/>
        </w:trPr>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Balance at June 30, 2010</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2,898</w:t>
            </w: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5"/>
                <w:szCs w:val="15"/>
                <w:color w:val="auto"/>
              </w:rPr>
              <w:t>3,019</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2"/>
        </w:trPr>
        <w:tc>
          <w:tcPr>
            <w:tcW w:w="3020" w:type="dxa"/>
            <w:vAlign w:val="bottom"/>
          </w:tcPr>
          <w:p>
            <w:pPr>
              <w:ind w:left="100"/>
              <w:spacing w:after="0"/>
              <w:rPr>
                <w:sz w:val="20"/>
                <w:szCs w:val="20"/>
                <w:color w:val="auto"/>
              </w:rPr>
            </w:pPr>
            <w:r>
              <w:rPr>
                <w:rFonts w:ascii="Arial" w:cs="Arial" w:eastAsia="Arial" w:hAnsi="Arial"/>
                <w:sz w:val="15"/>
                <w:szCs w:val="15"/>
                <w:color w:val="auto"/>
              </w:rPr>
              <w:t>Balance at December 31, 2008</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2,542</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128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47"/>
              <w:spacing w:after="0"/>
              <w:rPr>
                <w:sz w:val="20"/>
                <w:szCs w:val="20"/>
                <w:color w:val="auto"/>
              </w:rPr>
            </w:pPr>
            <w:r>
              <w:rPr>
                <w:rFonts w:ascii="Arial" w:cs="Arial" w:eastAsia="Arial" w:hAnsi="Arial"/>
                <w:sz w:val="15"/>
                <w:szCs w:val="15"/>
                <w:color w:val="auto"/>
              </w:rPr>
              <w:t>2,670</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5"/>
                <w:szCs w:val="15"/>
                <w:color w:val="auto"/>
              </w:rPr>
              <w:t>Comprehensive income</w:t>
            </w:r>
          </w:p>
        </w:tc>
        <w:tc>
          <w:tcPr>
            <w:tcW w:w="3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ind w:right="67"/>
              <w:spacing w:after="0"/>
              <w:rPr>
                <w:sz w:val="20"/>
                <w:szCs w:val="20"/>
                <w:color w:val="auto"/>
              </w:rPr>
            </w:pPr>
            <w:r>
              <w:rPr>
                <w:rFonts w:ascii="Arial" w:cs="Arial" w:eastAsia="Arial" w:hAnsi="Arial"/>
                <w:sz w:val="15"/>
                <w:szCs w:val="15"/>
                <w:color w:val="auto"/>
                <w:w w:val="95"/>
              </w:rPr>
              <w:t>198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5"/>
                <w:szCs w:val="15"/>
                <w:color w:val="auto"/>
              </w:rPr>
              <w:t>Common stock dividends declared</w:t>
            </w: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00" w:type="dxa"/>
            <w:vAlign w:val="bottom"/>
            <w:gridSpan w:val="3"/>
          </w:tcPr>
          <w:p>
            <w:pPr>
              <w:jc w:val="right"/>
              <w:ind w:right="7"/>
              <w:spacing w:after="0"/>
              <w:rPr>
                <w:sz w:val="20"/>
                <w:szCs w:val="20"/>
                <w:color w:val="auto"/>
              </w:rPr>
            </w:pPr>
            <w:r>
              <w:rPr>
                <w:rFonts w:ascii="Arial" w:cs="Arial" w:eastAsia="Arial" w:hAnsi="Arial"/>
                <w:sz w:val="15"/>
                <w:szCs w:val="15"/>
                <w:color w:val="auto"/>
              </w:rPr>
              <w:t>(150)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5"/>
                <w:szCs w:val="15"/>
                <w:color w:val="auto"/>
              </w:rPr>
              <w:t>Preferred stock dividends declared</w:t>
            </w: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2"/>
        </w:trPr>
        <w:tc>
          <w:tcPr>
            <w:tcW w:w="3020" w:type="dxa"/>
            <w:vAlign w:val="bottom"/>
          </w:tcPr>
          <w:p>
            <w:pPr>
              <w:ind w:left="100"/>
              <w:spacing w:after="0"/>
              <w:rPr>
                <w:sz w:val="20"/>
                <w:szCs w:val="20"/>
                <w:color w:val="auto"/>
              </w:rPr>
            </w:pPr>
            <w:r>
              <w:rPr>
                <w:rFonts w:ascii="Arial" w:cs="Arial" w:eastAsia="Arial" w:hAnsi="Arial"/>
                <w:sz w:val="15"/>
                <w:szCs w:val="15"/>
                <w:color w:val="auto"/>
                <w:w w:val="99"/>
              </w:rPr>
              <w:t>Equity contributed by noncontrolling interest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4"/>
        </w:trPr>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Balance at June 30, 2009</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2,564</w:t>
            </w: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5"/>
                <w:szCs w:val="15"/>
                <w:color w:val="auto"/>
              </w:rPr>
              <w:t>2,722</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AFFILIATES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to Unc onsolidated Affiliates</w:t>
      </w:r>
    </w:p>
    <w:p>
      <w:pPr>
        <w:spacing w:after="0" w:line="6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Sempra Pipelines &amp; Storage has a U.S. dollar-denominated loan to Camuzzi Gas del Sur S.A., an affiliate of Sempra Pipelines &amp; Storage’s Argentine investments, which we discuss in Note 1 of the Notes to Consolidated Financial Statements in the Annual Report. The loan to Camuzzi Gas del Sur S.A. has a $28 million balance outstanding at a variable interest rate (7.53 percent as of June 30, 2010). In May 2010, the maturity date of the loan was extended from June 2010 to June 30, 2011. The loan is fully reserved at June 30, 2010.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w:t>
      </w:r>
    </w:p>
    <w:p>
      <w:pPr>
        <w:spacing w:after="0" w:line="60"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In November 2009, Sempra Pipelines &amp; Storage purchased $50 million of 2.75-percent bonds issued by Chilquinta Energía S.A., an unconsolidated affiliate, that are adjusted (or indexed) for Chilean inflation. The bonds mature on October 30, 2014. The carrying value of the bonds after the effect of foreign currency translation was $48 million at June 30, 2010. We discuss this investment in Note 4 of the Notes to Consolidated Financial Statements in the Annual Report.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Affiliate Transactions</w:t>
      </w:r>
    </w:p>
    <w:p>
      <w:pPr>
        <w:spacing w:after="0" w:line="6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Sempra Energy, SDG&amp;E and SoCalGas provide certain services to each other and are charged an allocable share of the cost of such services. Amounts due to/from affiliates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7259955" cy="294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AMOUNTS DUE TO AND FROM AFFILIATES AT SDG&amp;E, PE AND SOCALGAS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8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June 30,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548"/>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color w:val="auto"/>
              </w:rPr>
              <w:t>2010</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2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19"/>
        </w:trPr>
        <w:tc>
          <w:tcPr>
            <w:tcW w:w="8080" w:type="dxa"/>
            <w:vAlign w:val="bottom"/>
          </w:tcPr>
          <w:p>
            <w:pPr>
              <w:spacing w:after="0"/>
              <w:rPr>
                <w:sz w:val="20"/>
                <w:szCs w:val="20"/>
                <w:color w:val="auto"/>
              </w:rPr>
            </w:pPr>
            <w:r>
              <w:rPr>
                <w:rFonts w:ascii="Arial" w:cs="Arial" w:eastAsia="Arial" w:hAnsi="Arial"/>
                <w:sz w:val="15"/>
                <w:szCs w:val="15"/>
                <w:b w:val="1"/>
                <w:bCs w:val="1"/>
                <w:color w:val="auto"/>
              </w:rPr>
              <w:t>SDG&amp;E</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80" w:type="dxa"/>
            <w:vAlign w:val="bottom"/>
          </w:tcPr>
          <w:p>
            <w:pPr>
              <w:spacing w:after="0"/>
              <w:rPr>
                <w:sz w:val="20"/>
                <w:szCs w:val="20"/>
                <w:color w:val="auto"/>
              </w:rPr>
            </w:pPr>
            <w:r>
              <w:rPr>
                <w:rFonts w:ascii="Arial" w:cs="Arial" w:eastAsia="Arial" w:hAnsi="Arial"/>
                <w:sz w:val="15"/>
                <w:szCs w:val="15"/>
                <w:color w:val="auto"/>
              </w:rPr>
              <w:t>Current: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160"/>
              <w:spacing w:after="0"/>
              <w:rPr>
                <w:sz w:val="20"/>
                <w:szCs w:val="20"/>
                <w:color w:val="auto"/>
              </w:rPr>
            </w:pPr>
            <w:r>
              <w:rPr>
                <w:rFonts w:ascii="Arial" w:cs="Arial" w:eastAsia="Arial" w:hAnsi="Arial"/>
                <w:sz w:val="15"/>
                <w:szCs w:val="15"/>
                <w:color w:val="auto"/>
              </w:rPr>
              <w:t>Due from Sempra Energy</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9"/>
        </w:trPr>
        <w:tc>
          <w:tcPr>
            <w:tcW w:w="8080" w:type="dxa"/>
            <w:vAlign w:val="bottom"/>
          </w:tcPr>
          <w:p>
            <w:pPr>
              <w:ind w:left="160"/>
              <w:spacing w:after="0"/>
              <w:rPr>
                <w:sz w:val="20"/>
                <w:szCs w:val="20"/>
                <w:color w:val="auto"/>
              </w:rPr>
            </w:pPr>
            <w:r>
              <w:rPr>
                <w:rFonts w:ascii="Arial" w:cs="Arial" w:eastAsia="Arial" w:hAnsi="Arial"/>
                <w:sz w:val="15"/>
                <w:szCs w:val="15"/>
                <w:color w:val="auto"/>
              </w:rPr>
              <w:t>Due from SoCalGas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8080" w:type="dxa"/>
            <w:vAlign w:val="bottom"/>
          </w:tcPr>
          <w:p>
            <w:pPr>
              <w:ind w:left="160"/>
              <w:spacing w:after="0"/>
              <w:rPr>
                <w:sz w:val="20"/>
                <w:szCs w:val="20"/>
                <w:color w:val="auto"/>
              </w:rPr>
            </w:pPr>
            <w:r>
              <w:rPr>
                <w:rFonts w:ascii="Arial" w:cs="Arial" w:eastAsia="Arial" w:hAnsi="Arial"/>
                <w:sz w:val="15"/>
                <w:szCs w:val="15"/>
                <w:color w:val="auto"/>
              </w:rPr>
              <w:t>Due from various affiliates</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8"/>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426"/>
        </w:trPr>
        <w:tc>
          <w:tcPr>
            <w:tcW w:w="8080" w:type="dxa"/>
            <w:vAlign w:val="bottom"/>
          </w:tcPr>
          <w:p>
            <w:pPr>
              <w:ind w:left="160"/>
              <w:spacing w:after="0"/>
              <w:rPr>
                <w:sz w:val="20"/>
                <w:szCs w:val="20"/>
                <w:color w:val="auto"/>
              </w:rPr>
            </w:pPr>
            <w:r>
              <w:rPr>
                <w:rFonts w:ascii="Arial" w:cs="Arial" w:eastAsia="Arial" w:hAnsi="Arial"/>
                <w:sz w:val="15"/>
                <w:szCs w:val="15"/>
                <w:color w:val="auto"/>
              </w:rPr>
              <w:t>Due to Sempra Energy</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16</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
        </w:trPr>
        <w:tc>
          <w:tcPr>
            <w:tcW w:w="808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56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5"/>
        </w:trPr>
        <w:tc>
          <w:tcPr>
            <w:tcW w:w="8080" w:type="dxa"/>
            <w:vAlign w:val="bottom"/>
          </w:tcPr>
          <w:p>
            <w:pPr>
              <w:ind w:left="160"/>
              <w:spacing w:after="0"/>
              <w:rPr>
                <w:sz w:val="20"/>
                <w:szCs w:val="20"/>
                <w:color w:val="auto"/>
              </w:rPr>
            </w:pPr>
            <w:r>
              <w:rPr>
                <w:rFonts w:ascii="Arial" w:cs="Arial" w:eastAsia="Arial" w:hAnsi="Arial"/>
                <w:sz w:val="15"/>
                <w:szCs w:val="15"/>
                <w:color w:val="auto"/>
              </w:rPr>
              <w:t>Income taxes due from Sempra Energy(1)</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0"/>
                <w:szCs w:val="20"/>
                <w:color w:val="auto"/>
              </w:rPr>
            </w:pPr>
            <w:r>
              <w:rPr>
                <w:rFonts w:ascii="Arial" w:cs="Arial" w:eastAsia="Arial" w:hAnsi="Arial"/>
                <w:sz w:val="15"/>
                <w:szCs w:val="15"/>
                <w:color w:val="auto"/>
              </w:rPr>
              <w:t>Noncurrent:</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080" w:type="dxa"/>
            <w:vAlign w:val="bottom"/>
          </w:tcPr>
          <w:p>
            <w:pPr>
              <w:ind w:left="160"/>
              <w:spacing w:after="0"/>
              <w:rPr>
                <w:sz w:val="20"/>
                <w:szCs w:val="20"/>
                <w:color w:val="auto"/>
              </w:rPr>
            </w:pPr>
            <w:r>
              <w:rPr>
                <w:rFonts w:ascii="Arial" w:cs="Arial" w:eastAsia="Arial" w:hAnsi="Arial"/>
                <w:sz w:val="15"/>
                <w:szCs w:val="15"/>
                <w:color w:val="auto"/>
                <w:w w:val="98"/>
              </w:rPr>
              <w:t>Promissory note due from Sempra Energy, variable rate based on short-term commercial paper rates (0.24% at June 3 0,</w:t>
            </w:r>
          </w:p>
        </w:tc>
        <w:tc>
          <w:tcPr>
            <w:tcW w:w="240" w:type="dxa"/>
            <w:vAlign w:val="bottom"/>
            <w:vMerge w:val="restart"/>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6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3"/>
        </w:trPr>
        <w:tc>
          <w:tcPr>
            <w:tcW w:w="8080" w:type="dxa"/>
            <w:vAlign w:val="bottom"/>
          </w:tcPr>
          <w:p>
            <w:pPr>
              <w:spacing w:after="0" w:line="156" w:lineRule="exact"/>
              <w:rPr>
                <w:sz w:val="20"/>
                <w:szCs w:val="20"/>
                <w:color w:val="auto"/>
              </w:rPr>
            </w:pPr>
            <w:r>
              <w:rPr>
                <w:rFonts w:ascii="Arial" w:cs="Arial" w:eastAsia="Arial" w:hAnsi="Arial"/>
                <w:sz w:val="15"/>
                <w:szCs w:val="15"/>
                <w:color w:val="auto"/>
              </w:rPr>
              <w:t>2010)</w:t>
            </w:r>
          </w:p>
        </w:tc>
        <w:tc>
          <w:tcPr>
            <w:tcW w:w="2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0"/>
                <w:szCs w:val="20"/>
                <w:color w:val="auto"/>
              </w:rPr>
            </w:pPr>
            <w:r>
              <w:rPr>
                <w:rFonts w:ascii="Arial" w:cs="Arial" w:eastAsia="Arial" w:hAnsi="Arial"/>
                <w:sz w:val="15"/>
                <w:szCs w:val="15"/>
                <w:b w:val="1"/>
                <w:bCs w:val="1"/>
                <w:color w:val="auto"/>
              </w:rPr>
              <w:t>Pacific Enterprises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80" w:type="dxa"/>
            <w:vAlign w:val="bottom"/>
          </w:tcPr>
          <w:p>
            <w:pPr>
              <w:spacing w:after="0"/>
              <w:rPr>
                <w:sz w:val="20"/>
                <w:szCs w:val="20"/>
                <w:color w:val="auto"/>
              </w:rPr>
            </w:pPr>
            <w:r>
              <w:rPr>
                <w:rFonts w:ascii="Arial" w:cs="Arial" w:eastAsia="Arial" w:hAnsi="Arial"/>
                <w:sz w:val="15"/>
                <w:szCs w:val="15"/>
                <w:color w:val="auto"/>
              </w:rPr>
              <w:t>Current: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160"/>
              <w:spacing w:after="0"/>
              <w:rPr>
                <w:sz w:val="20"/>
                <w:szCs w:val="20"/>
                <w:color w:val="auto"/>
              </w:rPr>
            </w:pPr>
            <w:r>
              <w:rPr>
                <w:rFonts w:ascii="Arial" w:cs="Arial" w:eastAsia="Arial" w:hAnsi="Arial"/>
                <w:sz w:val="15"/>
                <w:szCs w:val="15"/>
                <w:color w:val="auto"/>
              </w:rPr>
              <w:t>Due from Sempra Energy</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260</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2"/>
        </w:trPr>
        <w:tc>
          <w:tcPr>
            <w:tcW w:w="8080" w:type="dxa"/>
            <w:vAlign w:val="bottom"/>
          </w:tcPr>
          <w:p>
            <w:pPr>
              <w:ind w:left="160"/>
              <w:spacing w:after="0"/>
              <w:rPr>
                <w:sz w:val="20"/>
                <w:szCs w:val="20"/>
                <w:color w:val="auto"/>
              </w:rPr>
            </w:pPr>
            <w:r>
              <w:rPr>
                <w:rFonts w:ascii="Arial" w:cs="Arial" w:eastAsia="Arial" w:hAnsi="Arial"/>
                <w:sz w:val="15"/>
                <w:szCs w:val="15"/>
                <w:color w:val="auto"/>
              </w:rPr>
              <w:t>Due from various affiliates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8"/>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264</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446"/>
        </w:trPr>
        <w:tc>
          <w:tcPr>
            <w:tcW w:w="8080" w:type="dxa"/>
            <w:vAlign w:val="bottom"/>
          </w:tcPr>
          <w:p>
            <w:pPr>
              <w:ind w:left="160"/>
              <w:spacing w:after="0"/>
              <w:rPr>
                <w:sz w:val="20"/>
                <w:szCs w:val="20"/>
                <w:color w:val="auto"/>
              </w:rPr>
            </w:pPr>
            <w:r>
              <w:rPr>
                <w:rFonts w:ascii="Arial" w:cs="Arial" w:eastAsia="Arial" w:hAnsi="Arial"/>
                <w:sz w:val="15"/>
                <w:szCs w:val="15"/>
                <w:color w:val="auto"/>
              </w:rPr>
              <w:t>Due t o affiliate</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84</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12"/>
        </w:trPr>
        <w:tc>
          <w:tcPr>
            <w:tcW w:w="8080" w:type="dxa"/>
            <w:vAlign w:val="bottom"/>
          </w:tcPr>
          <w:p>
            <w:pPr>
              <w:ind w:left="160"/>
              <w:spacing w:after="0"/>
              <w:rPr>
                <w:sz w:val="20"/>
                <w:szCs w:val="20"/>
                <w:color w:val="auto"/>
              </w:rPr>
            </w:pPr>
            <w:r>
              <w:rPr>
                <w:rFonts w:ascii="Arial" w:cs="Arial" w:eastAsia="Arial" w:hAnsi="Arial"/>
                <w:sz w:val="15"/>
                <w:szCs w:val="15"/>
                <w:color w:val="auto"/>
              </w:rPr>
              <w:t>Due to SDG&amp;E</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8"/>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600" w:type="dxa"/>
            <w:vAlign w:val="bottom"/>
            <w:tcBorders>
              <w:bottom w:val="single" w:sz="8" w:color="auto"/>
            </w:tcBorders>
            <w:gridSpan w:val="2"/>
          </w:tcPr>
          <w:p>
            <w:pPr>
              <w:ind w:left="120"/>
              <w:spacing w:after="0" w:line="212" w:lineRule="exact"/>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455"/>
        </w:trPr>
        <w:tc>
          <w:tcPr>
            <w:tcW w:w="8080" w:type="dxa"/>
            <w:vAlign w:val="bottom"/>
          </w:tcPr>
          <w:p>
            <w:pPr>
              <w:ind w:left="160"/>
              <w:spacing w:after="0"/>
              <w:rPr>
                <w:sz w:val="20"/>
                <w:szCs w:val="20"/>
                <w:color w:val="auto"/>
              </w:rPr>
            </w:pPr>
            <w:r>
              <w:rPr>
                <w:rFonts w:ascii="Arial" w:cs="Arial" w:eastAsia="Arial" w:hAnsi="Arial"/>
                <w:sz w:val="15"/>
                <w:szCs w:val="15"/>
                <w:color w:val="auto"/>
              </w:rPr>
              <w:t>Income taxes due to (from) Sempra Energy(1)</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0"/>
                <w:szCs w:val="20"/>
                <w:color w:val="auto"/>
              </w:rPr>
            </w:pPr>
            <w:r>
              <w:rPr>
                <w:rFonts w:ascii="Arial" w:cs="Arial" w:eastAsia="Arial" w:hAnsi="Arial"/>
                <w:sz w:val="15"/>
                <w:szCs w:val="15"/>
                <w:color w:val="auto"/>
              </w:rPr>
              <w:t>Noncurrent:</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080" w:type="dxa"/>
            <w:vAlign w:val="bottom"/>
          </w:tcPr>
          <w:p>
            <w:pPr>
              <w:ind w:left="140"/>
              <w:spacing w:after="0"/>
              <w:rPr>
                <w:sz w:val="20"/>
                <w:szCs w:val="20"/>
                <w:color w:val="auto"/>
              </w:rPr>
            </w:pPr>
            <w:r>
              <w:rPr>
                <w:rFonts w:ascii="Arial" w:cs="Arial" w:eastAsia="Arial" w:hAnsi="Arial"/>
                <w:sz w:val="15"/>
                <w:szCs w:val="15"/>
                <w:color w:val="auto"/>
                <w:w w:val="93"/>
              </w:rPr>
              <w:t>Promissory note due from Sempra Energy, variable rate based on short-term commercial paper rates (0.24% at June 30, 2010)</w:t>
            </w:r>
          </w:p>
        </w:tc>
        <w:tc>
          <w:tcPr>
            <w:tcW w:w="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SoCalGas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Current:</w:t>
      </w:r>
    </w:p>
    <w:p>
      <w:pPr>
        <w:sectPr>
          <w:pgSz w:w="11900" w:h="16879" w:orient="portrait"/>
          <w:cols w:equalWidth="0" w:num="1">
            <w:col w:w="11440"/>
          </w:cols>
          <w:pgMar w:left="240" w:top="339" w:right="219" w:bottom="0" w:gutter="0" w:footer="0" w:header="0"/>
        </w:sectPr>
      </w:pPr>
    </w:p>
    <w:bookmarkStart w:id="21" w:name="page22"/>
    <w:bookmarkEnd w:id="21"/>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89"/>
        </w:trPr>
        <w:tc>
          <w:tcPr>
            <w:tcW w:w="3300" w:type="dxa"/>
            <w:vAlign w:val="bottom"/>
          </w:tcPr>
          <w:p>
            <w:pPr>
              <w:ind w:left="160"/>
              <w:spacing w:after="0"/>
              <w:rPr>
                <w:sz w:val="20"/>
                <w:szCs w:val="20"/>
                <w:color w:val="auto"/>
              </w:rPr>
            </w:pPr>
            <w:r>
              <w:rPr>
                <w:rFonts w:ascii="Arial" w:cs="Arial" w:eastAsia="Arial" w:hAnsi="Arial"/>
                <w:sz w:val="15"/>
                <w:szCs w:val="15"/>
                <w:color w:val="auto"/>
              </w:rPr>
              <w:t>Due from Sempra Energy</w:t>
            </w:r>
          </w:p>
        </w:tc>
        <w:tc>
          <w:tcPr>
            <w:tcW w:w="4780" w:type="dxa"/>
            <w:vAlign w:val="bottom"/>
          </w:tcPr>
          <w:p>
            <w:pPr>
              <w:spacing w:after="0"/>
              <w:rPr>
                <w:sz w:val="16"/>
                <w:szCs w:val="16"/>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920" w:type="dxa"/>
            <w:vAlign w:val="bottom"/>
            <w:tcBorders>
              <w:bottom w:val="single" w:sz="8" w:color="auto"/>
            </w:tcBorders>
          </w:tcPr>
          <w:p>
            <w:pPr>
              <w:jc w:val="right"/>
              <w:ind w:right="168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455"/>
        </w:trPr>
        <w:tc>
          <w:tcPr>
            <w:tcW w:w="3300" w:type="dxa"/>
            <w:vAlign w:val="bottom"/>
          </w:tcPr>
          <w:p>
            <w:pPr>
              <w:ind w:left="160"/>
              <w:spacing w:after="0"/>
              <w:rPr>
                <w:sz w:val="20"/>
                <w:szCs w:val="20"/>
                <w:color w:val="auto"/>
              </w:rPr>
            </w:pPr>
            <w:r>
              <w:rPr>
                <w:rFonts w:ascii="Arial" w:cs="Arial" w:eastAsia="Arial" w:hAnsi="Arial"/>
                <w:sz w:val="15"/>
                <w:szCs w:val="15"/>
                <w:color w:val="auto"/>
              </w:rPr>
              <w:t>Due to SDG&amp;E</w:t>
            </w:r>
          </w:p>
        </w:tc>
        <w:tc>
          <w:tcPr>
            <w:tcW w:w="4780" w:type="dxa"/>
            <w:vAlign w:val="bottom"/>
          </w:tcPr>
          <w:p>
            <w:pPr>
              <w:spacing w:after="0"/>
              <w:rPr>
                <w:sz w:val="24"/>
                <w:szCs w:val="24"/>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1920" w:type="dxa"/>
            <w:vAlign w:val="bottom"/>
            <w:tcBorders>
              <w:bottom w:val="single" w:sz="8" w:color="auto"/>
            </w:tcBorders>
          </w:tcPr>
          <w:p>
            <w:pPr>
              <w:jc w:val="right"/>
              <w:ind w:right="168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455"/>
        </w:trPr>
        <w:tc>
          <w:tcPr>
            <w:tcW w:w="33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Income taxes due to (from) Sempra Energy(1)</w:t>
            </w:r>
          </w:p>
        </w:tc>
        <w:tc>
          <w:tcPr>
            <w:tcW w:w="5280" w:type="dxa"/>
            <w:vAlign w:val="bottom"/>
            <w:tcBorders>
              <w:bottom w:val="single" w:sz="8" w:color="auto"/>
            </w:tcBorders>
            <w:gridSpan w:val="2"/>
          </w:tcPr>
          <w:p>
            <w:pPr>
              <w:jc w:val="right"/>
              <w:ind w:right="34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920" w:type="dxa"/>
            <w:vAlign w:val="bottom"/>
            <w:tcBorders>
              <w:bottom w:val="single" w:sz="8" w:color="auto"/>
            </w:tcBorders>
          </w:tcPr>
          <w:p>
            <w:pPr>
              <w:jc w:val="right"/>
              <w:ind w:right="168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7"/>
              </w:rPr>
              <w:t>(2)</w:t>
            </w:r>
          </w:p>
        </w:tc>
      </w:tr>
      <w:tr>
        <w:trPr>
          <w:trHeight w:val="136"/>
        </w:trPr>
        <w:tc>
          <w:tcPr>
            <w:tcW w:w="3300" w:type="dxa"/>
            <w:vAlign w:val="bottom"/>
          </w:tcPr>
          <w:p>
            <w:pPr>
              <w:jc w:val="right"/>
              <w:ind w:right="1429"/>
              <w:spacing w:after="0" w:line="136" w:lineRule="exact"/>
              <w:rPr>
                <w:sz w:val="20"/>
                <w:szCs w:val="20"/>
                <w:color w:val="auto"/>
              </w:rPr>
            </w:pPr>
            <w:r>
              <w:rPr>
                <w:rFonts w:ascii="Arial" w:cs="Arial" w:eastAsia="Arial" w:hAnsi="Arial"/>
                <w:sz w:val="13"/>
                <w:szCs w:val="13"/>
                <w:i w:val="1"/>
                <w:iCs w:val="1"/>
                <w:color w:val="auto"/>
              </w:rPr>
              <w:t>(1)</w:t>
            </w:r>
          </w:p>
        </w:tc>
        <w:tc>
          <w:tcPr>
            <w:tcW w:w="7940" w:type="dxa"/>
            <w:vAlign w:val="bottom"/>
            <w:gridSpan w:val="4"/>
          </w:tcPr>
          <w:p>
            <w:pPr>
              <w:ind w:left="160"/>
              <w:spacing w:after="0" w:line="136" w:lineRule="exact"/>
              <w:rPr>
                <w:sz w:val="20"/>
                <w:szCs w:val="20"/>
                <w:color w:val="auto"/>
              </w:rPr>
            </w:pPr>
            <w:r>
              <w:rPr>
                <w:rFonts w:ascii="Arial" w:cs="Arial" w:eastAsia="Arial" w:hAnsi="Arial"/>
                <w:sz w:val="13"/>
                <w:szCs w:val="13"/>
                <w:i w:val="1"/>
                <w:iCs w:val="1"/>
                <w:color w:val="auto"/>
                <w:w w:val="99"/>
              </w:rPr>
              <w:t>SDG&amp;E, PE and SoCalGas are included in the consolidated income tax return of Sempra Energy and are allocated income tax expense</w:t>
            </w:r>
          </w:p>
        </w:tc>
        <w:tc>
          <w:tcPr>
            <w:tcW w:w="200" w:type="dxa"/>
            <w:vAlign w:val="bottom"/>
          </w:tcPr>
          <w:p>
            <w:pPr>
              <w:spacing w:after="0"/>
              <w:rPr>
                <w:sz w:val="11"/>
                <w:szCs w:val="11"/>
                <w:color w:val="auto"/>
              </w:rPr>
            </w:pPr>
          </w:p>
        </w:tc>
      </w:tr>
      <w:tr>
        <w:trPr>
          <w:trHeight w:val="169"/>
        </w:trPr>
        <w:tc>
          <w:tcPr>
            <w:tcW w:w="3300" w:type="dxa"/>
            <w:vAlign w:val="bottom"/>
          </w:tcPr>
          <w:p>
            <w:pPr>
              <w:spacing w:after="0"/>
              <w:rPr>
                <w:sz w:val="14"/>
                <w:szCs w:val="14"/>
                <w:color w:val="auto"/>
              </w:rPr>
            </w:pPr>
          </w:p>
        </w:tc>
        <w:tc>
          <w:tcPr>
            <w:tcW w:w="7940" w:type="dxa"/>
            <w:vAlign w:val="bottom"/>
            <w:gridSpan w:val="4"/>
          </w:tcPr>
          <w:p>
            <w:pPr>
              <w:ind w:left="160"/>
              <w:spacing w:after="0"/>
              <w:rPr>
                <w:sz w:val="20"/>
                <w:szCs w:val="20"/>
                <w:color w:val="auto"/>
              </w:rPr>
            </w:pPr>
            <w:r>
              <w:rPr>
                <w:rFonts w:ascii="Arial" w:cs="Arial" w:eastAsia="Arial" w:hAnsi="Arial"/>
                <w:sz w:val="13"/>
                <w:szCs w:val="13"/>
                <w:i w:val="1"/>
                <w:iCs w:val="1"/>
                <w:color w:val="auto"/>
              </w:rPr>
              <w:t>from Sempra Energy in an amount equal to that which would result from the companies' having always filed a separate return.</w:t>
            </w:r>
          </w:p>
        </w:tc>
        <w:tc>
          <w:tcPr>
            <w:tcW w:w="200" w:type="dxa"/>
            <w:vAlign w:val="bottom"/>
          </w:tcPr>
          <w:p>
            <w:pPr>
              <w:spacing w:after="0"/>
              <w:rPr>
                <w:sz w:val="14"/>
                <w:szCs w:val="14"/>
                <w:color w:val="auto"/>
              </w:rPr>
            </w:pPr>
          </w:p>
        </w:tc>
      </w:tr>
    </w:tbl>
    <w:p>
      <w:pPr>
        <w:spacing w:after="0" w:line="200" w:lineRule="exact"/>
        <w:rPr>
          <w:sz w:val="20"/>
          <w:szCs w:val="20"/>
          <w:color w:val="auto"/>
        </w:rPr>
      </w:pPr>
    </w:p>
    <w:p>
      <w:pPr>
        <w:spacing w:after="0" w:line="289" w:lineRule="exact"/>
        <w:rPr>
          <w:sz w:val="20"/>
          <w:szCs w:val="20"/>
          <w:color w:val="auto"/>
        </w:rPr>
      </w:pPr>
    </w:p>
    <w:p>
      <w:pPr>
        <w:ind w:left="3"/>
        <w:spacing w:after="0"/>
        <w:rPr>
          <w:sz w:val="20"/>
          <w:szCs w:val="20"/>
          <w:color w:val="auto"/>
        </w:rPr>
      </w:pPr>
      <w:r>
        <w:rPr>
          <w:rFonts w:ascii="Arial" w:cs="Arial" w:eastAsia="Arial" w:hAnsi="Arial"/>
          <w:sz w:val="16"/>
          <w:szCs w:val="16"/>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3618230" cy="294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230" cy="294005"/>
                    </a:xfrm>
                    <a:prstGeom prst="rect">
                      <a:avLst/>
                    </a:prstGeom>
                    <a:noFill/>
                  </pic:spPr>
                </pic:pic>
              </a:graphicData>
            </a:graphic>
          </wp:anchor>
        </w:drawing>
      </w:r>
    </w:p>
    <w:p>
      <w:pPr>
        <w:spacing w:after="0" w:line="337" w:lineRule="exact"/>
        <w:rPr>
          <w:sz w:val="20"/>
          <w:szCs w:val="20"/>
          <w:color w:val="auto"/>
        </w:rPr>
      </w:pPr>
    </w:p>
    <w:p>
      <w:pPr>
        <w:ind w:left="103"/>
        <w:spacing w:after="0"/>
        <w:rPr>
          <w:sz w:val="20"/>
          <w:szCs w:val="20"/>
          <w:color w:val="auto"/>
        </w:rPr>
      </w:pPr>
      <w:r>
        <w:rPr>
          <w:rFonts w:ascii="Arial" w:cs="Arial" w:eastAsia="Arial" w:hAnsi="Arial"/>
          <w:sz w:val="14"/>
          <w:szCs w:val="14"/>
          <w:b w:val="1"/>
          <w:bCs w:val="1"/>
          <w:color w:val="auto"/>
        </w:rPr>
        <w:t>REVENUES FROM UNCONSOLIDATED AFFILIATES AT THE SEMPRA UTILITIES</w:t>
      </w:r>
    </w:p>
    <w:p>
      <w:pPr>
        <w:spacing w:after="0" w:line="101"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1800" w:type="dxa"/>
            <w:vAlign w:val="bottom"/>
            <w:gridSpan w:val="2"/>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6"/>
        </w:trPr>
        <w:tc>
          <w:tcPr>
            <w:tcW w:w="92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3"/>
                <w:szCs w:val="13"/>
                <w:color w:val="auto"/>
              </w:rPr>
              <w:t>Three months ended June 30,</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3"/>
                <w:szCs w:val="13"/>
                <w:color w:val="auto"/>
              </w:rPr>
              <w:t>Six months ended June 30,</w:t>
            </w:r>
          </w:p>
        </w:tc>
      </w:tr>
      <w:tr>
        <w:trPr>
          <w:trHeight w:val="199"/>
        </w:trPr>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color w:val="auto"/>
              </w:rPr>
              <w:t>2009</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2010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color w:val="auto"/>
              </w:rPr>
              <w:t>2009</w:t>
            </w:r>
          </w:p>
        </w:tc>
      </w:tr>
      <w:tr>
        <w:trPr>
          <w:trHeight w:val="182"/>
        </w:trPr>
        <w:tc>
          <w:tcPr>
            <w:tcW w:w="920" w:type="dxa"/>
            <w:vAlign w:val="bottom"/>
          </w:tcPr>
          <w:p>
            <w:pPr>
              <w:ind w:left="100"/>
              <w:spacing w:after="0"/>
              <w:rPr>
                <w:sz w:val="20"/>
                <w:szCs w:val="20"/>
                <w:color w:val="auto"/>
              </w:rPr>
            </w:pPr>
            <w:r>
              <w:rPr>
                <w:rFonts w:ascii="Arial" w:cs="Arial" w:eastAsia="Arial" w:hAnsi="Arial"/>
                <w:sz w:val="15"/>
                <w:szCs w:val="15"/>
                <w:color w:val="auto"/>
              </w:rPr>
              <w:t>SDG&amp;E</w:t>
            </w:r>
          </w:p>
        </w:tc>
        <w:tc>
          <w:tcPr>
            <w:tcW w:w="880" w:type="dxa"/>
            <w:vAlign w:val="bottom"/>
          </w:tcPr>
          <w:p>
            <w:pPr>
              <w:jc w:val="right"/>
              <w:ind w:right="652"/>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7"/>
              <w:spacing w:after="0"/>
              <w:rPr>
                <w:sz w:val="20"/>
                <w:szCs w:val="20"/>
                <w:color w:val="auto"/>
              </w:rPr>
            </w:pPr>
            <w:r>
              <w:rPr>
                <w:rFonts w:ascii="Arial" w:cs="Arial" w:eastAsia="Arial" w:hAnsi="Arial"/>
                <w:sz w:val="15"/>
                <w:szCs w:val="15"/>
                <w:color w:val="auto"/>
              </w:rPr>
              <w:t>4</w:t>
            </w:r>
          </w:p>
        </w:tc>
        <w:tc>
          <w:tcPr>
            <w:tcW w:w="900" w:type="dxa"/>
            <w:vAlign w:val="bottom"/>
          </w:tcPr>
          <w:p>
            <w:pPr>
              <w:jc w:val="right"/>
              <w:ind w:right="651"/>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1"/>
              <w:spacing w:after="0"/>
              <w:rPr>
                <w:sz w:val="20"/>
                <w:szCs w:val="20"/>
                <w:color w:val="auto"/>
              </w:rPr>
            </w:pPr>
            <w:r>
              <w:rPr>
                <w:rFonts w:ascii="Arial" w:cs="Arial" w:eastAsia="Arial" w:hAnsi="Arial"/>
                <w:sz w:val="15"/>
                <w:szCs w:val="15"/>
                <w:color w:val="auto"/>
              </w:rPr>
              <w:t>5</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4</w:t>
            </w:r>
          </w:p>
        </w:tc>
      </w:tr>
      <w:tr>
        <w:trPr>
          <w:trHeight w:val="228"/>
        </w:trPr>
        <w:tc>
          <w:tcPr>
            <w:tcW w:w="920" w:type="dxa"/>
            <w:vAlign w:val="bottom"/>
          </w:tcPr>
          <w:p>
            <w:pPr>
              <w:spacing w:after="0"/>
              <w:rPr>
                <w:sz w:val="20"/>
                <w:szCs w:val="20"/>
                <w:color w:val="auto"/>
              </w:rPr>
            </w:pPr>
            <w:r>
              <w:rPr>
                <w:rFonts w:ascii="Arial" w:cs="Arial" w:eastAsia="Arial" w:hAnsi="Arial"/>
                <w:sz w:val="15"/>
                <w:szCs w:val="15"/>
                <w:color w:val="auto"/>
              </w:rPr>
              <w:t>SoCalGas</w:t>
            </w:r>
          </w:p>
        </w:tc>
        <w:tc>
          <w:tcPr>
            <w:tcW w:w="880" w:type="dxa"/>
            <w:vAlign w:val="bottom"/>
            <w:tcBorders>
              <w:bottom w:val="single" w:sz="8" w:color="C0C0C0"/>
            </w:tcBorders>
          </w:tcPr>
          <w:p>
            <w:pPr>
              <w:spacing w:after="0"/>
              <w:rPr>
                <w:sz w:val="19"/>
                <w:szCs w:val="19"/>
                <w:color w:val="auto"/>
              </w:rPr>
            </w:pPr>
          </w:p>
        </w:tc>
        <w:tc>
          <w:tcPr>
            <w:tcW w:w="40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10</w:t>
            </w:r>
          </w:p>
        </w:tc>
        <w:tc>
          <w:tcPr>
            <w:tcW w:w="900" w:type="dxa"/>
            <w:vAlign w:val="bottom"/>
            <w:tcBorders>
              <w:bottom w:val="single" w:sz="8" w:color="C0C0C0"/>
            </w:tcBorders>
          </w:tcPr>
          <w:p>
            <w:pPr>
              <w:spacing w:after="0"/>
              <w:rPr>
                <w:sz w:val="19"/>
                <w:szCs w:val="19"/>
                <w:color w:val="auto"/>
              </w:rPr>
            </w:pPr>
          </w:p>
        </w:tc>
        <w:tc>
          <w:tcPr>
            <w:tcW w:w="28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C0C0C0"/>
            </w:tcBorders>
          </w:tcPr>
          <w:p>
            <w:pPr>
              <w:spacing w:after="0"/>
              <w:rPr>
                <w:sz w:val="19"/>
                <w:szCs w:val="19"/>
                <w:color w:val="auto"/>
              </w:rPr>
            </w:pPr>
          </w:p>
        </w:tc>
        <w:tc>
          <w:tcPr>
            <w:tcW w:w="840" w:type="dxa"/>
            <w:vAlign w:val="bottom"/>
            <w:tcBorders>
              <w:bottom w:val="single" w:sz="8" w:color="C0C0C0"/>
            </w:tcBorders>
          </w:tcPr>
          <w:p>
            <w:pPr>
              <w:jc w:val="right"/>
              <w:ind w:right="31"/>
              <w:spacing w:after="0"/>
              <w:rPr>
                <w:sz w:val="20"/>
                <w:szCs w:val="20"/>
                <w:color w:val="auto"/>
              </w:rPr>
            </w:pPr>
            <w:r>
              <w:rPr>
                <w:rFonts w:ascii="Arial" w:cs="Arial" w:eastAsia="Arial" w:hAnsi="Arial"/>
                <w:sz w:val="15"/>
                <w:szCs w:val="15"/>
                <w:color w:val="auto"/>
              </w:rPr>
              <w:t>21</w:t>
            </w:r>
          </w:p>
        </w:tc>
        <w:tc>
          <w:tcPr>
            <w:tcW w:w="32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jc w:val="right"/>
              <w:ind w:right="70"/>
              <w:spacing w:after="0"/>
              <w:rPr>
                <w:sz w:val="20"/>
                <w:szCs w:val="20"/>
                <w:color w:val="auto"/>
              </w:rPr>
            </w:pPr>
            <w:r>
              <w:rPr>
                <w:rFonts w:ascii="Arial" w:cs="Arial" w:eastAsia="Arial" w:hAnsi="Arial"/>
                <w:sz w:val="15"/>
                <w:szCs w:val="15"/>
                <w:color w:val="auto"/>
              </w:rPr>
              <w:t>15</w:t>
            </w:r>
          </w:p>
        </w:tc>
      </w:tr>
    </w:tbl>
    <w:p>
      <w:pPr>
        <w:spacing w:after="0" w:line="200" w:lineRule="exact"/>
        <w:rPr>
          <w:sz w:val="20"/>
          <w:szCs w:val="20"/>
          <w:color w:val="auto"/>
        </w:rPr>
      </w:pPr>
    </w:p>
    <w:p>
      <w:pPr>
        <w:spacing w:after="0" w:line="38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Transactions with RBS Sempra Commodities</w:t>
      </w:r>
    </w:p>
    <w:p>
      <w:pPr>
        <w:spacing w:after="0" w:line="60" w:lineRule="exact"/>
        <w:rPr>
          <w:sz w:val="20"/>
          <w:szCs w:val="20"/>
          <w:color w:val="auto"/>
        </w:rPr>
      </w:pPr>
    </w:p>
    <w:p>
      <w:pPr>
        <w:ind w:left="3" w:right="20"/>
        <w:spacing w:after="0" w:line="276" w:lineRule="auto"/>
        <w:rPr>
          <w:sz w:val="20"/>
          <w:szCs w:val="20"/>
          <w:color w:val="auto"/>
        </w:rPr>
      </w:pPr>
      <w:r>
        <w:rPr>
          <w:rFonts w:ascii="Arial" w:cs="Arial" w:eastAsia="Arial" w:hAnsi="Arial"/>
          <w:sz w:val="16"/>
          <w:szCs w:val="16"/>
          <w:color w:val="auto"/>
        </w:rPr>
        <w:t>Several of our business units engage in transactions with RBS Sempra Commodities. Amounts in our Condensed Consolidated Financial Statements related to these transactions are as follows:</w:t>
      </w:r>
    </w:p>
    <w:p>
      <w:pPr>
        <w:spacing w:after="0" w:line="259" w:lineRule="exact"/>
        <w:rPr>
          <w:sz w:val="20"/>
          <w:szCs w:val="20"/>
          <w:color w:val="auto"/>
        </w:rPr>
      </w:pPr>
    </w:p>
    <w:p>
      <w:pPr>
        <w:ind w:left="3" w:right="60" w:hanging="3"/>
        <w:spacing w:after="0" w:line="276" w:lineRule="auto"/>
        <w:tabs>
          <w:tab w:leader="none" w:pos="1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td style="BORDER-RIGHT:0px; PADDING-RIGHT:0in; BORDER-TOP:0px; PADDING-LEFT:0in; BACKGROUND:white; PADDING-BOTTOM:0in; BORDER-LEFT:0px; PADDING-TOP:0in; BORDER-BOTTOM:0px;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955" cy="294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195"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AMOUNTS RECORDED FOR TRANSACTIONS WITH RBS SEMPRA COMMODITIES</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1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3"/>
                <w:szCs w:val="13"/>
                <w:color w:val="auto"/>
              </w:rPr>
              <w:t>Three months ended June 30,</w:t>
            </w:r>
          </w:p>
        </w:tc>
        <w:tc>
          <w:tcPr>
            <w:tcW w:w="5640" w:type="dxa"/>
            <w:vAlign w:val="bottom"/>
            <w:tcBorders>
              <w:bottom w:val="single" w:sz="8" w:color="auto"/>
            </w:tcBorders>
          </w:tcPr>
          <w:p>
            <w:pPr>
              <w:ind w:left="2880"/>
              <w:spacing w:after="0"/>
              <w:rPr>
                <w:sz w:val="20"/>
                <w:szCs w:val="20"/>
                <w:color w:val="auto"/>
              </w:rPr>
            </w:pPr>
            <w:r>
              <w:rPr>
                <w:rFonts w:ascii="Arial" w:cs="Arial" w:eastAsia="Arial" w:hAnsi="Arial"/>
                <w:sz w:val="13"/>
                <w:szCs w:val="13"/>
                <w:color w:val="auto"/>
              </w:rPr>
              <w:t>Six months ended June 30,</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3"/>
                <w:szCs w:val="13"/>
                <w:color w:val="auto"/>
              </w:rPr>
              <w:t>2009</w:t>
            </w:r>
          </w:p>
        </w:tc>
        <w:tc>
          <w:tcPr>
            <w:tcW w:w="5640" w:type="dxa"/>
            <w:vAlign w:val="bottom"/>
            <w:tcBorders>
              <w:bottom w:val="single" w:sz="8" w:color="auto"/>
            </w:tcBorders>
          </w:tcPr>
          <w:p>
            <w:pPr>
              <w:jc w:val="center"/>
              <w:ind w:left="669"/>
              <w:spacing w:after="0"/>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19"/>
        </w:trPr>
        <w:tc>
          <w:tcPr>
            <w:tcW w:w="2160" w:type="dxa"/>
            <w:vAlign w:val="bottom"/>
          </w:tcPr>
          <w:p>
            <w:pPr>
              <w:spacing w:after="0"/>
              <w:rPr>
                <w:sz w:val="20"/>
                <w:szCs w:val="20"/>
                <w:color w:val="auto"/>
              </w:rPr>
            </w:pPr>
            <w:r>
              <w:rPr>
                <w:rFonts w:ascii="Arial" w:cs="Arial" w:eastAsia="Arial" w:hAnsi="Arial"/>
                <w:sz w:val="15"/>
                <w:szCs w:val="15"/>
                <w:color w:val="auto"/>
              </w:rPr>
              <w:t>Revenues: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60"/>
              <w:spacing w:after="0"/>
              <w:rPr>
                <w:sz w:val="20"/>
                <w:szCs w:val="20"/>
                <w:color w:val="auto"/>
              </w:rPr>
            </w:pPr>
            <w:r>
              <w:rPr>
                <w:rFonts w:ascii="Arial" w:cs="Arial" w:eastAsia="Arial" w:hAnsi="Arial"/>
                <w:sz w:val="15"/>
                <w:szCs w:val="15"/>
                <w:color w:val="auto"/>
              </w:rPr>
              <w:t>Sempra LNG(1)</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56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139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0"/>
        </w:trPr>
        <w:tc>
          <w:tcPr>
            <w:tcW w:w="2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50"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48"/>
        </w:trPr>
        <w:tc>
          <w:tcPr>
            <w:tcW w:w="2160" w:type="dxa"/>
            <w:vAlign w:val="bottom"/>
          </w:tcPr>
          <w:p>
            <w:pPr>
              <w:ind w:left="160"/>
              <w:spacing w:after="0"/>
              <w:rPr>
                <w:sz w:val="20"/>
                <w:szCs w:val="20"/>
                <w:color w:val="auto"/>
              </w:rPr>
            </w:pPr>
            <w:r>
              <w:rPr>
                <w:rFonts w:ascii="Arial" w:cs="Arial" w:eastAsia="Arial" w:hAnsi="Arial"/>
                <w:sz w:val="15"/>
                <w:szCs w:val="15"/>
                <w:color w:val="auto"/>
              </w:rPr>
              <w:t>Sempra Commodities</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5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21"/>
                <w:szCs w:val="21"/>
                <w:color w:val="auto"/>
              </w:rPr>
            </w:pPr>
          </w:p>
        </w:tc>
        <w:tc>
          <w:tcPr>
            <w:tcW w:w="700" w:type="dxa"/>
            <w:vAlign w:val="bottom"/>
          </w:tcPr>
          <w:p>
            <w:pPr>
              <w:jc w:val="center"/>
              <w:ind w:right="147"/>
              <w:spacing w:after="0"/>
              <w:rPr>
                <w:sz w:val="20"/>
                <w:szCs w:val="20"/>
                <w:color w:val="auto"/>
              </w:rPr>
            </w:pPr>
            <w:r>
              <w:rPr>
                <w:rFonts w:ascii="Arial" w:cs="Arial" w:eastAsia="Arial" w:hAnsi="Arial"/>
                <w:sz w:val="19"/>
                <w:szCs w:val="19"/>
                <w:color w:val="auto"/>
                <w:w w:val="98"/>
              </w:rPr>
              <w:t>&lt; /td&gt;</w:t>
            </w:r>
          </w:p>
        </w:tc>
        <w:tc>
          <w:tcPr>
            <w:tcW w:w="0" w:type="dxa"/>
            <w:vAlign w:val="bottom"/>
          </w:tcPr>
          <w:p>
            <w:pPr>
              <w:spacing w:after="0"/>
              <w:rPr>
                <w:sz w:val="1"/>
                <w:szCs w:val="1"/>
                <w:color w:val="auto"/>
              </w:rPr>
            </w:pPr>
          </w:p>
        </w:tc>
      </w:tr>
      <w:tr>
        <w:trPr>
          <w:trHeight w:val="217"/>
        </w:trPr>
        <w:tc>
          <w:tcPr>
            <w:tcW w:w="2160" w:type="dxa"/>
            <w:vAlign w:val="bottom"/>
          </w:tcPr>
          <w:p>
            <w:pPr>
              <w:ind w:left="160"/>
              <w:spacing w:after="0"/>
              <w:rPr>
                <w:sz w:val="20"/>
                <w:szCs w:val="20"/>
                <w:color w:val="auto"/>
              </w:rPr>
            </w:pPr>
            <w:r>
              <w:rPr>
                <w:rFonts w:ascii="Arial" w:cs="Arial" w:eastAsia="Arial" w:hAnsi="Arial"/>
                <w:sz w:val="15"/>
                <w:szCs w:val="15"/>
                <w:color w:val="auto"/>
              </w:rPr>
              <w:t>SoCalGas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5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2160" w:type="dxa"/>
            <w:vAlign w:val="bottom"/>
          </w:tcPr>
          <w:p>
            <w:pPr>
              <w:ind w:left="160"/>
              <w:spacing w:after="0"/>
              <w:rPr>
                <w:sz w:val="20"/>
                <w:szCs w:val="20"/>
                <w:color w:val="auto"/>
              </w:rPr>
            </w:pPr>
            <w:r>
              <w:rPr>
                <w:rFonts w:ascii="Arial" w:cs="Arial" w:eastAsia="Arial" w:hAnsi="Arial"/>
                <w:sz w:val="15"/>
                <w:szCs w:val="15"/>
                <w:color w:val="auto"/>
              </w:rPr>
              <w:t>Sempra Generation</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5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9"/>
        </w:trPr>
        <w:tc>
          <w:tcPr>
            <w:tcW w:w="2160" w:type="dxa"/>
            <w:vAlign w:val="bottom"/>
          </w:tcPr>
          <w:p>
            <w:pPr>
              <w:ind w:left="320"/>
              <w:spacing w:after="0" w:line="163" w:lineRule="exact"/>
              <w:rPr>
                <w:sz w:val="20"/>
                <w:szCs w:val="20"/>
                <w:color w:val="auto"/>
              </w:rPr>
            </w:pPr>
            <w:r>
              <w:rPr>
                <w:rFonts w:ascii="Arial" w:cs="Arial" w:eastAsia="Arial" w:hAnsi="Arial"/>
                <w:sz w:val="15"/>
                <w:szCs w:val="15"/>
                <w:color w:val="auto"/>
              </w:rPr>
              <w:t>Total revenues</w:t>
            </w:r>
          </w:p>
        </w:tc>
        <w:tc>
          <w:tcPr>
            <w:tcW w:w="1660" w:type="dxa"/>
            <w:vAlign w:val="bottom"/>
            <w:tcBorders>
              <w:bottom w:val="single" w:sz="8" w:color="auto"/>
            </w:tcBorders>
            <w:gridSpan w:val="3"/>
          </w:tcPr>
          <w:p>
            <w:pPr>
              <w:jc w:val="right"/>
              <w:spacing w:after="0" w:line="163" w:lineRule="exact"/>
              <w:rPr>
                <w:sz w:val="20"/>
                <w:szCs w:val="20"/>
                <w:color w:val="auto"/>
              </w:rPr>
            </w:pPr>
            <w:r>
              <w:rPr>
                <w:rFonts w:ascii="Arial" w:cs="Arial" w:eastAsia="Arial" w:hAnsi="Arial"/>
                <w:sz w:val="15"/>
                <w:szCs w:val="15"/>
                <w:color w:val="auto"/>
              </w:rPr>
              <w:t>$  &amp; nbsp;69 $</w:t>
            </w:r>
          </w:p>
        </w:tc>
        <w:tc>
          <w:tcPr>
            <w:tcW w:w="2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10</w:t>
            </w:r>
          </w:p>
        </w:tc>
        <w:tc>
          <w:tcPr>
            <w:tcW w:w="5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7"/>
              <w:spacing w:after="0" w:line="163" w:lineRule="exact"/>
              <w:rPr>
                <w:sz w:val="20"/>
                <w:szCs w:val="20"/>
                <w:color w:val="auto"/>
              </w:rPr>
            </w:pPr>
            <w:r>
              <w:rPr>
                <w:rFonts w:ascii="Arial" w:cs="Arial" w:eastAsia="Arial" w:hAnsi="Arial"/>
                <w:sz w:val="15"/>
                <w:szCs w:val="15"/>
                <w:color w:val="auto"/>
              </w:rPr>
              <w:t>$ 155</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1"/>
                <w:szCs w:val="21"/>
                <w:color w:val="auto"/>
              </w:rPr>
            </w:pPr>
          </w:p>
        </w:tc>
        <w:tc>
          <w:tcPr>
            <w:tcW w:w="1060" w:type="dxa"/>
            <w:vAlign w:val="bottom"/>
          </w:tcPr>
          <w:p>
            <w:pPr>
              <w:jc w:val="right"/>
              <w:ind w:right="266"/>
              <w:spacing w:after="0"/>
              <w:rPr>
                <w:sz w:val="20"/>
                <w:szCs w:val="20"/>
                <w:color w:val="auto"/>
              </w:rPr>
            </w:pPr>
            <w:r>
              <w:rPr>
                <w:rFonts w:ascii="Arial" w:cs="Arial" w:eastAsia="Arial" w:hAnsi="Arial"/>
                <w:sz w:val="19"/>
                <w:szCs w:val="19"/>
                <w:color w:val="auto"/>
              </w:rPr>
              <w:t>&amp;n bsp;</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20"/>
                <w:szCs w:val="20"/>
                <w:color w:val="auto"/>
              </w:rPr>
            </w:pPr>
            <w:r>
              <w:rPr>
                <w:rFonts w:ascii="Arial" w:cs="Arial" w:eastAsia="Arial" w:hAnsi="Arial"/>
                <w:sz w:val="15"/>
                <w:szCs w:val="15"/>
                <w:color w:val="auto"/>
              </w:rPr>
              <w:t>Cost of natural gas: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60"/>
              <w:spacing w:after="0"/>
              <w:rPr>
                <w:sz w:val="20"/>
                <w:szCs w:val="20"/>
                <w:color w:val="auto"/>
              </w:rPr>
            </w:pPr>
            <w:r>
              <w:rPr>
                <w:rFonts w:ascii="Arial" w:cs="Arial" w:eastAsia="Arial" w:hAnsi="Arial"/>
                <w:sz w:val="15"/>
                <w:szCs w:val="15"/>
                <w:color w:val="auto"/>
              </w:rPr>
              <w:t>Sempra LNG</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40" w:type="dxa"/>
            <w:vAlign w:val="bottom"/>
          </w:tcPr>
          <w:p>
            <w:pPr>
              <w:spacing w:after="0"/>
              <w:rPr>
                <w:sz w:val="16"/>
                <w:szCs w:val="16"/>
                <w:color w:val="auto"/>
              </w:rPr>
            </w:pPr>
          </w:p>
        </w:tc>
        <w:tc>
          <w:tcPr>
            <w:tcW w:w="820" w:type="dxa"/>
            <w:vAlign w:val="bottom"/>
            <w:gridSpan w:val="2"/>
          </w:tcPr>
          <w:p>
            <w:pPr>
              <w:jc w:val="right"/>
              <w:ind w:right="7"/>
              <w:spacing w:after="0"/>
              <w:rPr>
                <w:sz w:val="20"/>
                <w:szCs w:val="20"/>
                <w:color w:val="auto"/>
              </w:rPr>
            </w:pPr>
            <w:r>
              <w:rPr>
                <w:rFonts w:ascii="Arial" w:cs="Arial" w:eastAsia="Arial" w:hAnsi="Arial"/>
                <w:sz w:val="15"/>
                <w:szCs w:val="15"/>
                <w:color w:val="auto"/>
              </w:rPr>
              <w:t>$ 145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Generation</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SoCalGas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Pipelines &amp; Storage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2"/>
        </w:trPr>
        <w:tc>
          <w:tcPr>
            <w:tcW w:w="2160" w:type="dxa"/>
            <w:vAlign w:val="bottom"/>
          </w:tcPr>
          <w:p>
            <w:pPr>
              <w:ind w:left="160"/>
              <w:spacing w:after="0"/>
              <w:rPr>
                <w:sz w:val="20"/>
                <w:szCs w:val="20"/>
                <w:color w:val="auto"/>
              </w:rPr>
            </w:pPr>
            <w:r>
              <w:rPr>
                <w:rFonts w:ascii="Arial" w:cs="Arial" w:eastAsia="Arial" w:hAnsi="Arial"/>
                <w:sz w:val="15"/>
                <w:szCs w:val="15"/>
                <w:color w:val="auto"/>
              </w:rPr>
              <w:t>SDG&amp;E</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ind w:left="320"/>
              <w:spacing w:after="0" w:line="163" w:lineRule="exact"/>
              <w:rPr>
                <w:sz w:val="20"/>
                <w:szCs w:val="20"/>
                <w:color w:val="auto"/>
              </w:rPr>
            </w:pPr>
            <w:r>
              <w:rPr>
                <w:rFonts w:ascii="Arial" w:cs="Arial" w:eastAsia="Arial" w:hAnsi="Arial"/>
                <w:sz w:val="15"/>
                <w:szCs w:val="15"/>
                <w:color w:val="auto"/>
              </w:rPr>
              <w:t>Total cost of natural gas</w:t>
            </w:r>
          </w:p>
        </w:tc>
        <w:tc>
          <w:tcPr>
            <w:tcW w:w="1060" w:type="dxa"/>
            <w:vAlign w:val="bottom"/>
            <w:tcBorders>
              <w:bottom w:val="single" w:sz="8" w:color="auto"/>
            </w:tcBorders>
          </w:tcPr>
          <w:p>
            <w:pPr>
              <w:jc w:val="right"/>
              <w:ind w:right="266"/>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108</w:t>
            </w: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w:t>
            </w:r>
          </w:p>
        </w:tc>
        <w:tc>
          <w:tcPr>
            <w:tcW w:w="5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213</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452"/>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tcPr>
          <w:p>
            <w:pPr>
              <w:jc w:val="center"/>
              <w:ind w:left="709"/>
              <w:spacing w:after="0"/>
              <w:rPr>
                <w:sz w:val="20"/>
                <w:szCs w:val="20"/>
                <w:color w:val="auto"/>
              </w:rPr>
            </w:pPr>
            <w:r>
              <w:rPr>
                <w:rFonts w:ascii="Arial" w:cs="Arial" w:eastAsia="Arial" w:hAnsi="Arial"/>
                <w:sz w:val="13"/>
                <w:szCs w:val="13"/>
                <w:color w:val="auto"/>
              </w:rPr>
              <w:t>June 30,</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06"/>
        </w:trPr>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tcPr>
          <w:p>
            <w:pPr>
              <w:jc w:val="center"/>
              <w:ind w:left="669"/>
              <w:spacing w:after="0"/>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64"/>
        </w:trPr>
        <w:tc>
          <w:tcPr>
            <w:tcW w:w="2160" w:type="dxa"/>
            <w:vAlign w:val="bottom"/>
          </w:tcPr>
          <w:p>
            <w:pPr>
              <w:spacing w:after="0" w:line="164" w:lineRule="exact"/>
              <w:rPr>
                <w:sz w:val="20"/>
                <w:szCs w:val="20"/>
                <w:color w:val="auto"/>
              </w:rPr>
            </w:pPr>
            <w:r>
              <w:rPr>
                <w:rFonts w:ascii="Arial" w:cs="Arial" w:eastAsia="Arial" w:hAnsi="Arial"/>
                <w:sz w:val="15"/>
                <w:szCs w:val="15"/>
                <w:color w:val="auto"/>
              </w:rPr>
              <w:t>Fixed-price contracts and other</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20"/>
                <w:szCs w:val="20"/>
                <w:color w:val="auto"/>
              </w:rPr>
            </w:pPr>
            <w:r>
              <w:rPr>
                <w:rFonts w:ascii="Arial" w:cs="Arial" w:eastAsia="Arial" w:hAnsi="Arial"/>
                <w:sz w:val="15"/>
                <w:szCs w:val="15"/>
                <w:color w:val="auto"/>
                <w:w w:val="97"/>
              </w:rPr>
              <w:t>derivatives - Net Asset (Liability):</w:t>
            </w: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140"/>
              <w:spacing w:after="0"/>
              <w:rPr>
                <w:sz w:val="20"/>
                <w:szCs w:val="20"/>
                <w:color w:val="auto"/>
              </w:rPr>
            </w:pPr>
            <w:r>
              <w:rPr>
                <w:rFonts w:ascii="Arial" w:cs="Arial" w:eastAsia="Arial" w:hAnsi="Arial"/>
                <w:sz w:val="15"/>
                <w:szCs w:val="15"/>
                <w:color w:val="auto"/>
              </w:rPr>
              <w:t>Sempra Generation</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2"/>
        </w:trPr>
        <w:tc>
          <w:tcPr>
            <w:tcW w:w="2160" w:type="dxa"/>
            <w:vAlign w:val="bottom"/>
          </w:tcPr>
          <w:p>
            <w:pPr>
              <w:ind w:left="160"/>
              <w:spacing w:after="0"/>
              <w:rPr>
                <w:sz w:val="20"/>
                <w:szCs w:val="20"/>
                <w:color w:val="auto"/>
              </w:rPr>
            </w:pPr>
            <w:r>
              <w:rPr>
                <w:rFonts w:ascii="Arial" w:cs="Arial" w:eastAsia="Arial" w:hAnsi="Arial"/>
                <w:sz w:val="15"/>
                <w:szCs w:val="15"/>
                <w:color w:val="auto"/>
              </w:rPr>
              <w:t>Sempra LNG</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4"/>
        </w:trPr>
        <w:tc>
          <w:tcPr>
            <w:tcW w:w="2160" w:type="dxa"/>
            <w:vAlign w:val="bottom"/>
          </w:tcPr>
          <w:p>
            <w:pPr>
              <w:ind w:left="320"/>
              <w:spacing w:after="0"/>
              <w:rPr>
                <w:sz w:val="20"/>
                <w:szCs w:val="20"/>
                <w:color w:val="auto"/>
              </w:rPr>
            </w:pPr>
            <w:r>
              <w:rPr>
                <w:rFonts w:ascii="Arial" w:cs="Arial" w:eastAsia="Arial" w:hAnsi="Arial"/>
                <w:sz w:val="15"/>
                <w:szCs w:val="15"/>
                <w:color w:val="auto"/>
              </w:rPr>
              <w:t>Total</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446"/>
        </w:trPr>
        <w:tc>
          <w:tcPr>
            <w:tcW w:w="2160" w:type="dxa"/>
            <w:vAlign w:val="bottom"/>
          </w:tcPr>
          <w:p>
            <w:pPr>
              <w:spacing w:after="0"/>
              <w:rPr>
                <w:sz w:val="20"/>
                <w:szCs w:val="20"/>
                <w:color w:val="auto"/>
              </w:rPr>
            </w:pPr>
            <w:r>
              <w:rPr>
                <w:rFonts w:ascii="Arial" w:cs="Arial" w:eastAsia="Arial" w:hAnsi="Arial"/>
                <w:sz w:val="15"/>
                <w:szCs w:val="15"/>
                <w:color w:val="auto"/>
              </w:rPr>
              <w:t>Due to unconsolidated affiliates: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Generation</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LNG</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2"/>
        </w:trPr>
        <w:tc>
          <w:tcPr>
            <w:tcW w:w="2160" w:type="dxa"/>
            <w:vAlign w:val="bottom"/>
          </w:tcPr>
          <w:p>
            <w:pPr>
              <w:ind w:left="160"/>
              <w:spacing w:after="0"/>
              <w:rPr>
                <w:sz w:val="20"/>
                <w:szCs w:val="20"/>
                <w:color w:val="auto"/>
              </w:rPr>
            </w:pPr>
            <w:r>
              <w:rPr>
                <w:rFonts w:ascii="Arial" w:cs="Arial" w:eastAsia="Arial" w:hAnsi="Arial"/>
                <w:sz w:val="15"/>
                <w:szCs w:val="15"/>
                <w:color w:val="auto"/>
              </w:rPr>
              <w:t>Sempra Pipelines &amp; Storage</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4"/>
        </w:trPr>
        <w:tc>
          <w:tcPr>
            <w:tcW w:w="2160" w:type="dxa"/>
            <w:vAlign w:val="bottom"/>
          </w:tcPr>
          <w:p>
            <w:pPr>
              <w:ind w:left="320"/>
              <w:spacing w:after="0"/>
              <w:rPr>
                <w:sz w:val="20"/>
                <w:szCs w:val="20"/>
                <w:color w:val="auto"/>
              </w:rPr>
            </w:pPr>
            <w:r>
              <w:rPr>
                <w:rFonts w:ascii="Arial" w:cs="Arial" w:eastAsia="Arial" w:hAnsi="Arial"/>
                <w:sz w:val="15"/>
                <w:szCs w:val="15"/>
                <w:color w:val="auto"/>
              </w:rPr>
              <w:t>Total</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464"/>
        </w:trPr>
        <w:tc>
          <w:tcPr>
            <w:tcW w:w="2160" w:type="dxa"/>
            <w:vAlign w:val="bottom"/>
          </w:tcPr>
          <w:p>
            <w:pPr>
              <w:spacing w:after="0"/>
              <w:rPr>
                <w:sz w:val="20"/>
                <w:szCs w:val="20"/>
                <w:color w:val="auto"/>
              </w:rPr>
            </w:pPr>
            <w:r>
              <w:rPr>
                <w:rFonts w:ascii="Arial" w:cs="Arial" w:eastAsia="Arial" w:hAnsi="Arial"/>
                <w:sz w:val="15"/>
                <w:szCs w:val="15"/>
                <w:color w:val="auto"/>
              </w:rPr>
              <w:t>Due from unconsolidated</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&lt; p style="MARGIN:0in 0in 0pt; TEXT-ALIGN:right" align=right&gt;</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20"/>
                <w:szCs w:val="20"/>
                <w:color w:val="auto"/>
              </w:rPr>
            </w:pPr>
            <w:r>
              <w:rPr>
                <w:rFonts w:ascii="Arial" w:cs="Arial" w:eastAsia="Arial" w:hAnsi="Arial"/>
                <w:sz w:val="15"/>
                <w:szCs w:val="15"/>
                <w:color w:val="auto"/>
              </w:rPr>
              <w:t>affiliates:</w:t>
            </w: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Commodities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40" w:type="dxa"/>
            <w:vAlign w:val="bottom"/>
          </w:tcPr>
          <w:p>
            <w:pPr>
              <w:spacing w:after="0"/>
              <w:rPr>
                <w:sz w:val="19"/>
                <w:szCs w:val="19"/>
                <w:color w:val="auto"/>
              </w:rPr>
            </w:pPr>
          </w:p>
        </w:tc>
        <w:tc>
          <w:tcPr>
            <w:tcW w:w="46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1</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80"/>
              <w:spacing w:after="0"/>
              <w:rPr>
                <w:sz w:val="20"/>
                <w:szCs w:val="20"/>
                <w:color w:val="auto"/>
              </w:rPr>
            </w:pPr>
            <w:r>
              <w:rPr>
                <w:rFonts w:ascii="Arial" w:cs="Arial" w:eastAsia="Arial" w:hAnsi="Arial"/>
                <w:sz w:val="15"/>
                <w:szCs w:val="15"/>
                <w:color w:val="auto"/>
              </w:rPr>
              <w:t>&amp;nbs p; Sempra Generation</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19"/>
        </w:trPr>
        <w:tc>
          <w:tcPr>
            <w:tcW w:w="2160" w:type="dxa"/>
            <w:vAlign w:val="bottom"/>
          </w:tcPr>
          <w:p>
            <w:pPr>
              <w:ind w:left="160"/>
              <w:spacing w:after="0"/>
              <w:rPr>
                <w:sz w:val="20"/>
                <w:szCs w:val="20"/>
                <w:color w:val="auto"/>
              </w:rPr>
            </w:pPr>
            <w:r>
              <w:rPr>
                <w:rFonts w:ascii="Arial" w:cs="Arial" w:eastAsia="Arial" w:hAnsi="Arial"/>
                <w:sz w:val="15"/>
                <w:szCs w:val="15"/>
                <w:color w:val="auto"/>
              </w:rPr>
              <w:t>Sempra LNG</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6"/>
        </w:trPr>
        <w:tc>
          <w:tcPr>
            <w:tcW w:w="2160" w:type="dxa"/>
            <w:vAlign w:val="bottom"/>
          </w:tcPr>
          <w:p>
            <w:pPr>
              <w:ind w:left="160"/>
              <w:spacing w:after="0"/>
              <w:rPr>
                <w:sz w:val="20"/>
                <w:szCs w:val="20"/>
                <w:color w:val="auto"/>
              </w:rPr>
            </w:pPr>
            <w:r>
              <w:rPr>
                <w:rFonts w:ascii="Arial" w:cs="Arial" w:eastAsia="Arial" w:hAnsi="Arial"/>
                <w:sz w:val="15"/>
                <w:szCs w:val="15"/>
                <w:color w:val="auto"/>
              </w:rPr>
              <w:t>Parent and other</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auto"/>
            </w:tcBorders>
          </w:tcPr>
          <w:p>
            <w:pPr>
              <w:ind w:left="440"/>
              <w:spacing w:after="0" w:line="205" w:lineRule="exact"/>
              <w:rPr>
                <w:sz w:val="20"/>
                <w:szCs w:val="20"/>
                <w:color w:val="auto"/>
              </w:rPr>
            </w:pPr>
            <w:r>
              <w:rPr>
                <w:rFonts w:ascii="Arial" w:cs="Arial" w:eastAsia="Arial" w:hAnsi="Arial"/>
                <w:sz w:val="19"/>
                <w:szCs w:val="19"/>
                <w:color w:val="auto"/>
              </w:rPr>
              <w:t>Total</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bl>
    <w:p>
      <w:pPr>
        <w:ind w:left="1043" w:right="20" w:hanging="604"/>
        <w:spacing w:after="0"/>
        <w:tabs>
          <w:tab w:leader="none" w:pos="1043"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gains of $3 million and $14 million for the three months and six months ended June 30, 2010, respectively, and $4 million loss and $1 million gain for the three months and six months ended June 30, 2009, respectively, related to a natural gas sales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WRITE-OFF OF LONG-LIVED ASSETS</w:t>
      </w:r>
    </w:p>
    <w:p>
      <w:pPr>
        <w:spacing w:after="0" w:line="165" w:lineRule="exact"/>
        <w:rPr>
          <w:sz w:val="20"/>
          <w:szCs w:val="20"/>
          <w:color w:val="auto"/>
        </w:rPr>
      </w:pPr>
    </w:p>
    <w:p>
      <w:pPr>
        <w:ind w:left="3" w:right="240"/>
        <w:spacing w:after="0" w:line="350" w:lineRule="auto"/>
        <w:rPr>
          <w:sz w:val="20"/>
          <w:szCs w:val="20"/>
          <w:color w:val="auto"/>
        </w:rPr>
      </w:pPr>
      <w:r>
        <w:rPr>
          <w:rFonts w:ascii="Arial" w:cs="Arial" w:eastAsia="Arial" w:hAnsi="Arial"/>
          <w:sz w:val="14"/>
          <w:szCs w:val="14"/>
          <w:color w:val="auto"/>
        </w:rPr>
        <w:t>In the second quarter of 2009, we recorded a pretax write-off of $132 million related to certain assets at one of Sempra Pipelines &amp; Storage’s Liberty Gas Storage natural gas storage projects. Sempra Pipelines &amp; Storage owns a 75-percent interest in the partnership that is developing the project. Our partner’s 25-percent share of the pretax charge was</w:t>
      </w:r>
    </w:p>
    <w:p>
      <w:pPr>
        <w:sectPr>
          <w:pgSz w:w="11900" w:h="16958" w:orient="portrait"/>
          <w:cols w:equalWidth="0" w:num="1">
            <w:col w:w="11443"/>
          </w:cols>
          <w:pgMar w:left="237" w:top="405" w:right="219" w:bottom="0" w:gutter="0" w:footer="0" w:header="0"/>
        </w:sectPr>
      </w:pPr>
    </w:p>
    <w:bookmarkStart w:id="22" w:name="page23"/>
    <w:bookmarkEnd w:id="22"/>
    <w:p>
      <w:pPr>
        <w:ind w:right="160"/>
        <w:spacing w:after="0" w:line="265" w:lineRule="auto"/>
        <w:rPr>
          <w:sz w:val="20"/>
          <w:szCs w:val="20"/>
          <w:color w:val="auto"/>
        </w:rPr>
      </w:pPr>
      <w:r>
        <w:rPr>
          <w:rFonts w:ascii="Arial" w:cs="Arial" w:eastAsia="Arial" w:hAnsi="Arial"/>
          <w:sz w:val="16"/>
          <w:szCs w:val="16"/>
          <w:color w:val="auto"/>
        </w:rPr>
        <w:t>$33 million, which is included in Losses Attributable to Noncontrolling Interests on our Condensed Consolidated Statements of Operations for the three months and six months ended June 30, 2009. The impact to our net income and to our earnings was $97 million and $64 million, respectively, for both periods. We discuss this write-off further in Note 1 of the Notes to Consolidated Financial Statements in the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9955" cy="294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33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OTHER INCOME (EXPENSE), NET</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color w:val="auto"/>
              </w:rPr>
              <w:t>Three months ended June 30,</w:t>
            </w:r>
          </w:p>
        </w:tc>
        <w:tc>
          <w:tcPr>
            <w:tcW w:w="18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3"/>
                <w:szCs w:val="13"/>
                <w:color w:val="auto"/>
              </w:rPr>
              <w:t>Six months ended June 30,</w:t>
            </w:r>
          </w:p>
        </w:tc>
      </w:tr>
      <w:tr>
        <w:trPr>
          <w:trHeight w:val="199"/>
        </w:trPr>
        <w:tc>
          <w:tcPr>
            <w:tcW w:w="7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color w:val="auto"/>
                <w:w w:val="96"/>
              </w:rPr>
              <w:t>2010</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color w:val="auto"/>
              </w:rPr>
              <w:t>2009</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color w:val="auto"/>
              </w:rPr>
              <w:t>2010</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color w:val="auto"/>
              </w:rPr>
              <w:t>2009</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5"/>
        </w:trPr>
        <w:tc>
          <w:tcPr>
            <w:tcW w:w="7640" w:type="dxa"/>
            <w:vAlign w:val="bottom"/>
          </w:tcPr>
          <w:p>
            <w:pPr>
              <w:ind w:left="100"/>
              <w:spacing w:after="0"/>
              <w:rPr>
                <w:sz w:val="20"/>
                <w:szCs w:val="20"/>
                <w:color w:val="auto"/>
              </w:rPr>
            </w:pPr>
            <w:r>
              <w:rPr>
                <w:rFonts w:ascii="Arial" w:cs="Arial" w:eastAsia="Arial" w:hAnsi="Arial"/>
                <w:sz w:val="15"/>
                <w:szCs w:val="15"/>
                <w:color w:val="auto"/>
              </w:rPr>
              <w:t>Allowance for equity funds used during construction</w:t>
            </w:r>
          </w:p>
        </w:tc>
        <w:tc>
          <w:tcPr>
            <w:tcW w:w="340" w:type="dxa"/>
            <w:vAlign w:val="bottom"/>
          </w:tcPr>
          <w:p>
            <w:pPr>
              <w:ind w:lef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14</w:t>
            </w:r>
          </w:p>
        </w:tc>
        <w:tc>
          <w:tcPr>
            <w:tcW w:w="3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10</w:t>
            </w:r>
          </w:p>
        </w:tc>
        <w:tc>
          <w:tcPr>
            <w:tcW w:w="2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27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18</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color w:val="auto"/>
              </w:rPr>
              <w:t>Regulatory interest,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color w:val="auto"/>
              </w:rPr>
              <w:t>Investment gains(1)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30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37</w:t>
            </w:r>
          </w:p>
        </w:tc>
        <w:tc>
          <w:tcPr>
            <w:tcW w:w="24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20</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color w:val="auto"/>
              </w:rPr>
              <w:t>Gains (losses) on interest rate i nstruments(2)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97"/>
              </w:rPr>
              <w:t>(14)</w:t>
            </w:r>
          </w:p>
        </w:tc>
        <w:tc>
          <w:tcPr>
            <w:tcW w:w="30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9"/>
                <w:szCs w:val="19"/>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24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29</w:t>
            </w:r>
          </w:p>
        </w:tc>
      </w:tr>
      <w:tr>
        <w:trPr>
          <w:trHeight w:val="204"/>
        </w:trPr>
        <w:tc>
          <w:tcPr>
            <w:tcW w:w="7640" w:type="dxa"/>
            <w:vAlign w:val="bottom"/>
          </w:tcPr>
          <w:p>
            <w:pPr>
              <w:ind w:left="100"/>
              <w:spacing w:after="0"/>
              <w:rPr>
                <w:sz w:val="20"/>
                <w:szCs w:val="20"/>
                <w:color w:val="auto"/>
              </w:rPr>
            </w:pPr>
            <w:r>
              <w:rPr>
                <w:rFonts w:ascii="Arial" w:cs="Arial" w:eastAsia="Arial" w:hAnsi="Arial"/>
                <w:sz w:val="15"/>
                <w:szCs w:val="15"/>
                <w:color w:val="auto"/>
              </w:rPr>
              <w:t>Sundry, net</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w:t>
            </w:r>
          </w:p>
        </w:tc>
      </w:tr>
      <w:tr>
        <w:trPr>
          <w:trHeight w:val="224"/>
        </w:trPr>
        <w:tc>
          <w:tcPr>
            <w:tcW w:w="7640" w:type="dxa"/>
            <w:vAlign w:val="bottom"/>
            <w:tcBorders>
              <w:bottom w:val="single" w:sz="8" w:color="auto"/>
            </w:tcBorders>
          </w:tcPr>
          <w:p>
            <w:pPr>
              <w:ind w:left="440"/>
              <w:spacing w:after="0" w:line="207" w:lineRule="exact"/>
              <w:rPr>
                <w:sz w:val="20"/>
                <w:szCs w:val="20"/>
                <w:color w:val="auto"/>
              </w:rPr>
            </w:pPr>
            <w:r>
              <w:rPr>
                <w:rFonts w:ascii="Arial" w:cs="Arial" w:eastAsia="Arial" w:hAnsi="Arial"/>
                <w:sz w:val="19"/>
                <w:szCs w:val="19"/>
                <w:color w:val="auto"/>
              </w:rPr>
              <w:t>&lt; font style="FONT-SIZE:9pt; COLOR:black; FONT-FAMILY:'Arial','sans-serif'"&gt;Total</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w:t>
            </w:r>
          </w:p>
        </w:tc>
        <w:tc>
          <w:tcPr>
            <w:tcW w:w="3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70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73</w:t>
            </w:r>
          </w:p>
        </w:tc>
      </w:tr>
      <w:tr>
        <w:trPr>
          <w:trHeight w:val="227"/>
        </w:trPr>
        <w:tc>
          <w:tcPr>
            <w:tcW w:w="764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5"/>
        </w:trPr>
        <w:tc>
          <w:tcPr>
            <w:tcW w:w="7640" w:type="dxa"/>
            <w:vAlign w:val="bottom"/>
          </w:tcPr>
          <w:p>
            <w:pPr>
              <w:ind w:left="100"/>
              <w:spacing w:after="0"/>
              <w:rPr>
                <w:sz w:val="20"/>
                <w:szCs w:val="20"/>
                <w:color w:val="auto"/>
              </w:rPr>
            </w:pPr>
            <w:r>
              <w:rPr>
                <w:rFonts w:ascii="Arial" w:cs="Arial" w:eastAsia="Arial" w:hAnsi="Arial"/>
                <w:sz w:val="15"/>
                <w:szCs w:val="15"/>
                <w:color w:val="auto"/>
              </w:rPr>
              <w:t>Allowance for equity funds used during construction</w:t>
            </w:r>
          </w:p>
        </w:tc>
        <w:tc>
          <w:tcPr>
            <w:tcW w:w="340" w:type="dxa"/>
            <w:vAlign w:val="bottom"/>
          </w:tcPr>
          <w:p>
            <w:pPr>
              <w:ind w:lef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7</w:t>
            </w:r>
          </w:p>
        </w:tc>
        <w:tc>
          <w:tcPr>
            <w:tcW w:w="2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19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13</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color w:val="auto"/>
              </w:rPr>
              <w:t>Regulatory interest,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w:t>
            </w:r>
          </w:p>
        </w:tc>
      </w:tr>
      <w:tr>
        <w:trPr>
          <w:trHeight w:val="219"/>
        </w:trPr>
        <w:tc>
          <w:tcPr>
            <w:tcW w:w="7640" w:type="dxa"/>
            <w:vAlign w:val="bottom"/>
          </w:tcPr>
          <w:p>
            <w:pPr>
              <w:ind w:left="100"/>
              <w:spacing w:after="0"/>
              <w:rPr>
                <w:sz w:val="20"/>
                <w:szCs w:val="20"/>
                <w:color w:val="auto"/>
              </w:rPr>
            </w:pPr>
            <w:r>
              <w:rPr>
                <w:rFonts w:ascii="Arial" w:cs="Arial" w:eastAsia="Arial" w:hAnsi="Arial"/>
                <w:sz w:val="15"/>
                <w:szCs w:val="15"/>
                <w:color w:val="auto"/>
              </w:rPr>
              <w:t>Gains (losses) on interest rate instruments(2)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97"/>
              </w:rPr>
              <w:t>(25)</w:t>
            </w:r>
          </w:p>
        </w:tc>
        <w:tc>
          <w:tcPr>
            <w:tcW w:w="300" w:type="dxa"/>
            <w:vAlign w:val="bottom"/>
          </w:tcPr>
          <w:p>
            <w:pPr>
              <w:spacing w:after="0"/>
              <w:rPr>
                <w:sz w:val="19"/>
                <w:szCs w:val="19"/>
                <w:color w:val="auto"/>
              </w:rPr>
            </w:pP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19"/>
                <w:szCs w:val="19"/>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(34)</w:t>
            </w:r>
          </w:p>
        </w:tc>
        <w:tc>
          <w:tcPr>
            <w:tcW w:w="240" w:type="dxa"/>
            <w:vAlign w:val="bottom"/>
          </w:tcPr>
          <w:p>
            <w:pPr>
              <w:spacing w:after="0"/>
              <w:rPr>
                <w:sz w:val="19"/>
                <w:szCs w:val="19"/>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30</w:t>
            </w:r>
          </w:p>
        </w:tc>
      </w:tr>
      <w:tr>
        <w:trPr>
          <w:trHeight w:val="212"/>
        </w:trPr>
        <w:tc>
          <w:tcPr>
            <w:tcW w:w="7640" w:type="dxa"/>
            <w:vAlign w:val="bottom"/>
          </w:tcPr>
          <w:p>
            <w:pPr>
              <w:ind w:left="100"/>
              <w:spacing w:after="0"/>
              <w:rPr>
                <w:sz w:val="20"/>
                <w:szCs w:val="20"/>
                <w:color w:val="auto"/>
              </w:rPr>
            </w:pPr>
            <w:r>
              <w:rPr>
                <w:rFonts w:ascii="Arial" w:cs="Arial" w:eastAsia="Arial" w:hAnsi="Arial"/>
                <w:sz w:val="15"/>
                <w:szCs w:val="15"/>
                <w:color w:val="auto"/>
              </w:rPr>
              <w:t>Sundry, net</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r>
      <w:tr>
        <w:trPr>
          <w:trHeight w:val="179"/>
        </w:trPr>
        <w:tc>
          <w:tcPr>
            <w:tcW w:w="7640" w:type="dxa"/>
            <w:vAlign w:val="bottom"/>
            <w:tcBorders>
              <w:bottom w:val="single" w:sz="8" w:color="auto"/>
            </w:tcBorders>
          </w:tcPr>
          <w:p>
            <w:pPr>
              <w:ind w:left="440"/>
              <w:spacing w:after="0" w:line="163" w:lineRule="exact"/>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tcPr>
          <w:p>
            <w:pPr>
              <w:ind w:left="80"/>
              <w:spacing w:after="0" w:line="163"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97"/>
              </w:rPr>
              <w:t>(16)</w:t>
            </w:r>
          </w:p>
        </w:tc>
        <w:tc>
          <w:tcPr>
            <w:tcW w:w="30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87"/>
              <w:spacing w:after="0" w:line="163" w:lineRule="exact"/>
              <w:rPr>
                <w:sz w:val="20"/>
                <w:szCs w:val="20"/>
                <w:color w:val="auto"/>
              </w:rPr>
            </w:pPr>
            <w:r>
              <w:rPr>
                <w:rFonts w:ascii="Arial" w:cs="Arial" w:eastAsia="Arial" w:hAnsi="Arial"/>
                <w:sz w:val="15"/>
                <w:szCs w:val="15"/>
                <w:color w:val="auto"/>
              </w:rPr>
              <w:t>27</w:t>
            </w:r>
          </w:p>
        </w:tc>
        <w:tc>
          <w:tcPr>
            <w:tcW w:w="240" w:type="dxa"/>
            <w:vAlign w:val="bottom"/>
            <w:tcBorders>
              <w:bottom w:val="single" w:sz="8" w:color="auto"/>
            </w:tcBorders>
          </w:tcPr>
          <w:p>
            <w:pPr>
              <w:jc w:val="right"/>
              <w:ind w:right="8"/>
              <w:spacing w:after="0" w:line="163"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(1 6)</w:t>
            </w:r>
          </w:p>
        </w:tc>
        <w:tc>
          <w:tcPr>
            <w:tcW w:w="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44</w:t>
            </w:r>
          </w:p>
        </w:tc>
      </w:tr>
      <w:tr>
        <w:trPr>
          <w:trHeight w:val="227"/>
        </w:trPr>
        <w:tc>
          <w:tcPr>
            <w:tcW w:w="7640" w:type="dxa"/>
            <w:vAlign w:val="bottom"/>
          </w:tcPr>
          <w:p>
            <w:pPr>
              <w:ind w:left="100"/>
              <w:spacing w:after="0"/>
              <w:rPr>
                <w:sz w:val="20"/>
                <w:szCs w:val="20"/>
                <w:color w:val="auto"/>
              </w:rPr>
            </w:pPr>
            <w:r>
              <w:rPr>
                <w:rFonts w:ascii="Arial" w:cs="Arial" w:eastAsia="Arial" w:hAnsi="Arial"/>
                <w:sz w:val="15"/>
                <w:szCs w:val="15"/>
                <w:b w:val="1"/>
                <w:bCs w:val="1"/>
                <w:color w:val="auto"/>
              </w:rPr>
              <w:t>SoCalGas and PE: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5"/>
        </w:trPr>
        <w:tc>
          <w:tcPr>
            <w:tcW w:w="7640" w:type="dxa"/>
            <w:vAlign w:val="bottom"/>
          </w:tcPr>
          <w:p>
            <w:pPr>
              <w:ind w:left="100"/>
              <w:spacing w:after="0"/>
              <w:rPr>
                <w:sz w:val="20"/>
                <w:szCs w:val="20"/>
                <w:color w:val="auto"/>
              </w:rPr>
            </w:pPr>
            <w:r>
              <w:rPr>
                <w:rFonts w:ascii="Arial" w:cs="Arial" w:eastAsia="Arial" w:hAnsi="Arial"/>
                <w:sz w:val="15"/>
                <w:szCs w:val="15"/>
                <w:color w:val="auto"/>
              </w:rPr>
              <w:t>Allowance for equity funds used during construction</w:t>
            </w:r>
          </w:p>
        </w:tc>
        <w:tc>
          <w:tcPr>
            <w:tcW w:w="340" w:type="dxa"/>
            <w:vAlign w:val="bottom"/>
          </w:tcPr>
          <w:p>
            <w:pPr>
              <w:ind w:lef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3</w:t>
            </w:r>
          </w:p>
        </w:tc>
        <w:tc>
          <w:tcPr>
            <w:tcW w:w="2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5</w:t>
            </w:r>
          </w:p>
        </w:tc>
      </w:tr>
      <w:tr>
        <w:trPr>
          <w:trHeight w:val="212"/>
        </w:trPr>
        <w:tc>
          <w:tcPr>
            <w:tcW w:w="7640" w:type="dxa"/>
            <w:vAlign w:val="bottom"/>
          </w:tcPr>
          <w:p>
            <w:pPr>
              <w:ind w:left="100"/>
              <w:spacing w:after="0"/>
              <w:rPr>
                <w:sz w:val="20"/>
                <w:szCs w:val="20"/>
                <w:color w:val="auto"/>
              </w:rPr>
            </w:pPr>
            <w:r>
              <w:rPr>
                <w:rFonts w:ascii="Arial" w:cs="Arial" w:eastAsia="Arial" w:hAnsi="Arial"/>
                <w:sz w:val="15"/>
                <w:szCs w:val="15"/>
                <w:color w:val="auto"/>
              </w:rPr>
              <w:t>Sundry, net</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r>
      <w:tr>
        <w:trPr>
          <w:trHeight w:val="207"/>
        </w:trPr>
        <w:tc>
          <w:tcPr>
            <w:tcW w:w="7640" w:type="dxa"/>
            <w:vAlign w:val="bottom"/>
          </w:tcPr>
          <w:p>
            <w:pPr>
              <w:ind w:left="440"/>
              <w:spacing w:after="0"/>
              <w:rPr>
                <w:sz w:val="20"/>
                <w:szCs w:val="20"/>
                <w:color w:val="auto"/>
              </w:rPr>
            </w:pPr>
            <w:r>
              <w:rPr>
                <w:rFonts w:ascii="Arial" w:cs="Arial" w:eastAsia="Arial" w:hAnsi="Arial"/>
                <w:sz w:val="15"/>
                <w:szCs w:val="15"/>
                <w:color w:val="auto"/>
              </w:rPr>
              <w:t>Total at SoCalGas and PE</w:t>
            </w:r>
          </w:p>
        </w:tc>
        <w:tc>
          <w:tcPr>
            <w:tcW w:w="34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c>
          <w:tcPr>
            <w:tcW w:w="2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ind w:left="440" w:right="280" w:hanging="345"/>
        <w:spacing w:after="0" w:line="245" w:lineRule="auto"/>
        <w:tabs>
          <w:tab w:leader="none" w:pos="44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spacing w:after="0" w:line="1" w:lineRule="exact"/>
        <w:rPr>
          <w:rFonts w:ascii="Arial" w:cs="Arial" w:eastAsia="Arial" w:hAnsi="Arial"/>
          <w:sz w:val="13"/>
          <w:szCs w:val="13"/>
          <w:i w:val="1"/>
          <w:iCs w:val="1"/>
          <w:color w:val="auto"/>
        </w:rPr>
      </w:pPr>
    </w:p>
    <w:p>
      <w:pPr>
        <w:ind w:left="440" w:hanging="345"/>
        <w:spacing w:after="0"/>
        <w:tabs>
          <w:tab w:leader="none" w:pos="44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Related to Otay Mesa VIE. Sempra Energy Consolidated also includes additional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37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4925060" cy="262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5060" cy="262890"/>
                    </a:xfrm>
                    <a:prstGeom prst="rect">
                      <a:avLst/>
                    </a:prstGeom>
                    <a:noFill/>
                  </pic:spPr>
                </pic:pic>
              </a:graphicData>
            </a:graphic>
          </wp:anchor>
        </w:drawing>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INCOME TAX EXPENSE AND EFFECTIVE INCOME TAX RATES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6"/>
        </w:trPr>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center"/>
              <w:ind w:left="691"/>
              <w:spacing w:after="0"/>
              <w:rPr>
                <w:sz w:val="20"/>
                <w:szCs w:val="20"/>
                <w:color w:val="auto"/>
              </w:rPr>
            </w:pPr>
            <w:r>
              <w:rPr>
                <w:rFonts w:ascii="Arial" w:cs="Arial" w:eastAsia="Arial" w:hAnsi="Arial"/>
                <w:sz w:val="13"/>
                <w:szCs w:val="13"/>
                <w:color w:val="auto"/>
                <w:w w:val="99"/>
              </w:rPr>
              <w:t>Three months ended June 30,</w:t>
            </w: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211"/>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0"/>
              <w:spacing w:after="0"/>
              <w:rPr>
                <w:sz w:val="20"/>
                <w:szCs w:val="20"/>
                <w:color w:val="auto"/>
              </w:rPr>
            </w:pPr>
            <w:r>
              <w:rPr>
                <w:rFonts w:ascii="Arial" w:cs="Arial" w:eastAsia="Arial" w:hAnsi="Arial"/>
                <w:sz w:val="13"/>
                <w:szCs w:val="13"/>
                <w:color w:val="auto"/>
                <w:w w:val="96"/>
              </w:rPr>
              <w:t>2009</w:t>
            </w:r>
          </w:p>
        </w:tc>
        <w:tc>
          <w:tcPr>
            <w:tcW w:w="320" w:type="dxa"/>
            <w:vAlign w:val="bottom"/>
            <w:tcBorders>
              <w:bottom w:val="single" w:sz="8" w:color="auto"/>
            </w:tcBorders>
          </w:tcPr>
          <w:p>
            <w:pPr>
              <w:spacing w:after="0"/>
              <w:rPr>
                <w:sz w:val="18"/>
                <w:szCs w:val="18"/>
                <w:color w:val="auto"/>
              </w:rPr>
            </w:pPr>
          </w:p>
        </w:tc>
      </w:tr>
      <w:tr>
        <w:trPr>
          <w:trHeight w:val="225"/>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1400" w:type="dxa"/>
            <w:vAlign w:val="bottom"/>
          </w:tcPr>
          <w:p>
            <w:pPr>
              <w:jc w:val="center"/>
              <w:ind w:left="171"/>
              <w:spacing w:after="0"/>
              <w:rPr>
                <w:sz w:val="20"/>
                <w:szCs w:val="20"/>
                <w:color w:val="auto"/>
              </w:rPr>
            </w:pPr>
            <w:r>
              <w:rPr>
                <w:rFonts w:ascii="Arial" w:cs="Arial" w:eastAsia="Arial" w:hAnsi="Arial"/>
                <w:sz w:val="13"/>
                <w:szCs w:val="13"/>
                <w:color w:val="auto"/>
                <w:w w:val="99"/>
              </w:rPr>
              <w:t>Effective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3"/>
                <w:szCs w:val="13"/>
                <w:color w:val="auto"/>
                <w:w w:val="97"/>
              </w:rPr>
              <w:t>Income Tax</w:t>
            </w:r>
          </w:p>
        </w:tc>
        <w:tc>
          <w:tcPr>
            <w:tcW w:w="1300" w:type="dxa"/>
            <w:vAlign w:val="bottom"/>
          </w:tcPr>
          <w:p>
            <w:pPr>
              <w:jc w:val="center"/>
              <w:ind w:left="70"/>
              <w:spacing w:after="0"/>
              <w:rPr>
                <w:sz w:val="20"/>
                <w:szCs w:val="20"/>
                <w:color w:val="auto"/>
              </w:rPr>
            </w:pPr>
            <w:r>
              <w:rPr>
                <w:rFonts w:ascii="Arial" w:cs="Arial" w:eastAsia="Arial" w:hAnsi="Arial"/>
                <w:sz w:val="13"/>
                <w:szCs w:val="13"/>
                <w:color w:val="auto"/>
                <w:w w:val="99"/>
              </w:rPr>
              <w:t>Effective Income</w:t>
            </w:r>
          </w:p>
        </w:tc>
        <w:tc>
          <w:tcPr>
            <w:tcW w:w="320" w:type="dxa"/>
            <w:vAlign w:val="bottom"/>
          </w:tcPr>
          <w:p>
            <w:pPr>
              <w:spacing w:after="0"/>
              <w:rPr>
                <w:sz w:val="19"/>
                <w:szCs w:val="19"/>
                <w:color w:val="auto"/>
              </w:rPr>
            </w:pPr>
          </w:p>
        </w:tc>
      </w:tr>
      <w:tr>
        <w:trPr>
          <w:trHeight w:val="206"/>
        </w:trPr>
        <w:tc>
          <w:tcPr>
            <w:tcW w:w="2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auto"/>
              </w:rPr>
              <w:t>Expense</w:t>
            </w:r>
          </w:p>
        </w:tc>
        <w:tc>
          <w:tcPr>
            <w:tcW w:w="1400" w:type="dxa"/>
            <w:vAlign w:val="bottom"/>
            <w:tcBorders>
              <w:bottom w:val="single" w:sz="8" w:color="auto"/>
            </w:tcBorders>
          </w:tcPr>
          <w:p>
            <w:pPr>
              <w:jc w:val="center"/>
              <w:ind w:left="171"/>
              <w:spacing w:after="0"/>
              <w:rPr>
                <w:sz w:val="20"/>
                <w:szCs w:val="20"/>
                <w:color w:val="auto"/>
              </w:rPr>
            </w:pPr>
            <w:r>
              <w:rPr>
                <w:rFonts w:ascii="Arial" w:cs="Arial" w:eastAsia="Arial" w:hAnsi="Arial"/>
                <w:sz w:val="13"/>
                <w:szCs w:val="13"/>
                <w:color w:val="auto"/>
                <w:w w:val="98"/>
              </w:rPr>
              <w:t>Tax Rate</w:t>
            </w: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color w:val="auto"/>
                <w:w w:val="98"/>
              </w:rPr>
              <w:t>Expense</w:t>
            </w:r>
          </w:p>
        </w:tc>
        <w:tc>
          <w:tcPr>
            <w:tcW w:w="1300" w:type="dxa"/>
            <w:vAlign w:val="bottom"/>
            <w:tcBorders>
              <w:bottom w:val="single" w:sz="8" w:color="auto"/>
            </w:tcBorders>
          </w:tcPr>
          <w:p>
            <w:pPr>
              <w:jc w:val="center"/>
              <w:ind w:left="70"/>
              <w:spacing w:after="0"/>
              <w:rPr>
                <w:sz w:val="20"/>
                <w:szCs w:val="20"/>
                <w:color w:val="auto"/>
              </w:rPr>
            </w:pPr>
            <w:r>
              <w:rPr>
                <w:rFonts w:ascii="Arial" w:cs="Arial" w:eastAsia="Arial" w:hAnsi="Arial"/>
                <w:sz w:val="13"/>
                <w:szCs w:val="13"/>
                <w:color w:val="auto"/>
                <w:w w:val="98"/>
              </w:rPr>
              <w:t>Tax Rate</w:t>
            </w:r>
          </w:p>
        </w:tc>
        <w:tc>
          <w:tcPr>
            <w:tcW w:w="320" w:type="dxa"/>
            <w:vAlign w:val="bottom"/>
            <w:tcBorders>
              <w:bottom w:val="single" w:sz="8" w:color="auto"/>
            </w:tcBorders>
          </w:tcPr>
          <w:p>
            <w:pPr>
              <w:spacing w:after="0"/>
              <w:rPr>
                <w:sz w:val="17"/>
                <w:szCs w:val="17"/>
                <w:color w:val="auto"/>
              </w:rPr>
            </w:pP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Sempra Energy Consolidated</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59</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25</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90</w:t>
            </w:r>
          </w:p>
        </w:tc>
        <w:tc>
          <w:tcPr>
            <w:tcW w:w="1300" w:type="dxa"/>
            <w:vAlign w:val="bottom"/>
          </w:tcPr>
          <w:p>
            <w:pPr>
              <w:jc w:val="right"/>
              <w:ind w:right="70"/>
              <w:spacing w:after="0"/>
              <w:rPr>
                <w:sz w:val="20"/>
                <w:szCs w:val="20"/>
                <w:color w:val="auto"/>
              </w:rPr>
            </w:pPr>
            <w:r>
              <w:rPr>
                <w:rFonts w:ascii="Arial" w:cs="Arial" w:eastAsia="Arial" w:hAnsi="Arial"/>
                <w:sz w:val="15"/>
                <w:szCs w:val="15"/>
                <w:color w:val="auto"/>
              </w:rPr>
              <w:t>35</w:t>
            </w:r>
          </w:p>
        </w:tc>
        <w:tc>
          <w:tcPr>
            <w:tcW w:w="3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280" w:type="dxa"/>
            <w:vAlign w:val="bottom"/>
          </w:tcPr>
          <w:p>
            <w:pPr>
              <w:spacing w:after="0"/>
              <w:rPr>
                <w:sz w:val="19"/>
                <w:szCs w:val="19"/>
                <w:color w:val="auto"/>
              </w:rPr>
            </w:pP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44</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28</w:t>
            </w:r>
          </w:p>
        </w:tc>
        <w:tc>
          <w:tcPr>
            <w:tcW w:w="1300" w:type="dxa"/>
            <w:vAlign w:val="bottom"/>
          </w:tcPr>
          <w:p>
            <w:pPr>
              <w:jc w:val="right"/>
              <w:ind w:right="70"/>
              <w:spacing w:after="0"/>
              <w:rPr>
                <w:sz w:val="20"/>
                <w:szCs w:val="20"/>
                <w:color w:val="auto"/>
              </w:rPr>
            </w:pPr>
            <w:r>
              <w:rPr>
                <w:rFonts w:ascii="Arial" w:cs="Arial" w:eastAsia="Arial" w:hAnsi="Arial"/>
                <w:sz w:val="15"/>
                <w:szCs w:val="15"/>
                <w:color w:val="auto"/>
              </w:rPr>
              <w:t>24</w:t>
            </w:r>
          </w:p>
        </w:tc>
        <w:tc>
          <w:tcPr>
            <w:tcW w:w="320" w:type="dxa"/>
            <w:vAlign w:val="bottom"/>
          </w:tcPr>
          <w:p>
            <w:pPr>
              <w:spacing w:after="0"/>
              <w:rPr>
                <w:sz w:val="19"/>
                <w:szCs w:val="19"/>
                <w:color w:val="auto"/>
              </w:rPr>
            </w:pP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PE</w:t>
            </w:r>
          </w:p>
        </w:tc>
        <w:tc>
          <w:tcPr>
            <w:tcW w:w="280" w:type="dxa"/>
            <w:vAlign w:val="bottom"/>
          </w:tcPr>
          <w:p>
            <w:pPr>
              <w:spacing w:after="0"/>
              <w:rPr>
                <w:sz w:val="19"/>
                <w:szCs w:val="19"/>
                <w:color w:val="auto"/>
              </w:rPr>
            </w:pP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33</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32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40</w:t>
            </w:r>
          </w:p>
        </w:tc>
        <w:tc>
          <w:tcPr>
            <w:tcW w:w="1300" w:type="dxa"/>
            <w:vAlign w:val="bottom"/>
          </w:tcPr>
          <w:p>
            <w:pPr>
              <w:jc w:val="right"/>
              <w:ind w:right="70"/>
              <w:spacing w:after="0"/>
              <w:rPr>
                <w:sz w:val="20"/>
                <w:szCs w:val="20"/>
                <w:color w:val="auto"/>
              </w:rPr>
            </w:pPr>
            <w:r>
              <w:rPr>
                <w:rFonts w:ascii="Arial" w:cs="Arial" w:eastAsia="Arial" w:hAnsi="Arial"/>
                <w:sz w:val="15"/>
                <w:szCs w:val="15"/>
                <w:color w:val="auto"/>
              </w:rPr>
              <w:t>39</w:t>
            </w:r>
          </w:p>
        </w:tc>
        <w:tc>
          <w:tcPr>
            <w:tcW w:w="320" w:type="dxa"/>
            <w:vAlign w:val="bottom"/>
          </w:tcPr>
          <w:p>
            <w:pPr>
              <w:spacing w:after="0"/>
              <w:rPr>
                <w:sz w:val="19"/>
                <w:szCs w:val="19"/>
                <w:color w:val="auto"/>
              </w:rPr>
            </w:pPr>
          </w:p>
        </w:tc>
      </w:tr>
      <w:tr>
        <w:trPr>
          <w:trHeight w:val="228"/>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280" w:type="dxa"/>
            <w:vAlign w:val="bottom"/>
            <w:tcBorders>
              <w:bottom w:val="single" w:sz="8" w:color="C0C0C0"/>
            </w:tcBorders>
          </w:tcPr>
          <w:p>
            <w:pPr>
              <w:spacing w:after="0"/>
              <w:rPr>
                <w:sz w:val="19"/>
                <w:szCs w:val="19"/>
                <w:color w:val="auto"/>
              </w:rPr>
            </w:pP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34</w:t>
            </w:r>
          </w:p>
        </w:tc>
        <w:tc>
          <w:tcPr>
            <w:tcW w:w="1400" w:type="dxa"/>
            <w:vAlign w:val="bottom"/>
            <w:tcBorders>
              <w:bottom w:val="single" w:sz="8" w:color="C0C0C0"/>
            </w:tcBorders>
          </w:tcPr>
          <w:p>
            <w:pPr>
              <w:jc w:val="right"/>
              <w:ind w:right="71"/>
              <w:spacing w:after="0"/>
              <w:rPr>
                <w:sz w:val="20"/>
                <w:szCs w:val="20"/>
                <w:color w:val="auto"/>
              </w:rPr>
            </w:pPr>
            <w:r>
              <w:rPr>
                <w:rFonts w:ascii="Arial" w:cs="Arial" w:eastAsia="Arial" w:hAnsi="Arial"/>
                <w:sz w:val="15"/>
                <w:szCs w:val="15"/>
                <w:color w:val="auto"/>
              </w:rPr>
              <w:t>33</w:t>
            </w:r>
          </w:p>
        </w:tc>
        <w:tc>
          <w:tcPr>
            <w:tcW w:w="300" w:type="dxa"/>
            <w:vAlign w:val="bottom"/>
            <w:tcBorders>
              <w:bottom w:val="single" w:sz="8" w:color="C0C0C0"/>
            </w:tcBorders>
          </w:tcPr>
          <w:p>
            <w:pPr>
              <w:spacing w:after="0"/>
              <w:rPr>
                <w:sz w:val="19"/>
                <w:szCs w:val="19"/>
                <w:color w:val="auto"/>
              </w:rPr>
            </w:pPr>
          </w:p>
        </w:tc>
        <w:tc>
          <w:tcPr>
            <w:tcW w:w="280" w:type="dxa"/>
            <w:vAlign w:val="bottom"/>
            <w:tcBorders>
              <w:bottom w:val="single" w:sz="8" w:color="C0C0C0"/>
            </w:tcBorders>
          </w:tcPr>
          <w:p>
            <w:pPr>
              <w:spacing w:after="0"/>
              <w:rPr>
                <w:sz w:val="19"/>
                <w:szCs w:val="19"/>
                <w:color w:val="auto"/>
              </w:rPr>
            </w:pPr>
          </w:p>
        </w:tc>
        <w:tc>
          <w:tcPr>
            <w:tcW w:w="940" w:type="dxa"/>
            <w:vAlign w:val="bottom"/>
            <w:tcBorders>
              <w:bottom w:val="single" w:sz="8" w:color="C0C0C0"/>
            </w:tcBorders>
          </w:tcPr>
          <w:p>
            <w:pPr>
              <w:jc w:val="right"/>
              <w:ind w:right="150"/>
              <w:spacing w:after="0"/>
              <w:rPr>
                <w:sz w:val="20"/>
                <w:szCs w:val="20"/>
                <w:color w:val="auto"/>
              </w:rPr>
            </w:pPr>
            <w:r>
              <w:rPr>
                <w:rFonts w:ascii="Arial" w:cs="Arial" w:eastAsia="Arial" w:hAnsi="Arial"/>
                <w:sz w:val="15"/>
                <w:szCs w:val="15"/>
                <w:color w:val="auto"/>
              </w:rPr>
              <w:t>37</w:t>
            </w:r>
          </w:p>
        </w:tc>
        <w:tc>
          <w:tcPr>
            <w:tcW w:w="1300" w:type="dxa"/>
            <w:vAlign w:val="bottom"/>
            <w:tcBorders>
              <w:bottom w:val="single" w:sz="8" w:color="C0C0C0"/>
            </w:tcBorders>
          </w:tcPr>
          <w:p>
            <w:pPr>
              <w:jc w:val="right"/>
              <w:ind w:right="70"/>
              <w:spacing w:after="0"/>
              <w:rPr>
                <w:sz w:val="20"/>
                <w:szCs w:val="20"/>
                <w:color w:val="auto"/>
              </w:rPr>
            </w:pPr>
            <w:r>
              <w:rPr>
                <w:rFonts w:ascii="Arial" w:cs="Arial" w:eastAsia="Arial" w:hAnsi="Arial"/>
                <w:sz w:val="15"/>
                <w:szCs w:val="15"/>
                <w:color w:val="auto"/>
              </w:rPr>
              <w:t>36</w:t>
            </w:r>
          </w:p>
        </w:tc>
        <w:tc>
          <w:tcPr>
            <w:tcW w:w="320" w:type="dxa"/>
            <w:vAlign w:val="bottom"/>
            <w:tcBorders>
              <w:bottom w:val="single" w:sz="8" w:color="C0C0C0"/>
            </w:tcBorders>
          </w:tcPr>
          <w:p>
            <w:pPr>
              <w:spacing w:after="0"/>
              <w:rPr>
                <w:sz w:val="19"/>
                <w:szCs w:val="19"/>
                <w:color w:val="auto"/>
              </w:rPr>
            </w:pPr>
          </w:p>
        </w:tc>
      </w:tr>
      <w:tr>
        <w:trPr>
          <w:trHeight w:val="219"/>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center"/>
              <w:ind w:left="691"/>
              <w:spacing w:after="0"/>
              <w:rPr>
                <w:sz w:val="20"/>
                <w:szCs w:val="20"/>
                <w:color w:val="auto"/>
              </w:rPr>
            </w:pPr>
            <w:r>
              <w:rPr>
                <w:rFonts w:ascii="Arial" w:cs="Arial" w:eastAsia="Arial" w:hAnsi="Arial"/>
                <w:sz w:val="13"/>
                <w:szCs w:val="13"/>
                <w:color w:val="auto"/>
                <w:w w:val="98"/>
              </w:rPr>
              <w:t>Six months ended June 30,</w:t>
            </w: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1"/>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0"/>
              <w:spacing w:after="0"/>
              <w:rPr>
                <w:sz w:val="20"/>
                <w:szCs w:val="20"/>
                <w:color w:val="auto"/>
              </w:rPr>
            </w:pPr>
            <w:r>
              <w:rPr>
                <w:rFonts w:ascii="Arial" w:cs="Arial" w:eastAsia="Arial" w:hAnsi="Arial"/>
                <w:sz w:val="13"/>
                <w:szCs w:val="13"/>
                <w:color w:val="auto"/>
                <w:w w:val="96"/>
              </w:rPr>
              <w:t>2009</w:t>
            </w:r>
          </w:p>
        </w:tc>
        <w:tc>
          <w:tcPr>
            <w:tcW w:w="320" w:type="dxa"/>
            <w:vAlign w:val="bottom"/>
            <w:tcBorders>
              <w:bottom w:val="single" w:sz="8" w:color="auto"/>
            </w:tcBorders>
          </w:tcPr>
          <w:p>
            <w:pPr>
              <w:spacing w:after="0"/>
              <w:rPr>
                <w:sz w:val="18"/>
                <w:szCs w:val="18"/>
                <w:color w:val="auto"/>
              </w:rPr>
            </w:pPr>
          </w:p>
        </w:tc>
      </w:tr>
      <w:tr>
        <w:trPr>
          <w:trHeight w:val="225"/>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1400" w:type="dxa"/>
            <w:vAlign w:val="bottom"/>
          </w:tcPr>
          <w:p>
            <w:pPr>
              <w:jc w:val="center"/>
              <w:ind w:left="171"/>
              <w:spacing w:after="0"/>
              <w:rPr>
                <w:sz w:val="20"/>
                <w:szCs w:val="20"/>
                <w:color w:val="auto"/>
              </w:rPr>
            </w:pPr>
            <w:r>
              <w:rPr>
                <w:rFonts w:ascii="Arial" w:cs="Arial" w:eastAsia="Arial" w:hAnsi="Arial"/>
                <w:sz w:val="13"/>
                <w:szCs w:val="13"/>
                <w:color w:val="auto"/>
                <w:w w:val="99"/>
              </w:rPr>
              <w:t>Effective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3"/>
                <w:szCs w:val="13"/>
                <w:color w:val="auto"/>
                <w:w w:val="97"/>
              </w:rPr>
              <w:t>Income Tax</w:t>
            </w:r>
          </w:p>
        </w:tc>
        <w:tc>
          <w:tcPr>
            <w:tcW w:w="1300" w:type="dxa"/>
            <w:vAlign w:val="bottom"/>
          </w:tcPr>
          <w:p>
            <w:pPr>
              <w:jc w:val="center"/>
              <w:ind w:left="90"/>
              <w:spacing w:after="0"/>
              <w:rPr>
                <w:sz w:val="20"/>
                <w:szCs w:val="20"/>
                <w:color w:val="auto"/>
              </w:rPr>
            </w:pPr>
            <w:r>
              <w:rPr>
                <w:rFonts w:ascii="Arial" w:cs="Arial" w:eastAsia="Arial" w:hAnsi="Arial"/>
                <w:sz w:val="13"/>
                <w:szCs w:val="13"/>
                <w:color w:val="auto"/>
                <w:w w:val="93"/>
              </w:rPr>
              <w:t>Effective Income</w:t>
            </w:r>
          </w:p>
        </w:tc>
        <w:tc>
          <w:tcPr>
            <w:tcW w:w="320" w:type="dxa"/>
            <w:vAlign w:val="bottom"/>
          </w:tcPr>
          <w:p>
            <w:pPr>
              <w:spacing w:after="0"/>
              <w:rPr>
                <w:sz w:val="19"/>
                <w:szCs w:val="19"/>
                <w:color w:val="auto"/>
              </w:rPr>
            </w:pPr>
          </w:p>
        </w:tc>
      </w:tr>
      <w:tr>
        <w:trPr>
          <w:trHeight w:val="206"/>
        </w:trPr>
        <w:tc>
          <w:tcPr>
            <w:tcW w:w="2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Expense</w:t>
            </w:r>
          </w:p>
        </w:tc>
        <w:tc>
          <w:tcPr>
            <w:tcW w:w="1400" w:type="dxa"/>
            <w:vAlign w:val="bottom"/>
            <w:tcBorders>
              <w:bottom w:val="single" w:sz="8" w:color="auto"/>
            </w:tcBorders>
          </w:tcPr>
          <w:p>
            <w:pPr>
              <w:jc w:val="center"/>
              <w:ind w:left="171"/>
              <w:spacing w:after="0"/>
              <w:rPr>
                <w:sz w:val="20"/>
                <w:szCs w:val="20"/>
                <w:color w:val="auto"/>
              </w:rPr>
            </w:pPr>
            <w:r>
              <w:rPr>
                <w:rFonts w:ascii="Arial" w:cs="Arial" w:eastAsia="Arial" w:hAnsi="Arial"/>
                <w:sz w:val="13"/>
                <w:szCs w:val="13"/>
                <w:color w:val="auto"/>
                <w:w w:val="98"/>
              </w:rPr>
              <w:t>Tax Rate</w:t>
            </w: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color w:val="auto"/>
                <w:w w:val="98"/>
              </w:rPr>
              <w:t>Expense</w:t>
            </w:r>
          </w:p>
        </w:tc>
        <w:tc>
          <w:tcPr>
            <w:tcW w:w="1300" w:type="dxa"/>
            <w:vAlign w:val="bottom"/>
            <w:tcBorders>
              <w:bottom w:val="single" w:sz="8" w:color="auto"/>
            </w:tcBorders>
          </w:tcPr>
          <w:p>
            <w:pPr>
              <w:jc w:val="center"/>
              <w:ind w:left="70"/>
              <w:spacing w:after="0"/>
              <w:rPr>
                <w:sz w:val="20"/>
                <w:szCs w:val="20"/>
                <w:color w:val="auto"/>
              </w:rPr>
            </w:pPr>
            <w:r>
              <w:rPr>
                <w:rFonts w:ascii="Arial" w:cs="Arial" w:eastAsia="Arial" w:hAnsi="Arial"/>
                <w:sz w:val="13"/>
                <w:szCs w:val="13"/>
                <w:color w:val="auto"/>
                <w:w w:val="98"/>
              </w:rPr>
              <w:t>Tax Rate</w:t>
            </w:r>
          </w:p>
        </w:tc>
        <w:tc>
          <w:tcPr>
            <w:tcW w:w="320" w:type="dxa"/>
            <w:vAlign w:val="bottom"/>
            <w:tcBorders>
              <w:bottom w:val="single" w:sz="8" w:color="auto"/>
            </w:tcBorders>
          </w:tcPr>
          <w:p>
            <w:pPr>
              <w:spacing w:after="0"/>
              <w:rPr>
                <w:sz w:val="17"/>
                <w:szCs w:val="17"/>
                <w:color w:val="auto"/>
              </w:rPr>
            </w:pPr>
          </w:p>
        </w:tc>
      </w:tr>
      <w:tr>
        <w:trPr>
          <w:trHeight w:val="226"/>
        </w:trPr>
        <w:tc>
          <w:tcPr>
            <w:tcW w:w="2100" w:type="dxa"/>
            <w:vAlign w:val="bottom"/>
          </w:tcPr>
          <w:p>
            <w:pPr>
              <w:ind w:left="100"/>
              <w:spacing w:after="0"/>
              <w:rPr>
                <w:sz w:val="20"/>
                <w:szCs w:val="20"/>
                <w:color w:val="auto"/>
              </w:rPr>
            </w:pPr>
            <w:r>
              <w:rPr>
                <w:rFonts w:ascii="Arial" w:cs="Arial" w:eastAsia="Arial" w:hAnsi="Arial"/>
                <w:sz w:val="15"/>
                <w:szCs w:val="15"/>
                <w:color w:val="auto"/>
              </w:rPr>
              <w:t>Sempra Energy Consolidated</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8"/>
              <w:spacing w:after="0"/>
              <w:rPr>
                <w:sz w:val="20"/>
                <w:szCs w:val="20"/>
                <w:color w:val="auto"/>
              </w:rPr>
            </w:pPr>
            <w:r>
              <w:rPr>
                <w:rFonts w:ascii="Arial" w:cs="Arial" w:eastAsia="Arial" w:hAnsi="Arial"/>
                <w:sz w:val="19"/>
                <w:szCs w:val="19"/>
                <w:color w:val="auto"/>
              </w:rPr>
              <w:t>117</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31</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199</w:t>
            </w:r>
          </w:p>
        </w:tc>
        <w:tc>
          <w:tcPr>
            <w:tcW w:w="1300" w:type="dxa"/>
            <w:vAlign w:val="bottom"/>
          </w:tcPr>
          <w:p>
            <w:pPr>
              <w:jc w:val="center"/>
              <w:ind w:right="61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1"/>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28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75</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88</w:t>
            </w:r>
          </w:p>
        </w:tc>
        <w:tc>
          <w:tcPr>
            <w:tcW w:w="1300" w:type="dxa"/>
            <w:vAlign w:val="bottom"/>
          </w:tcPr>
          <w:p>
            <w:pPr>
              <w:jc w:val="right"/>
              <w:ind w:right="70"/>
              <w:spacing w:after="0"/>
              <w:rPr>
                <w:sz w:val="20"/>
                <w:szCs w:val="20"/>
                <w:color w:val="auto"/>
              </w:rPr>
            </w:pPr>
            <w:r>
              <w:rPr>
                <w:rFonts w:ascii="Arial" w:cs="Arial" w:eastAsia="Arial" w:hAnsi="Arial"/>
                <w:sz w:val="15"/>
                <w:szCs w:val="15"/>
                <w:color w:val="auto"/>
              </w:rPr>
              <w:t>31</w:t>
            </w:r>
          </w:p>
        </w:tc>
        <w:tc>
          <w:tcPr>
            <w:tcW w:w="320" w:type="dxa"/>
            <w:vAlign w:val="bottom"/>
          </w:tcPr>
          <w:p>
            <w:pPr>
              <w:spacing w:after="0"/>
              <w:rPr>
                <w:sz w:val="18"/>
                <w:szCs w:val="18"/>
                <w:color w:val="auto"/>
              </w:rPr>
            </w:pP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PE</w:t>
            </w:r>
          </w:p>
        </w:tc>
        <w:tc>
          <w:tcPr>
            <w:tcW w:w="280" w:type="dxa"/>
            <w:vAlign w:val="bottom"/>
          </w:tcPr>
          <w:p>
            <w:pPr>
              <w:spacing w:after="0"/>
              <w:rPr>
                <w:sz w:val="19"/>
                <w:szCs w:val="19"/>
                <w:color w:val="auto"/>
              </w:rPr>
            </w:pPr>
          </w:p>
        </w:tc>
        <w:tc>
          <w:tcPr>
            <w:tcW w:w="840" w:type="dxa"/>
            <w:vAlign w:val="bottom"/>
          </w:tcPr>
          <w:p>
            <w:pPr>
              <w:jc w:val="right"/>
              <w:ind w:right="48"/>
              <w:spacing w:after="0"/>
              <w:rPr>
                <w:sz w:val="20"/>
                <w:szCs w:val="20"/>
                <w:color w:val="auto"/>
              </w:rPr>
            </w:pPr>
            <w:r>
              <w:rPr>
                <w:rFonts w:ascii="Arial" w:cs="Arial" w:eastAsia="Arial" w:hAnsi="Arial"/>
                <w:sz w:val="15"/>
                <w:szCs w:val="15"/>
                <w:color w:val="auto"/>
              </w:rPr>
              <w:t>90</w:t>
            </w:r>
          </w:p>
        </w:tc>
        <w:tc>
          <w:tcPr>
            <w:tcW w:w="1400" w:type="dxa"/>
            <w:vAlign w:val="bottom"/>
          </w:tcPr>
          <w:p>
            <w:pPr>
              <w:jc w:val="right"/>
              <w:ind w:right="71"/>
              <w:spacing w:after="0"/>
              <w:rPr>
                <w:sz w:val="20"/>
                <w:szCs w:val="20"/>
                <w:color w:val="auto"/>
              </w:rPr>
            </w:pPr>
            <w:r>
              <w:rPr>
                <w:rFonts w:ascii="Arial" w:cs="Arial" w:eastAsia="Arial" w:hAnsi="Arial"/>
                <w:sz w:val="15"/>
                <w:szCs w:val="15"/>
                <w:color w:val="auto"/>
              </w:rPr>
              <w:t>40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76</w:t>
            </w:r>
          </w:p>
        </w:tc>
        <w:tc>
          <w:tcPr>
            <w:tcW w:w="1300" w:type="dxa"/>
            <w:vAlign w:val="bottom"/>
          </w:tcPr>
          <w:p>
            <w:pPr>
              <w:jc w:val="right"/>
              <w:ind w:right="70"/>
              <w:spacing w:after="0"/>
              <w:rPr>
                <w:sz w:val="20"/>
                <w:szCs w:val="20"/>
                <w:color w:val="auto"/>
              </w:rPr>
            </w:pPr>
            <w:r>
              <w:rPr>
                <w:rFonts w:ascii="Arial" w:cs="Arial" w:eastAsia="Arial" w:hAnsi="Arial"/>
                <w:sz w:val="15"/>
                <w:szCs w:val="15"/>
                <w:color w:val="auto"/>
              </w:rPr>
              <w:t>38</w:t>
            </w:r>
          </w:p>
        </w:tc>
        <w:tc>
          <w:tcPr>
            <w:tcW w:w="320" w:type="dxa"/>
            <w:vAlign w:val="bottom"/>
          </w:tcPr>
          <w:p>
            <w:pPr>
              <w:spacing w:after="0"/>
              <w:rPr>
                <w:sz w:val="19"/>
                <w:szCs w:val="19"/>
                <w:color w:val="auto"/>
              </w:rPr>
            </w:pPr>
          </w:p>
        </w:tc>
      </w:tr>
      <w:tr>
        <w:trPr>
          <w:trHeight w:val="228"/>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280" w:type="dxa"/>
            <w:vAlign w:val="bottom"/>
            <w:tcBorders>
              <w:bottom w:val="single" w:sz="8" w:color="C0C0C0"/>
            </w:tcBorders>
          </w:tcPr>
          <w:p>
            <w:pPr>
              <w:spacing w:after="0"/>
              <w:rPr>
                <w:sz w:val="19"/>
                <w:szCs w:val="19"/>
                <w:color w:val="auto"/>
              </w:rPr>
            </w:pPr>
          </w:p>
        </w:tc>
        <w:tc>
          <w:tcPr>
            <w:tcW w:w="8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90</w:t>
            </w:r>
          </w:p>
        </w:tc>
        <w:tc>
          <w:tcPr>
            <w:tcW w:w="1400" w:type="dxa"/>
            <w:vAlign w:val="bottom"/>
            <w:tcBorders>
              <w:bottom w:val="single" w:sz="8" w:color="C0C0C0"/>
            </w:tcBorders>
          </w:tcPr>
          <w:p>
            <w:pPr>
              <w:jc w:val="right"/>
              <w:ind w:right="71"/>
              <w:spacing w:after="0"/>
              <w:rPr>
                <w:sz w:val="20"/>
                <w:szCs w:val="20"/>
                <w:color w:val="auto"/>
              </w:rPr>
            </w:pPr>
            <w:r>
              <w:rPr>
                <w:rFonts w:ascii="Arial" w:cs="Arial" w:eastAsia="Arial" w:hAnsi="Arial"/>
                <w:sz w:val="15"/>
                <w:szCs w:val="15"/>
                <w:color w:val="auto"/>
              </w:rPr>
              <w:t>40</w:t>
            </w:r>
          </w:p>
        </w:tc>
        <w:tc>
          <w:tcPr>
            <w:tcW w:w="300" w:type="dxa"/>
            <w:vAlign w:val="bottom"/>
            <w:tcBorders>
              <w:bottom w:val="single" w:sz="8" w:color="C0C0C0"/>
            </w:tcBorders>
          </w:tcPr>
          <w:p>
            <w:pPr>
              <w:spacing w:after="0"/>
              <w:rPr>
                <w:sz w:val="19"/>
                <w:szCs w:val="19"/>
                <w:color w:val="auto"/>
              </w:rPr>
            </w:pPr>
          </w:p>
        </w:tc>
        <w:tc>
          <w:tcPr>
            <w:tcW w:w="280" w:type="dxa"/>
            <w:vAlign w:val="bottom"/>
            <w:tcBorders>
              <w:bottom w:val="single" w:sz="8" w:color="C0C0C0"/>
            </w:tcBorders>
          </w:tcPr>
          <w:p>
            <w:pPr>
              <w:spacing w:after="0"/>
              <w:rPr>
                <w:sz w:val="19"/>
                <w:szCs w:val="19"/>
                <w:color w:val="auto"/>
              </w:rPr>
            </w:pPr>
          </w:p>
        </w:tc>
        <w:tc>
          <w:tcPr>
            <w:tcW w:w="940" w:type="dxa"/>
            <w:vAlign w:val="bottom"/>
            <w:tcBorders>
              <w:bottom w:val="single" w:sz="8" w:color="C0C0C0"/>
            </w:tcBorders>
          </w:tcPr>
          <w:p>
            <w:pPr>
              <w:jc w:val="right"/>
              <w:ind w:right="150"/>
              <w:spacing w:after="0"/>
              <w:rPr>
                <w:sz w:val="20"/>
                <w:szCs w:val="20"/>
                <w:color w:val="auto"/>
              </w:rPr>
            </w:pPr>
            <w:r>
              <w:rPr>
                <w:rFonts w:ascii="Arial" w:cs="Arial" w:eastAsia="Arial" w:hAnsi="Arial"/>
                <w:sz w:val="15"/>
                <w:szCs w:val="15"/>
                <w:color w:val="auto"/>
              </w:rPr>
              <w:t>73</w:t>
            </w:r>
          </w:p>
        </w:tc>
        <w:tc>
          <w:tcPr>
            <w:tcW w:w="1300" w:type="dxa"/>
            <w:vAlign w:val="bottom"/>
            <w:tcBorders>
              <w:bottom w:val="single" w:sz="8" w:color="C0C0C0"/>
            </w:tcBorders>
          </w:tcPr>
          <w:p>
            <w:pPr>
              <w:jc w:val="right"/>
              <w:ind w:right="70"/>
              <w:spacing w:after="0"/>
              <w:rPr>
                <w:sz w:val="20"/>
                <w:szCs w:val="20"/>
                <w:color w:val="auto"/>
              </w:rPr>
            </w:pPr>
            <w:r>
              <w:rPr>
                <w:rFonts w:ascii="Arial" w:cs="Arial" w:eastAsia="Arial" w:hAnsi="Arial"/>
                <w:sz w:val="15"/>
                <w:szCs w:val="15"/>
                <w:color w:val="auto"/>
              </w:rPr>
              <w:t>37</w:t>
            </w:r>
          </w:p>
        </w:tc>
        <w:tc>
          <w:tcPr>
            <w:tcW w:w="320" w:type="dxa"/>
            <w:vAlign w:val="bottom"/>
            <w:tcBorders>
              <w:bottom w:val="single" w:sz="8" w:color="C0C0C0"/>
            </w:tcBorders>
          </w:tcPr>
          <w:p>
            <w:pPr>
              <w:spacing w:after="0"/>
              <w:rPr>
                <w:sz w:val="19"/>
                <w:szCs w:val="19"/>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Income Tax Rates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Energy Consolidated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effective income tax rate for the three months ended June 30, 2010 was primarily due to:</w:t>
      </w:r>
    </w:p>
    <w:p>
      <w:pPr>
        <w:spacing w:after="0" w:line="60" w:lineRule="exact"/>
        <w:rPr>
          <w:sz w:val="20"/>
          <w:szCs w:val="20"/>
          <w:color w:val="auto"/>
        </w:rPr>
      </w:pPr>
    </w:p>
    <w:p>
      <w:pPr>
        <w:ind w:left="140" w:right="2420"/>
        <w:spacing w:after="0" w:line="317" w:lineRule="auto"/>
        <w:rPr>
          <w:sz w:val="20"/>
          <w:szCs w:val="20"/>
          <w:color w:val="auto"/>
        </w:rPr>
      </w:pPr>
      <w:r>
        <w:rPr>
          <w:rFonts w:ascii="Arial" w:cs="Arial" w:eastAsia="Arial" w:hAnsi="Arial"/>
          <w:sz w:val="16"/>
          <w:szCs w:val="16"/>
          <w:color w:val="auto"/>
        </w:rPr>
        <w:t>§$5 million tax benefit in 2010 compared to $20 million tax expense in 2009 due to Mexican currency translation and inflation adjustments; §higher planned investment tax credits;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self-developed software costs, which are deductible for income tax purposes but capitalized for book purposes; and</w:t>
      </w:r>
    </w:p>
    <w:p>
      <w:pPr>
        <w:spacing w:after="0" w:line="56" w:lineRule="exact"/>
        <w:rPr>
          <w:sz w:val="20"/>
          <w:szCs w:val="20"/>
          <w:color w:val="auto"/>
        </w:rPr>
      </w:pPr>
    </w:p>
    <w:p>
      <w:pPr>
        <w:ind w:left="140" w:right="5960" w:firstLine="9"/>
        <w:spacing w:after="0" w:line="320" w:lineRule="auto"/>
        <w:tabs>
          <w:tab w:leader="none" w:pos="2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higher exclusions from taxable income of the equity portion of AFUDC;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§lower pretax income in countries with lower statutory rates;</w:t>
      </w:r>
    </w:p>
    <w:p>
      <w:pPr>
        <w:ind w:left="140"/>
        <w:spacing w:after="0"/>
        <w:rPr>
          <w:rFonts w:ascii="Arial" w:cs="Arial" w:eastAsia="Arial" w:hAnsi="Arial"/>
          <w:sz w:val="16"/>
          <w:szCs w:val="16"/>
          <w:color w:val="auto"/>
        </w:rPr>
      </w:pPr>
      <w:r>
        <w:rPr>
          <w:rFonts w:ascii="Arial" w:cs="Arial" w:eastAsia="Arial" w:hAnsi="Arial"/>
          <w:sz w:val="16"/>
          <w:szCs w:val="16"/>
          <w:color w:val="auto"/>
        </w:rPr>
        <w:t>§lower favorable impact from the resolution of prior years' income tax issues; and</w:t>
      </w:r>
    </w:p>
    <w:p>
      <w:pPr>
        <w:spacing w:after="0" w:line="59"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6"/>
          <w:szCs w:val="16"/>
          <w:color w:val="auto"/>
        </w:rPr>
        <w:t>§higher difference between book depreciation and normalized tax depreciation, which is not treated as a deferred tax asset for ratemaking purposes.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2010, the increase in effective income tax rate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&amp;# 167;lower pretax income in countries with lower statutory rates;</w:t>
      </w:r>
    </w:p>
    <w:p>
      <w:pPr>
        <w:spacing w:after="0" w:line="60" w:lineRule="exact"/>
        <w:rPr>
          <w:sz w:val="20"/>
          <w:szCs w:val="20"/>
          <w:color w:val="auto"/>
        </w:rPr>
      </w:pPr>
    </w:p>
    <w:p>
      <w:pPr>
        <w:ind w:left="140" w:right="1360"/>
        <w:spacing w:after="0" w:line="276" w:lineRule="auto"/>
        <w:rPr>
          <w:sz w:val="20"/>
          <w:szCs w:val="20"/>
          <w:color w:val="auto"/>
        </w:rPr>
      </w:pPr>
      <w:r>
        <w:rPr>
          <w:rFonts w:ascii="Arial" w:cs="Arial" w:eastAsia="Arial" w:hAnsi="Arial"/>
          <w:sz w:val="16"/>
          <w:szCs w:val="16"/>
          <w:color w:val="auto"/>
        </w:rPr>
        <w:t>§a $16 million write-down of the deferred tax assets related to other post employment benefits, as a result of a change in U.S. tax law that eliminates a future deduction, starting in 2013, for retiree healthcare funded by the Medicare Part D subsidy; and</w:t>
      </w:r>
    </w:p>
    <w:p>
      <w:pPr>
        <w:spacing w:after="0" w:line="11" w:lineRule="exact"/>
        <w:rPr>
          <w:sz w:val="20"/>
          <w:szCs w:val="20"/>
          <w:color w:val="auto"/>
        </w:rPr>
      </w:pPr>
    </w:p>
    <w:p>
      <w:pPr>
        <w:ind w:left="140" w:right="1320"/>
        <w:spacing w:after="0" w:line="320" w:lineRule="auto"/>
        <w:rPr>
          <w:sz w:val="20"/>
          <w:szCs w:val="20"/>
          <w:color w:val="auto"/>
        </w:rPr>
      </w:pPr>
      <w:r>
        <w:rPr>
          <w:rFonts w:ascii="Arial" w:cs="Arial" w:eastAsia="Arial" w:hAnsi="Arial"/>
          <w:sz w:val="16"/>
          <w:szCs w:val="16"/>
          <w:color w:val="auto"/>
        </w:rPr>
        <w:t xml:space="preserve">§higher difference between book depreciation and normalized tax depreciation, which is not treated as a deferred tax asset for ratemaking purposes;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§higher planned investment tax credits;</w:t>
      </w:r>
    </w:p>
    <w:p>
      <w:pPr>
        <w:ind w:left="140"/>
        <w:spacing w:after="0"/>
        <w:rPr>
          <w:sz w:val="20"/>
          <w:szCs w:val="20"/>
          <w:color w:val="auto"/>
        </w:rPr>
      </w:pPr>
      <w:r>
        <w:rPr>
          <w:rFonts w:ascii="Arial" w:cs="Arial" w:eastAsia="Arial" w:hAnsi="Arial"/>
          <w:sz w:val="16"/>
          <w:szCs w:val="16"/>
          <w:color w:val="auto"/>
        </w:rPr>
        <w:t>§higher deductions for self-developed software costs;</w:t>
      </w:r>
    </w:p>
    <w:p>
      <w:pPr>
        <w:sectPr>
          <w:pgSz w:w="11900" w:h="16838" w:orient="portrait"/>
          <w:cols w:equalWidth="0" w:num="1">
            <w:col w:w="11440"/>
          </w:cols>
          <w:pgMar w:left="240" w:top="131" w:right="219" w:bottom="0" w:gutter="0" w:footer="0" w:header="0"/>
        </w:sectPr>
      </w:pPr>
    </w:p>
    <w:bookmarkStart w:id="23" w:name="page24"/>
    <w:bookmarkEnd w:id="23"/>
    <w:p>
      <w:pPr>
        <w:ind w:left="140" w:right="4820"/>
        <w:spacing w:after="0" w:line="328" w:lineRule="auto"/>
        <w:rPr>
          <w:sz w:val="20"/>
          <w:szCs w:val="20"/>
          <w:color w:val="auto"/>
        </w:rPr>
      </w:pPr>
      <w:r>
        <w:rPr>
          <w:rFonts w:ascii="Arial" w:cs="Arial" w:eastAsia="Arial" w:hAnsi="Arial"/>
          <w:sz w:val="16"/>
          <w:szCs w:val="16"/>
          <w:color w:val="auto"/>
        </w:rPr>
        <w:t>§$4 million lower income tax expense due to Mexican currency translation and inflation adjustments; §higher favorable impact from the resolution of prior years' income tax issues; and §higher exclusions from taxable income of the equity portion of AFUDC.</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SDG&amp;E's effective income tax rate for the three months ended June 30, 2010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favorable impact from the resolution of prior years' income tax issues;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difference between book depreciation and normalized tax depreciation, which is not treated as a deferred tax asset for ratemaking purposes; </w:t>
      </w:r>
      <w:r>
        <w:rPr>
          <w:rFonts w:ascii="Arial" w:cs="Arial" w:eastAsia="Arial" w:hAnsi="Arial"/>
          <w:sz w:val="16"/>
          <w:szCs w:val="16"/>
          <w:b w:val="1"/>
          <w:bCs w:val="1"/>
          <w:color w:val="auto"/>
        </w:rPr>
        <w:t>offset by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2010, the increase in SDG&amp;E's effective income tax rate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$3 million write-down of the deferred tax assets related to other post employment benefits as a result of a change in U.S. tax law, as we discuss above;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difference between book depreciation and normalized tax depreciation, which is not treated as a deferred tax asset for ratemaking purposes; </w:t>
      </w:r>
      <w:r>
        <w:rPr>
          <w:rFonts w:ascii="Arial" w:cs="Arial" w:eastAsia="Arial" w:hAnsi="Arial"/>
          <w:sz w:val="16"/>
          <w:szCs w:val="16"/>
          <w:b w:val="1"/>
          <w:bCs w:val="1"/>
          <w:color w:val="auto"/>
        </w:rPr>
        <w:t>offset by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favorable impact from the resolution of prior years' income tax issues;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w:t>
      </w:r>
    </w:p>
    <w:p>
      <w:pPr>
        <w:spacing w:after="0" w:line="157" w:lineRule="exact"/>
        <w:rPr>
          <w:sz w:val="20"/>
          <w:szCs w:val="20"/>
          <w:color w:val="auto"/>
        </w:rPr>
      </w:pPr>
    </w:p>
    <w:p>
      <w:pPr>
        <w:ind w:right="80"/>
        <w:spacing w:after="0" w:line="381" w:lineRule="auto"/>
        <w:rPr>
          <w:sz w:val="20"/>
          <w:szCs w:val="20"/>
          <w:color w:val="auto"/>
        </w:rPr>
      </w:pPr>
      <w:r>
        <w:rPr>
          <w:rFonts w:ascii="Arial" w:cs="Arial" w:eastAsia="Arial" w:hAnsi="Arial"/>
          <w:sz w:val="16"/>
          <w:szCs w:val="16"/>
          <w:color w:val="auto"/>
        </w:rPr>
        <w:t xml:space="preserve">SDG&amp;E's results include Otay Mesa VIE, which is consolidated, and therefore, SDG&amp;E's effective income tax rate is impacted by the VIE’s stand-alone effective income tax rate. </w:t>
      </w:r>
      <w:r>
        <w:rPr>
          <w:rFonts w:ascii="Arial" w:cs="Arial" w:eastAsia="Arial" w:hAnsi="Arial"/>
          <w:sz w:val="16"/>
          <w:szCs w:val="16"/>
          <w:i w:val="1"/>
          <w:iCs w:val="1"/>
          <w:color w:val="auto"/>
        </w:rPr>
        <w:t>PE and SoCalGas</w:t>
      </w:r>
    </w:p>
    <w:p>
      <w:pPr>
        <w:spacing w:after="0"/>
        <w:rPr>
          <w:sz w:val="20"/>
          <w:szCs w:val="20"/>
          <w:color w:val="auto"/>
        </w:rPr>
      </w:pPr>
      <w:r>
        <w:rPr>
          <w:rFonts w:ascii="Arial" w:cs="Arial" w:eastAsia="Arial" w:hAnsi="Arial"/>
          <w:sz w:val="16"/>
          <w:szCs w:val="16"/>
          <w:color w:val="auto"/>
        </w:rPr>
        <w:t>The decrease in PE's and SoCalGas' effective income tax rates for the three months ended June 30, 2010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 her deductions for self-developed software costs;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unfavorable resolution of prior years’ income tax issues.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2010, the increase in PE’s and SoCalGas’ effective income tax rates was primarily due to:</w:t>
      </w:r>
    </w:p>
    <w:p>
      <w:pPr>
        <w:spacing w:after="0" w:line="60" w:lineRule="exact"/>
        <w:rPr>
          <w:sz w:val="20"/>
          <w:szCs w:val="20"/>
          <w:color w:val="auto"/>
        </w:rPr>
      </w:pPr>
    </w:p>
    <w:p>
      <w:pPr>
        <w:ind w:left="140" w:right="1460"/>
        <w:spacing w:after="0" w:line="276" w:lineRule="auto"/>
        <w:rPr>
          <w:sz w:val="20"/>
          <w:szCs w:val="20"/>
          <w:color w:val="auto"/>
        </w:rPr>
      </w:pPr>
      <w:r>
        <w:rPr>
          <w:rFonts w:ascii="Arial" w:cs="Arial" w:eastAsia="Arial" w:hAnsi="Arial"/>
          <w:sz w:val="16"/>
          <w:szCs w:val="16"/>
          <w:color w:val="auto"/>
        </w:rPr>
        <w:t xml:space="preserve">§a $13 million write-down of the deferred tax assets related to other post employment benefits as a result of a change in U.S. tax law, as we discuss above; </w:t>
      </w:r>
      <w:r>
        <w:rPr>
          <w:rFonts w:ascii="Arial" w:cs="Arial" w:eastAsia="Arial" w:hAnsi="Arial"/>
          <w:sz w:val="16"/>
          <w:szCs w:val="16"/>
          <w:b w:val="1"/>
          <w:bCs w:val="1"/>
          <w:color w:val="auto"/>
        </w:rPr>
        <w:t>offset by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337185</wp:posOffset>
            </wp:positionV>
            <wp:extent cx="72599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NOTE 6. DEBT AND CREDIT FACILITIES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COMMITTED LINES OF CREDIT</w:t>
      </w:r>
    </w:p>
    <w:p>
      <w:pPr>
        <w:spacing w:after="0" w:line="104"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auto"/>
        </w:rPr>
        <w:t>At June 30, 2010, Sempra Energy Consolidated had $4.3 billion in committed lines of credit to provide liquidity and to support commercial paper and variable-rate demand notes, the major components of which we detail below. Available unused credit on the se lines at June 30, 2010 was $3.1 billion. We discuss the terms of our credit agreements in Note 6 of the Notes to Consolidated Financial Statements in the Annual Report.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w:t>
      </w:r>
    </w:p>
    <w:p>
      <w:pPr>
        <w:spacing w:after="0" w:line="60"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Sempra Energy has a $1 billion, three-year syndicated revolving credit agreement expiring in August 2011. Borrowings bear interest at benchmark rates plus a margin that varies with market index rates and Sempra Energy's credit ratings. At June 30, 2010, Sempra Energy had no outstanding borrowings under the facility.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Global</w:t>
      </w:r>
    </w:p>
    <w:p>
      <w:pPr>
        <w:spacing w:after="0" w:line="60"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Sempra Global has a $2.5 billion, three-year syndicated revolving credit agreement expiring in August 2011. The facility also provides for issuance of up to $300 million of letters of credit on behalf of Sempra Global with the amount of borrowings otherwise available under the facility reduced by the amount of outstanding letters of credit.</w:t>
      </w:r>
    </w:p>
    <w:p>
      <w:pPr>
        <w:spacing w:after="0" w:line="4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Sempra Energy guarantees Sempra Global’s obligations under the credit facility. Borrowings bear interest at benchmark rates plus a margin that varies with market index rates and Sempra Energy’s credit ratings. At June 30, 2010, Sempra Global had letters of credit of $7 million outstanding and no outstanding borrowings under the facility. The facility provides support for $860 million of commercial paper outstanding at June 30, 2010.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Utilities</w:t>
      </w:r>
    </w:p>
    <w:p>
      <w:pPr>
        <w:spacing w:after="0" w:line="60"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SDG&amp;E and SoCalGas have a combined $800 million, three-year syndicated revolving credit agreement expiring in August 2011. The agreement permits each utility to ind 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Borrowings under the facility bear interest at benchmark rates plus a margin that varies with market index rates and the borrowing utility's credit rating. 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June 30, 2010, SDG&amp;E and SoCalGas had no outstanding borrowings under this facility. SDG&amp;E had $25 million of outstanding letters of credit and $237 million of variable-rate demand notes outstanding supported by this facility at June 30, 2010. The facility also provides support for $63 million of commercial paper outstanding at SDG&amp;E at June 30, 2010.</w:t>
      </w:r>
    </w:p>
    <w:p>
      <w:pPr>
        <w:spacing w:after="0" w:line="72"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Available unused credit on these lines at June 30, 2010 was $275 million at SDG&amp;E and $475 million at SoCalGas; SoCalGas' availability reflects the impact of SDG&amp;E's use of the combined credit available on the line.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ectPr>
          <w:pgSz w:w="11900" w:h="16838" w:orient="portrait"/>
          <w:cols w:equalWidth="0" w:num="1">
            <w:col w:w="11400"/>
          </w:cols>
          <w:pgMar w:left="240" w:top="131" w:right="25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RBS Sempra Commodities</w:t>
      </w:r>
    </w:p>
    <w:p>
      <w:pPr>
        <w:sectPr>
          <w:pgSz w:w="11900" w:h="16838" w:orient="portrait"/>
          <w:cols w:equalWidth="0" w:num="1">
            <w:col w:w="11400"/>
          </w:cols>
          <w:pgMar w:left="240" w:top="131" w:right="259" w:bottom="0" w:gutter="0" w:footer="0" w:header="0"/>
          <w:type w:val="continuous"/>
        </w:sectPr>
      </w:pPr>
    </w:p>
    <w:bookmarkStart w:id="24" w:name="page25"/>
    <w:bookmarkEnd w:id="24"/>
    <w:p>
      <w:pPr>
        <w:spacing w:after="0" w:line="71" w:lineRule="exact"/>
        <w:rPr>
          <w:sz w:val="20"/>
          <w:szCs w:val="20"/>
          <w:color w:val="auto"/>
        </w:rPr>
      </w:pPr>
    </w:p>
    <w:p>
      <w:pPr>
        <w:jc w:val="both"/>
        <w:ind w:right="40"/>
        <w:spacing w:after="0" w:line="320" w:lineRule="auto"/>
        <w:rPr>
          <w:sz w:val="20"/>
          <w:szCs w:val="20"/>
          <w:color w:val="auto"/>
        </w:rPr>
      </w:pPr>
      <w:r>
        <w:rPr>
          <w:rFonts w:ascii="Arial" w:cs="Arial" w:eastAsia="Arial" w:hAnsi="Arial"/>
          <w:sz w:val="14"/>
          <w:szCs w:val="14"/>
          <w:color w:val="auto"/>
        </w:rPr>
        <w:t>On July 1, 2010, Sempra Energy, RBS and RBS Sempra Commodities completed the sale of certain businesses within the partnership, as we discuss in Note 4. J.P. Morgan is in the process of replacing any guarantees that we have issued in connection with the bus inesses sold to J.P. Morgan Ventures with J.P. Morgan guarantees. In the meantime, J.P. Morgan is indemnifying us for any claims or losses in connection with the guarantees that we issued in connection with the businesses sold to J.P. Morgan Ventures.</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Some of these back-up guarantees may continue for a prolonged period of time. RBS, which is controlled by the government of the United Kingdom, has fully indemnified us for any claims or losses in connection with these arrangements.</w:t>
      </w:r>
    </w:p>
    <w:p>
      <w:pPr>
        <w:spacing w:after="0" w:line="5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RBS Sempra Commodities’ net trading liabilities supported by Sempra Energy’s guarantees at June 30, 2010 were $632 million, consisting of guara nteed trading obligations net of collateral. The amount of guaranteed net trading liabilities varies from day to day with the value of the trading obligations and related collateral.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Guarantees</w:t>
      </w:r>
    </w:p>
    <w:p>
      <w:pPr>
        <w:spacing w:after="0" w:line="60"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Sempra Energy, Conoco Phillips (Conoco) and Kinder Morgan Energy Partners, L.P. (KMP) currently hold 25-percent, 25-percent and 50-percent ownership interests, respectively, in Rockies Express. Rockies Express operates a natural gas pipeline linking natural gas producing areas in the Rocky Mountain region to the upper Midwest and the eastern United States. In April 2010, Rockies Express’ $2 billion, five-year credit facility expiring in May 2011 that provided for revolving extensions of credit guaranteed by Sempra Energy, Conoco and KMP in proportion to their respective ownership percentages was reduced to $200 million, and Sempra Energy, Conoco and KMP were released from their guaranto r obligations. Long-term debt of $1.7 billion issued in March 2010 was used to pay down the credit facility; this new debt is not separately guaranteed by the partners.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INTEREST RATES</w:t>
      </w:r>
    </w:p>
    <w:p>
      <w:pPr>
        <w:spacing w:after="0" w:line="104" w:lineRule="exact"/>
        <w:rPr>
          <w:sz w:val="20"/>
          <w:szCs w:val="20"/>
          <w:color w:val="auto"/>
        </w:rPr>
      </w:pPr>
    </w:p>
    <w:p>
      <w:pPr>
        <w:jc w:val="both"/>
        <w:ind w:right="220"/>
        <w:spacing w:after="0" w:line="320" w:lineRule="auto"/>
        <w:rPr>
          <w:sz w:val="20"/>
          <w:szCs w:val="20"/>
          <w:color w:val="auto"/>
        </w:rPr>
      </w:pPr>
      <w:r>
        <w:rPr>
          <w:rFonts w:ascii="Arial" w:cs="Arial" w:eastAsia="Arial" w:hAnsi="Arial"/>
          <w:sz w:val="14"/>
          <w:szCs w:val="14"/>
          <w:color w:val="auto"/>
        </w:rPr>
        <w:t>At June 30, 2010, the weighted average interest rate on the total short-term debt outstanding at Sempra Energy was 0.47 percent. At June 30, 2010, the weighted average interest rate on the total short-term debt outstanding at SDG&amp;E was 0.24 percent. The weighted average interest rate on the total short-term debt outstanding at Sempra Energy was 0.79 percent at December 31, 2009. The short-term debt outstanding at SDG&amp;E at December 31, 2009 was a non-interest bearing loan at Orange Grove VIE.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May 2010, SDG&amp;E pu blicly offered and sold $250 million of 5.35-percent first mortgage bonds, maturing in 2040.</w:t>
      </w:r>
    </w:p>
    <w:p>
      <w:pPr>
        <w:spacing w:after="0" w:line="108"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SDG&amp;E has two power purchase agreements with peaker plant facilities that went into commercial operation in June 2010 and are accounted for as capital leases. As of June 30, 2010, capital lease obligations for these leases, both with a 25-year term, were $183 million.</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337185</wp:posOffset>
            </wp:positionV>
            <wp:extent cx="72599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NOTE 7. DERIVATIVE FINANCIAL INSTRUMENTS</w:t>
      </w:r>
    </w:p>
    <w:p>
      <w:pPr>
        <w:spacing w:after="0" w:line="14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These exposures are commodity market risk and benchmark interest rate risk.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record all derivatives at fair value on the Condensed Consolidated Balance Sheets. We designate each derivative as 1) a cash flow hedge, 2) a fair value hedge, or 3) 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Statements of Consolidated Cash Flows.</w:t>
      </w:r>
    </w:p>
    <w:p>
      <w:pPr>
        <w:spacing w:after="0" w:line="79"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HEDGE ACCOUNTING</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We may designate a deriva 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 ents, and other criteria.</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 DERIVATIVES</w:t>
      </w:r>
    </w:p>
    <w:p>
      <w:pPr>
        <w:spacing w:after="0" w:line="104"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color w:val="auto"/>
        </w:rPr>
        <w:t>Our market risk is primarily related to natural gas and electricity price volatility and the specific physical locations where we transact. We use energy derivatives to market energy products and manage these risks. The use of energy derivatives in our various businesses depends on the particular energy market, and the operating and regulatory environments applicable to the business.</w:t>
      </w:r>
    </w:p>
    <w:p>
      <w:pPr>
        <w:spacing w:after="0" w:line="72" w:lineRule="exact"/>
        <w:rPr>
          <w:sz w:val="20"/>
          <w:szCs w:val="20"/>
          <w:color w:val="auto"/>
        </w:rPr>
      </w:pPr>
    </w:p>
    <w:p>
      <w:pPr>
        <w:ind w:left="140" w:right="1200"/>
        <w:spacing w:after="0" w:line="258" w:lineRule="auto"/>
        <w:rPr>
          <w:sz w:val="20"/>
          <w:szCs w:val="20"/>
          <w:color w:val="auto"/>
        </w:rPr>
      </w:pPr>
      <w:r>
        <w:rPr>
          <w:rFonts w:ascii="Arial" w:cs="Arial" w:eastAsia="Arial" w:hAnsi="Arial"/>
          <w:sz w:val="16"/>
          <w:szCs w:val="16"/>
          <w:color w:val="auto"/>
        </w:rPr>
        <w:t>§The Sempra Utilities use natural gas energy derivatives, on their customers' behalf, with the objective of managing price and basis risks and lowering natural gas costs. These derivatives include fixed price natural gas positions, options, and basis risk instruments, which are either exchange-traded or over-the-counte r financial instruments. This activity is governed by risk management and transacting activity plans that have been filed with and approved by the California Public Utilities Commission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31" w:lineRule="exact"/>
        <w:rPr>
          <w:sz w:val="20"/>
          <w:szCs w:val="20"/>
          <w:color w:val="auto"/>
        </w:rPr>
      </w:pPr>
    </w:p>
    <w:p>
      <w:pPr>
        <w:ind w:left="140" w:right="1220"/>
        <w:spacing w:after="0" w:line="314" w:lineRule="auto"/>
        <w:rPr>
          <w:sz w:val="20"/>
          <w:szCs w:val="20"/>
          <w:color w:val="auto"/>
        </w:rPr>
      </w:pPr>
      <w:r>
        <w:rPr>
          <w:rFonts w:ascii="Arial" w:cs="Arial" w:eastAsia="Arial" w:hAnsi="Arial"/>
          <w:sz w:val="14"/>
          <w:szCs w:val="14"/>
          <w:color w:val="auto"/>
        </w:rPr>
        <w:t>§SDG&amp;E is allocated and may purchase congestion revenue rights (CRRs), which serve to reduce the regional electricity price volatility risk which may result from local transmission capacity constraints. Unrealized gains and losses do not impact earnings, as they are offset by regulatory account balances. Realized gains and losses associated with CRRs a re recorded in Cost of Electric Fuel and Purchased Power on the Condensed Consolidated Statements of Operations.</w:t>
      </w:r>
    </w:p>
    <w:p>
      <w:pPr>
        <w:spacing w:after="0" w:line="1" w:lineRule="exact"/>
        <w:rPr>
          <w:sz w:val="20"/>
          <w:szCs w:val="20"/>
          <w:color w:val="auto"/>
        </w:rPr>
      </w:pPr>
    </w:p>
    <w:p>
      <w:pPr>
        <w:ind w:left="140" w:right="1160"/>
        <w:spacing w:after="0" w:line="265" w:lineRule="auto"/>
        <w:rPr>
          <w:sz w:val="20"/>
          <w:szCs w:val="20"/>
          <w:color w:val="auto"/>
        </w:rPr>
      </w:pPr>
      <w:r>
        <w:rPr>
          <w:rFonts w:ascii="Arial" w:cs="Arial" w:eastAsia="Arial" w:hAnsi="Arial"/>
          <w:sz w:val="16"/>
          <w:szCs w:val="16"/>
          <w:color w:val="auto"/>
        </w:rPr>
        <w:t>§Sempra Generation uses natural gas and electricity instruments to market energy products and optimize the earnings of its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24" w:lineRule="exact"/>
        <w:rPr>
          <w:sz w:val="20"/>
          <w:szCs w:val="20"/>
          <w:color w:val="auto"/>
        </w:rPr>
      </w:pPr>
    </w:p>
    <w:p>
      <w:pPr>
        <w:ind w:left="140" w:right="1280"/>
        <w:spacing w:after="0" w:line="350" w:lineRule="auto"/>
        <w:rPr>
          <w:sz w:val="20"/>
          <w:szCs w:val="20"/>
          <w:color w:val="auto"/>
        </w:rPr>
      </w:pPr>
      <w:r>
        <w:rPr>
          <w:rFonts w:ascii="Arial" w:cs="Arial" w:eastAsia="Arial" w:hAnsi="Arial"/>
          <w:sz w:val="14"/>
          <w:szCs w:val="14"/>
          <w:color w:val="auto"/>
        </w:rPr>
        <w:t>§Sempra LNG and Sempra Pipelines &amp; Storage use natural gas derivatives to market energy products and optimize the earnings of the liquefied natural gas business and Sempra Pipelines &amp; Storage's natural gas storage and transportation assets. Sempra Pipelines &amp; Storage also uses natural g as energy derivatives</w:t>
      </w:r>
    </w:p>
    <w:p>
      <w:pPr>
        <w:sectPr>
          <w:pgSz w:w="11900" w:h="16909" w:orient="portrait"/>
          <w:cols w:equalWidth="0" w:num="1">
            <w:col w:w="11420"/>
          </w:cols>
          <w:pgMar w:left="240" w:top="131" w:right="239" w:bottom="0" w:gutter="0" w:footer="0" w:header="0"/>
        </w:sectPr>
      </w:pPr>
    </w:p>
    <w:bookmarkStart w:id="25" w:name="page26"/>
    <w:bookmarkEnd w:id="25"/>
    <w:p>
      <w:pPr>
        <w:spacing w:after="0" w:line="68" w:lineRule="exact"/>
        <w:rPr>
          <w:sz w:val="20"/>
          <w:szCs w:val="20"/>
          <w:color w:val="auto"/>
        </w:rPr>
      </w:pPr>
    </w:p>
    <w:p>
      <w:pPr>
        <w:ind w:left="140" w:right="1120"/>
        <w:spacing w:after="0" w:line="259" w:lineRule="auto"/>
        <w:rPr>
          <w:sz w:val="20"/>
          <w:szCs w:val="20"/>
          <w:color w:val="auto"/>
        </w:rPr>
      </w:pPr>
      <w:r>
        <w:rPr>
          <w:rFonts w:ascii="Arial" w:cs="Arial" w:eastAsia="Arial" w:hAnsi="Arial"/>
          <w:sz w:val="16"/>
          <w:szCs w:val="16"/>
          <w:color w:val="auto"/>
        </w:rPr>
        <w:t>with the objective of managing price risk and lowering natural gas prices at its Mexican distribution operations. Sempra Pipelines &amp; Storage’s derivatives are either undesignated or are recorded as commodity costs that are offset by regulatory account balances and are recovered in rates. Sempra LNG’s derivatives are undesignated and their impact on earnings is recorded in Sempra Global and Parent Revenues on the Condensed Consolidated Statements of Operations. The impacts on earnings are recognized in Sempra Global and Parent Revenues or in Cost of Natural Gas, Electric Fuel and Purchased Power on the Condensed Consolidated Statements of Operations.</w:t>
      </w:r>
    </w:p>
    <w:p>
      <w:pPr>
        <w:spacing w:after="0" w:line="12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From time to time, our various businesses, including the Sempra Utilities, may use other energy derivatives to hedge exposures such as the price of vehicle fuel. These derivatives are typically accounted for as cash flow hedges.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We summarize net commodity derivative volumes as of June 30, 2010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Business Unit and Commodity</w:t>
            </w: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Volume</w:t>
            </w:r>
          </w:p>
        </w:tc>
        <w:tc>
          <w:tcPr>
            <w:tcW w:w="360" w:type="dxa"/>
            <w:vAlign w:val="bottom"/>
            <w:tcBorders>
              <w:bottom w:val="single" w:sz="8" w:color="auto"/>
            </w:tcBorders>
          </w:tcPr>
          <w:p>
            <w:pPr>
              <w:spacing w:after="0"/>
              <w:rPr>
                <w:sz w:val="13"/>
                <w:szCs w:val="13"/>
                <w:color w:val="auto"/>
              </w:rPr>
            </w:pPr>
          </w:p>
        </w:tc>
      </w:tr>
      <w:tr>
        <w:trPr>
          <w:trHeight w:val="219"/>
        </w:trPr>
        <w:tc>
          <w:tcPr>
            <w:tcW w:w="2840" w:type="dxa"/>
            <w:vAlign w:val="bottom"/>
          </w:tcPr>
          <w:p>
            <w:pPr>
              <w:ind w:left="100"/>
              <w:spacing w:after="0"/>
              <w:rPr>
                <w:sz w:val="20"/>
                <w:szCs w:val="20"/>
                <w:color w:val="auto"/>
              </w:rPr>
            </w:pPr>
            <w:r>
              <w:rPr>
                <w:rFonts w:ascii="Arial" w:cs="Arial" w:eastAsia="Arial" w:hAnsi="Arial"/>
                <w:sz w:val="15"/>
                <w:szCs w:val="15"/>
                <w:color w:val="auto"/>
              </w:rPr>
              <w:t>Sempra Utilities: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9"/>
        </w:trPr>
        <w:tc>
          <w:tcPr>
            <w:tcW w:w="2840" w:type="dxa"/>
            <w:vAlign w:val="bottom"/>
          </w:tcPr>
          <w:p>
            <w:pPr>
              <w:ind w:left="440"/>
              <w:spacing w:after="0"/>
              <w:rPr>
                <w:sz w:val="20"/>
                <w:szCs w:val="20"/>
                <w:color w:val="auto"/>
              </w:rPr>
            </w:pPr>
            <w:r>
              <w:rPr>
                <w:rFonts w:ascii="Arial" w:cs="Arial" w:eastAsia="Arial" w:hAnsi="Arial"/>
                <w:sz w:val="15"/>
                <w:szCs w:val="15"/>
                <w:color w:val="auto"/>
              </w:rPr>
              <w:t>SDG&amp;E:</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9"/>
        </w:trPr>
        <w:tc>
          <w:tcPr>
            <w:tcW w:w="2840" w:type="dxa"/>
            <w:vAlign w:val="bottom"/>
          </w:tcPr>
          <w:p>
            <w:pPr>
              <w:ind w:left="720"/>
              <w:spacing w:after="0"/>
              <w:rPr>
                <w:sz w:val="20"/>
                <w:szCs w:val="20"/>
                <w:color w:val="auto"/>
              </w:rPr>
            </w:pPr>
            <w:r>
              <w:rPr>
                <w:rFonts w:ascii="Arial" w:cs="Arial" w:eastAsia="Arial" w:hAnsi="Arial"/>
                <w:sz w:val="15"/>
                <w:szCs w:val="15"/>
                <w:color w:val="auto"/>
              </w:rPr>
              <w:t>Natural gas</w:t>
            </w:r>
          </w:p>
        </w:tc>
        <w:tc>
          <w:tcPr>
            <w:tcW w:w="1320" w:type="dxa"/>
            <w:vAlign w:val="bottom"/>
          </w:tcPr>
          <w:p>
            <w:pPr>
              <w:ind w:left="100"/>
              <w:spacing w:after="0"/>
              <w:rPr>
                <w:sz w:val="20"/>
                <w:szCs w:val="20"/>
                <w:color w:val="auto"/>
              </w:rPr>
            </w:pPr>
            <w:r>
              <w:rPr>
                <w:rFonts w:ascii="Arial" w:cs="Arial" w:eastAsia="Arial" w:hAnsi="Arial"/>
                <w:sz w:val="15"/>
                <w:szCs w:val="15"/>
                <w:color w:val="auto"/>
              </w:rPr>
              <w:t>44 million MMBtu</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(1)</w:t>
            </w:r>
          </w:p>
        </w:tc>
      </w:tr>
      <w:tr>
        <w:trPr>
          <w:trHeight w:val="213"/>
        </w:trPr>
        <w:tc>
          <w:tcPr>
            <w:tcW w:w="2840" w:type="dxa"/>
            <w:vAlign w:val="bottom"/>
          </w:tcPr>
          <w:p>
            <w:pPr>
              <w:ind w:left="720"/>
              <w:spacing w:after="0"/>
              <w:rPr>
                <w:sz w:val="20"/>
                <w:szCs w:val="20"/>
                <w:color w:val="auto"/>
              </w:rPr>
            </w:pPr>
            <w:r>
              <w:rPr>
                <w:rFonts w:ascii="Arial" w:cs="Arial" w:eastAsia="Arial" w:hAnsi="Arial"/>
                <w:sz w:val="15"/>
                <w:szCs w:val="15"/>
                <w:color w:val="auto"/>
              </w:rPr>
              <w:t>Congestion revenue rights</w:t>
            </w:r>
          </w:p>
        </w:tc>
        <w:tc>
          <w:tcPr>
            <w:tcW w:w="1320" w:type="dxa"/>
            <w:vAlign w:val="bottom"/>
          </w:tcPr>
          <w:p>
            <w:pPr>
              <w:ind w:left="100"/>
              <w:spacing w:after="0"/>
              <w:rPr>
                <w:sz w:val="20"/>
                <w:szCs w:val="20"/>
                <w:color w:val="auto"/>
              </w:rPr>
            </w:pPr>
            <w:r>
              <w:rPr>
                <w:rFonts w:ascii="Arial" w:cs="Arial" w:eastAsia="Arial" w:hAnsi="Arial"/>
                <w:sz w:val="15"/>
                <w:szCs w:val="15"/>
                <w:color w:val="auto"/>
              </w:rPr>
              <w:t>11 million MWh</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(2)</w:t>
            </w:r>
          </w:p>
        </w:tc>
      </w:tr>
      <w:tr>
        <w:trPr>
          <w:trHeight w:val="150"/>
        </w:trPr>
        <w:tc>
          <w:tcPr>
            <w:tcW w:w="2840" w:type="dxa"/>
            <w:vAlign w:val="bottom"/>
          </w:tcPr>
          <w:p>
            <w:pPr>
              <w:ind w:left="440"/>
              <w:spacing w:after="0" w:line="150" w:lineRule="exact"/>
              <w:rPr>
                <w:sz w:val="20"/>
                <w:szCs w:val="20"/>
                <w:color w:val="auto"/>
              </w:rPr>
            </w:pPr>
            <w:r>
              <w:rPr>
                <w:rFonts w:ascii="Arial" w:cs="Arial" w:eastAsia="Arial" w:hAnsi="Arial"/>
                <w:sz w:val="15"/>
                <w:szCs w:val="15"/>
                <w:color w:val="auto"/>
              </w:rPr>
              <w:t>SoCalGas - natural gas</w:t>
            </w: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48"/>
        </w:trPr>
        <w:tc>
          <w:tcPr>
            <w:tcW w:w="2840" w:type="dxa"/>
            <w:vAlign w:val="bottom"/>
          </w:tcPr>
          <w:p>
            <w:pPr>
              <w:ind w:left="440"/>
              <w:spacing w:after="0"/>
              <w:rPr>
                <w:sz w:val="20"/>
                <w:szCs w:val="20"/>
                <w:color w:val="auto"/>
              </w:rPr>
            </w:pPr>
            <w:r>
              <w:rPr>
                <w:rFonts w:ascii="Arial" w:cs="Arial" w:eastAsia="Arial" w:hAnsi="Arial"/>
                <w:sz w:val="19"/>
                <w:szCs w:val="19"/>
                <w:color w:val="auto"/>
              </w:rPr>
              <w:t>&lt; /td&gt;</w:t>
            </w:r>
          </w:p>
        </w:tc>
        <w:tc>
          <w:tcPr>
            <w:tcW w:w="1320" w:type="dxa"/>
            <w:vAlign w:val="bottom"/>
          </w:tcPr>
          <w:p>
            <w:pPr>
              <w:ind w:left="100"/>
              <w:spacing w:after="0"/>
              <w:rPr>
                <w:sz w:val="20"/>
                <w:szCs w:val="20"/>
                <w:color w:val="auto"/>
              </w:rPr>
            </w:pPr>
            <w:r>
              <w:rPr>
                <w:rFonts w:ascii="Arial" w:cs="Arial" w:eastAsia="Arial" w:hAnsi="Arial"/>
                <w:sz w:val="15"/>
                <w:szCs w:val="15"/>
                <w:color w:val="auto"/>
              </w:rPr>
              <w:t>4 million MMBtu</w:t>
            </w:r>
          </w:p>
        </w:tc>
        <w:tc>
          <w:tcPr>
            <w:tcW w:w="360" w:type="dxa"/>
            <w:vAlign w:val="bottom"/>
          </w:tcPr>
          <w:p>
            <w:pPr>
              <w:spacing w:after="0"/>
              <w:rPr>
                <w:sz w:val="21"/>
                <w:szCs w:val="21"/>
                <w:color w:val="auto"/>
              </w:rPr>
            </w:pPr>
          </w:p>
        </w:tc>
      </w:tr>
      <w:tr>
        <w:trPr>
          <w:trHeight w:val="437"/>
        </w:trPr>
        <w:tc>
          <w:tcPr>
            <w:tcW w:w="2840" w:type="dxa"/>
            <w:vAlign w:val="bottom"/>
          </w:tcPr>
          <w:p>
            <w:pPr>
              <w:ind w:left="100"/>
              <w:spacing w:after="0"/>
              <w:rPr>
                <w:sz w:val="20"/>
                <w:szCs w:val="20"/>
                <w:color w:val="auto"/>
              </w:rPr>
            </w:pPr>
            <w:r>
              <w:rPr>
                <w:rFonts w:ascii="Arial" w:cs="Arial" w:eastAsia="Arial" w:hAnsi="Arial"/>
                <w:sz w:val="15"/>
                <w:szCs w:val="15"/>
                <w:color w:val="auto"/>
              </w:rPr>
              <w:t>Sempra Global:</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9"/>
        </w:trPr>
        <w:tc>
          <w:tcPr>
            <w:tcW w:w="2840" w:type="dxa"/>
            <w:vAlign w:val="bottom"/>
          </w:tcPr>
          <w:p>
            <w:pPr>
              <w:ind w:left="440"/>
              <w:spacing w:after="0"/>
              <w:rPr>
                <w:sz w:val="20"/>
                <w:szCs w:val="20"/>
                <w:color w:val="auto"/>
              </w:rPr>
            </w:pPr>
            <w:r>
              <w:rPr>
                <w:rFonts w:ascii="Arial" w:cs="Arial" w:eastAsia="Arial" w:hAnsi="Arial"/>
                <w:sz w:val="15"/>
                <w:szCs w:val="15"/>
                <w:color w:val="auto"/>
              </w:rPr>
              <w:t>Sempra LNG - natural gas</w:t>
            </w:r>
          </w:p>
        </w:tc>
        <w:tc>
          <w:tcPr>
            <w:tcW w:w="1320" w:type="dxa"/>
            <w:vAlign w:val="bottom"/>
          </w:tcPr>
          <w:p>
            <w:pPr>
              <w:ind w:left="100"/>
              <w:spacing w:after="0"/>
              <w:rPr>
                <w:sz w:val="20"/>
                <w:szCs w:val="20"/>
                <w:color w:val="auto"/>
              </w:rPr>
            </w:pPr>
            <w:r>
              <w:rPr>
                <w:rFonts w:ascii="Arial" w:cs="Arial" w:eastAsia="Arial" w:hAnsi="Arial"/>
                <w:sz w:val="15"/>
                <w:szCs w:val="15"/>
                <w:color w:val="auto"/>
              </w:rPr>
              <w:t>7 million MMBtu</w:t>
            </w:r>
          </w:p>
        </w:tc>
        <w:tc>
          <w:tcPr>
            <w:tcW w:w="360" w:type="dxa"/>
            <w:vAlign w:val="bottom"/>
          </w:tcPr>
          <w:p>
            <w:pPr>
              <w:spacing w:after="0"/>
              <w:rPr>
                <w:sz w:val="19"/>
                <w:szCs w:val="19"/>
                <w:color w:val="auto"/>
              </w:rPr>
            </w:pPr>
          </w:p>
        </w:tc>
      </w:tr>
      <w:tr>
        <w:trPr>
          <w:trHeight w:val="228"/>
        </w:trPr>
        <w:tc>
          <w:tcPr>
            <w:tcW w:w="2840" w:type="dxa"/>
            <w:vAlign w:val="bottom"/>
            <w:tcBorders>
              <w:bottom w:val="single" w:sz="8" w:color="C0C0C0"/>
            </w:tcBorders>
          </w:tcPr>
          <w:p>
            <w:pPr>
              <w:ind w:left="440"/>
              <w:spacing w:after="0"/>
              <w:rPr>
                <w:sz w:val="20"/>
                <w:szCs w:val="20"/>
                <w:color w:val="auto"/>
              </w:rPr>
            </w:pPr>
            <w:r>
              <w:rPr>
                <w:rFonts w:ascii="Arial" w:cs="Arial" w:eastAsia="Arial" w:hAnsi="Arial"/>
                <w:sz w:val="15"/>
                <w:szCs w:val="15"/>
                <w:color w:val="auto"/>
              </w:rPr>
              <w:t>Sempra Generation - electric power</w:t>
            </w:r>
          </w:p>
        </w:tc>
        <w:tc>
          <w:tcPr>
            <w:tcW w:w="132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1 million MWh</w:t>
            </w:r>
          </w:p>
        </w:tc>
        <w:tc>
          <w:tcPr>
            <w:tcW w:w="360" w:type="dxa"/>
            <w:vAlign w:val="bottom"/>
            <w:tcBorders>
              <w:bottom w:val="single" w:sz="8" w:color="C0C0C0"/>
            </w:tcBorders>
          </w:tcPr>
          <w:p>
            <w:pPr>
              <w:spacing w:after="0"/>
              <w:rPr>
                <w:sz w:val="19"/>
                <w:szCs w:val="19"/>
                <w:color w:val="auto"/>
              </w:rPr>
            </w:pPr>
          </w:p>
        </w:tc>
      </w:tr>
    </w:tbl>
    <w:p>
      <w:pPr>
        <w:ind w:left="440" w:hanging="341"/>
        <w:spacing w:after="0"/>
        <w:tabs>
          <w:tab w:leader="none" w:pos="440"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Million British the rmal units</w:t>
      </w:r>
    </w:p>
    <w:p>
      <w:pPr>
        <w:spacing w:after="0" w:line="59" w:lineRule="exact"/>
        <w:rPr>
          <w:rFonts w:ascii="Arial" w:cs="Arial" w:eastAsia="Arial" w:hAnsi="Arial"/>
          <w:sz w:val="13"/>
          <w:szCs w:val="13"/>
          <w:i w:val="1"/>
          <w:iCs w:val="1"/>
          <w:color w:val="auto"/>
        </w:rPr>
      </w:pPr>
    </w:p>
    <w:p>
      <w:pPr>
        <w:ind w:left="440" w:hanging="341"/>
        <w:spacing w:after="0"/>
        <w:tabs>
          <w:tab w:leader="none" w:pos="440"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Megawatt hours</w:t>
      </w:r>
    </w:p>
    <w:p>
      <w:pPr>
        <w:spacing w:after="0" w:line="290"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auto"/>
        </w:rPr>
        <w:t>In addition to the amounts noted above, we frequently use commodity derivatives to manage risks associated with the physical locations of our customers, assets and other contractual obligations, such as natural gas purchases.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10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in anticipation of future financings.</w:t>
      </w:r>
    </w:p>
    <w:p>
      <w:pPr>
        <w:spacing w:after="0" w:line="76"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Sempra Utilities, as at the rest of Sempra Energy's subsidiaries. Separately, Otay Me sa VIE has entered into interest rate swap agreements to moderate their exposure to interest rate changes.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net notional amounts of our interest rate derivatives as of June 30, 2010 were: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color w:val="auto"/>
              </w:rPr>
              <w:t>June 30, 2010</w:t>
            </w:r>
          </w:p>
        </w:tc>
        <w:tc>
          <w:tcPr>
            <w:tcW w:w="1240" w:type="dxa"/>
            <w:vAlign w:val="bottom"/>
            <w:tcBorders>
              <w:bottom w:val="single" w:sz="8" w:color="auto"/>
            </w:tcBorders>
          </w:tcPr>
          <w:p>
            <w:pPr>
              <w:spacing w:after="0"/>
              <w:rPr>
                <w:sz w:val="12"/>
                <w:szCs w:val="12"/>
                <w:color w:val="auto"/>
              </w:rPr>
            </w:pPr>
          </w:p>
        </w:tc>
      </w:tr>
      <w:tr>
        <w:trPr>
          <w:trHeight w:val="150"/>
        </w:trPr>
        <w:tc>
          <w:tcPr>
            <w:tcW w:w="310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5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color w:val="auto"/>
              </w:rPr>
              <w:t>Notional Debt</w:t>
            </w:r>
          </w:p>
        </w:tc>
        <w:tc>
          <w:tcPr>
            <w:tcW w:w="12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rPr>
              <w:t>Maturities</w:t>
            </w:r>
          </w:p>
        </w:tc>
      </w:tr>
      <w:tr>
        <w:trPr>
          <w:trHeight w:val="156"/>
        </w:trPr>
        <w:tc>
          <w:tcPr>
            <w:tcW w:w="3100" w:type="dxa"/>
            <w:vAlign w:val="bottom"/>
          </w:tcPr>
          <w:p>
            <w:pPr>
              <w:ind w:left="100"/>
              <w:spacing w:after="0" w:line="156" w:lineRule="exact"/>
              <w:rPr>
                <w:sz w:val="20"/>
                <w:szCs w:val="20"/>
                <w:color w:val="auto"/>
              </w:rPr>
            </w:pPr>
            <w:r>
              <w:rPr>
                <w:rFonts w:ascii="Arial" w:cs="Arial" w:eastAsia="Arial" w:hAnsi="Arial"/>
                <w:sz w:val="15"/>
                <w:szCs w:val="15"/>
                <w:color w:val="auto"/>
              </w:rPr>
              <w:t>Sempra Energy Consolidated(1)</w:t>
            </w:r>
          </w:p>
        </w:tc>
        <w:tc>
          <w:tcPr>
            <w:tcW w:w="52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1820" w:type="dxa"/>
            <w:vAlign w:val="bottom"/>
          </w:tcPr>
          <w:p>
            <w:pPr>
              <w:jc w:val="right"/>
              <w:ind w:right="305"/>
              <w:spacing w:after="0" w:line="156" w:lineRule="exact"/>
              <w:rPr>
                <w:sz w:val="20"/>
                <w:szCs w:val="20"/>
                <w:color w:val="auto"/>
              </w:rPr>
            </w:pPr>
            <w:r>
              <w:rPr>
                <w:rFonts w:ascii="Arial" w:cs="Arial" w:eastAsia="Arial" w:hAnsi="Arial"/>
                <w:sz w:val="15"/>
                <w:szCs w:val="15"/>
                <w:color w:val="auto"/>
              </w:rPr>
              <w:t>215-355</w:t>
            </w:r>
          </w:p>
        </w:tc>
        <w:tc>
          <w:tcPr>
            <w:tcW w:w="1240" w:type="dxa"/>
            <w:vAlign w:val="bottom"/>
          </w:tcPr>
          <w:p>
            <w:pPr>
              <w:jc w:val="right"/>
              <w:ind w:right="29"/>
              <w:spacing w:after="0" w:line="156" w:lineRule="exact"/>
              <w:rPr>
                <w:sz w:val="20"/>
                <w:szCs w:val="20"/>
                <w:color w:val="auto"/>
              </w:rPr>
            </w:pPr>
            <w:r>
              <w:rPr>
                <w:rFonts w:ascii="Arial" w:cs="Arial" w:eastAsia="Arial" w:hAnsi="Arial"/>
                <w:sz w:val="15"/>
                <w:szCs w:val="15"/>
                <w:color w:val="auto"/>
              </w:rPr>
              <w:t>2011-2019</w:t>
            </w:r>
          </w:p>
        </w:tc>
      </w:tr>
      <w:tr>
        <w:trPr>
          <w:trHeight w:val="248"/>
        </w:trPr>
        <w:tc>
          <w:tcPr>
            <w:tcW w:w="3100" w:type="dxa"/>
            <w:vAlign w:val="bottom"/>
          </w:tcPr>
          <w:p>
            <w:pPr>
              <w:ind w:left="100"/>
              <w:spacing w:after="0"/>
              <w:rPr>
                <w:sz w:val="20"/>
                <w:szCs w:val="20"/>
                <w:color w:val="auto"/>
              </w:rPr>
            </w:pPr>
            <w:r>
              <w:rPr>
                <w:rFonts w:ascii="Arial" w:cs="Arial" w:eastAsia="Arial" w:hAnsi="Arial"/>
                <w:sz w:val="15"/>
                <w:szCs w:val="15"/>
                <w:color w:val="auto"/>
              </w:rPr>
              <w:t>SDG&amp;E(1)</w:t>
            </w:r>
          </w:p>
        </w:tc>
        <w:tc>
          <w:tcPr>
            <w:tcW w:w="520" w:type="dxa"/>
            <w:vAlign w:val="bottom"/>
          </w:tcPr>
          <w:p>
            <w:pPr>
              <w:spacing w:after="0"/>
              <w:rPr>
                <w:sz w:val="21"/>
                <w:szCs w:val="21"/>
                <w:color w:val="auto"/>
              </w:rPr>
            </w:pPr>
          </w:p>
        </w:tc>
        <w:tc>
          <w:tcPr>
            <w:tcW w:w="1820" w:type="dxa"/>
            <w:vAlign w:val="bottom"/>
          </w:tcPr>
          <w:p>
            <w:pPr>
              <w:jc w:val="right"/>
              <w:ind w:right="305"/>
              <w:spacing w:after="0"/>
              <w:rPr>
                <w:sz w:val="20"/>
                <w:szCs w:val="20"/>
                <w:color w:val="auto"/>
              </w:rPr>
            </w:pPr>
            <w:r>
              <w:rPr>
                <w:rFonts w:ascii="Arial" w:cs="Arial" w:eastAsia="Arial" w:hAnsi="Arial"/>
                <w:sz w:val="19"/>
                <w:szCs w:val="19"/>
                <w:color w:val="auto"/>
              </w:rPr>
              <w:t>285-372</w:t>
            </w:r>
          </w:p>
        </w:tc>
        <w:tc>
          <w:tcPr>
            <w:tcW w:w="1240" w:type="dxa"/>
            <w:vAlign w:val="bottom"/>
          </w:tcPr>
          <w:p>
            <w:pPr>
              <w:jc w:val="right"/>
              <w:ind w:right="29"/>
              <w:spacing w:after="0"/>
              <w:rPr>
                <w:sz w:val="20"/>
                <w:szCs w:val="20"/>
                <w:color w:val="auto"/>
              </w:rPr>
            </w:pPr>
            <w:r>
              <w:rPr>
                <w:rFonts w:ascii="Arial" w:cs="Arial" w:eastAsia="Arial" w:hAnsi="Arial"/>
                <w:sz w:val="15"/>
                <w:szCs w:val="15"/>
                <w:color w:val="auto"/>
              </w:rPr>
              <w:t>2019</w:t>
            </w:r>
          </w:p>
        </w:tc>
      </w:tr>
      <w:tr>
        <w:trPr>
          <w:trHeight w:val="226"/>
        </w:trPr>
        <w:tc>
          <w:tcPr>
            <w:tcW w:w="3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520" w:type="dxa"/>
            <w:vAlign w:val="bottom"/>
            <w:tcBorders>
              <w:bottom w:val="single" w:sz="8" w:color="C0C0C0"/>
            </w:tcBorders>
          </w:tcPr>
          <w:p>
            <w:pPr>
              <w:spacing w:after="0"/>
              <w:rPr>
                <w:sz w:val="19"/>
                <w:szCs w:val="19"/>
                <w:color w:val="auto"/>
              </w:rPr>
            </w:pPr>
          </w:p>
        </w:tc>
        <w:tc>
          <w:tcPr>
            <w:tcW w:w="1820" w:type="dxa"/>
            <w:vAlign w:val="bottom"/>
            <w:tcBorders>
              <w:bottom w:val="single" w:sz="8" w:color="C0C0C0"/>
            </w:tcBorders>
          </w:tcPr>
          <w:p>
            <w:pPr>
              <w:jc w:val="right"/>
              <w:ind w:right="305"/>
              <w:spacing w:after="0"/>
              <w:rPr>
                <w:sz w:val="20"/>
                <w:szCs w:val="20"/>
                <w:color w:val="auto"/>
              </w:rPr>
            </w:pPr>
            <w:r>
              <w:rPr>
                <w:rFonts w:ascii="Arial" w:cs="Arial" w:eastAsia="Arial" w:hAnsi="Arial"/>
                <w:sz w:val="15"/>
                <w:szCs w:val="15"/>
                <w:color w:val="auto"/>
              </w:rPr>
              <w:t>150</w:t>
            </w:r>
          </w:p>
        </w:tc>
        <w:tc>
          <w:tcPr>
            <w:tcW w:w="124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2011</w:t>
            </w:r>
          </w:p>
        </w:tc>
      </w:tr>
    </w:tbl>
    <w:p>
      <w:pPr>
        <w:ind w:left="1420" w:hanging="347"/>
        <w:spacing w:after="0"/>
        <w:tabs>
          <w:tab w:leader="none" w:pos="1420" w:val="left"/>
        </w:tabs>
        <w:numPr>
          <w:ilvl w:val="0"/>
          <w:numId w:val="34"/>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Otay Mesa VIE. All of SDG&amp;E's interest rate derivatives relate to Otay Mesa VIE.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PRESENTATION</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following table provides the fair values of derivative instruments , without consideration of margin deposits held or posted, on the Condensed Consolidated Balance Sheets as of June 30, 2010 and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602615</wp:posOffset>
            </wp:positionV>
            <wp:extent cx="5334635" cy="294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4635" cy="29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DERIVATIVE INSTRUMENTS ON THE CONDENSED CONSOLIDATED BALANCE SHEETS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(Dollars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3"/>
                <w:szCs w:val="13"/>
                <w:color w:val="auto"/>
              </w:rPr>
              <w:t>June 30, 201 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225"/>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Deferred</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credits</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rPr>
              <w:t>Current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rPr>
              <w:t>Current</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and other</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rPr>
              <w:t>assets: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liabilities:</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liabilities:</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Fixed-price</w:t>
            </w: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Investments</w:t>
            </w:r>
          </w:p>
        </w:tc>
        <w:tc>
          <w:tcPr>
            <w:tcW w:w="28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3"/>
                <w:szCs w:val="13"/>
                <w:color w:val="auto"/>
              </w:rPr>
              <w:t>Fixed-price</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Fixed-price</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contracts</w:t>
            </w:r>
          </w:p>
        </w:tc>
      </w:tr>
      <w:tr>
        <w:trPr>
          <w:trHeight w:val="219"/>
        </w:trPr>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assets:</w:t>
            </w:r>
          </w:p>
        </w:tc>
        <w:tc>
          <w:tcPr>
            <w:tcW w:w="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rPr>
              <w:t>and other</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and other</w:t>
            </w:r>
          </w:p>
        </w:tc>
      </w:tr>
      <w:tr>
        <w:trPr>
          <w:trHeight w:val="206"/>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Derivatives designated as hedging instruments</w:t>
            </w:r>
          </w:p>
        </w:tc>
        <w:tc>
          <w:tcPr>
            <w:tcW w:w="300" w:type="dxa"/>
            <w:vAlign w:val="bottom"/>
            <w:tcBorders>
              <w:bottom w:val="single" w:sz="8" w:color="auto"/>
            </w:tcBorders>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3"/>
                <w:szCs w:val="13"/>
                <w:color w:val="auto"/>
              </w:rPr>
              <w:t>derivatives(1)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Sundry</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derivatives(2)</w:t>
            </w:r>
          </w:p>
        </w:tc>
        <w:tc>
          <w:tcPr>
            <w:tcW w:w="260" w:type="dxa"/>
            <w:vAlign w:val="bottom"/>
            <w:tcBorders>
              <w:bottom w:val="single" w:sz="8" w:color="auto"/>
            </w:tcBorders>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derivatives</w:t>
            </w:r>
          </w:p>
        </w:tc>
      </w:tr>
      <w:tr>
        <w:trPr>
          <w:trHeight w:val="219"/>
        </w:trPr>
        <w:tc>
          <w:tcPr>
            <w:tcW w:w="362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8"/>
        </w:trPr>
        <w:tc>
          <w:tcPr>
            <w:tcW w:w="36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Interest rate instruments</w:t>
            </w:r>
          </w:p>
        </w:tc>
        <w:tc>
          <w:tcPr>
            <w:tcW w:w="3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1"/>
              <w:spacing w:after="0"/>
              <w:rPr>
                <w:sz w:val="20"/>
                <w:szCs w:val="20"/>
                <w:color w:val="auto"/>
              </w:rPr>
            </w:pPr>
            <w:r>
              <w:rPr>
                <w:rFonts w:ascii="Arial" w:cs="Arial" w:eastAsia="Arial" w:hAnsi="Arial"/>
                <w:sz w:val="15"/>
                <w:szCs w:val="15"/>
                <w:color w:val="auto"/>
              </w:rPr>
              <w:t>5</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7"/>
        </w:trPr>
        <w:tc>
          <w:tcPr>
            <w:tcW w:w="362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8"/>
        </w:trPr>
        <w:tc>
          <w:tcPr>
            <w:tcW w:w="36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Interest rate instruments</w:t>
            </w:r>
          </w:p>
        </w:tc>
        <w:tc>
          <w:tcPr>
            <w:tcW w:w="3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5"/>
                <w:szCs w:val="15"/>
                <w:color w:val="auto"/>
              </w:rPr>
              <w:t>5</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5"/>
                <w:szCs w:val="15"/>
                <w:color w:val="auto"/>
              </w:rPr>
              <w:t>-</w:t>
            </w:r>
          </w:p>
        </w:tc>
      </w:tr>
      <w:tr>
        <w:trPr>
          <w:trHeight w:val="438"/>
        </w:trPr>
        <w:tc>
          <w:tcPr>
            <w:tcW w:w="3620" w:type="dxa"/>
            <w:vAlign w:val="bottom"/>
          </w:tcPr>
          <w:p>
            <w:pPr>
              <w:ind w:left="100"/>
              <w:spacing w:after="0"/>
              <w:rPr>
                <w:sz w:val="20"/>
                <w:szCs w:val="20"/>
                <w:color w:val="auto"/>
              </w:rPr>
            </w:pPr>
            <w:r>
              <w:rPr>
                <w:rFonts w:ascii="Arial" w:cs="Arial" w:eastAsia="Arial" w:hAnsi="Arial"/>
                <w:sz w:val="13"/>
                <w:szCs w:val="13"/>
                <w:color w:val="auto"/>
              </w:rPr>
              <w:t>Derivatives not designated as hedging instruments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9"/>
        </w:trPr>
        <w:tc>
          <w:tcPr>
            <w:tcW w:w="362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3620" w:type="dxa"/>
            <w:vAlign w:val="bottom"/>
          </w:tcPr>
          <w:p>
            <w:pPr>
              <w:ind w:left="340"/>
              <w:spacing w:after="0"/>
              <w:rPr>
                <w:sz w:val="20"/>
                <w:szCs w:val="20"/>
                <w:color w:val="auto"/>
              </w:rPr>
            </w:pPr>
            <w:r>
              <w:rPr>
                <w:rFonts w:ascii="Arial" w:cs="Arial" w:eastAsia="Arial" w:hAnsi="Arial"/>
                <w:sz w:val="15"/>
                <w:szCs w:val="15"/>
                <w:color w:val="auto"/>
              </w:rPr>
              <w:t>Interest rate instruments(3)</w:t>
            </w:r>
          </w:p>
        </w:tc>
        <w:tc>
          <w:tcPr>
            <w:tcW w:w="3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1"/>
              <w:spacing w:after="0"/>
              <w:rPr>
                <w:sz w:val="20"/>
                <w:szCs w:val="20"/>
                <w:color w:val="auto"/>
              </w:rPr>
            </w:pPr>
            <w:r>
              <w:rPr>
                <w:rFonts w:ascii="Arial" w:cs="Arial" w:eastAsia="Arial" w:hAnsi="Arial"/>
                <w:sz w:val="15"/>
                <w:szCs w:val="15"/>
                <w:color w:val="auto"/>
              </w:rPr>
              <w:t>9</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51"/>
              <w:spacing w:after="0"/>
              <w:rPr>
                <w:sz w:val="20"/>
                <w:szCs w:val="20"/>
                <w:color w:val="auto"/>
              </w:rPr>
            </w:pPr>
            <w:r>
              <w:rPr>
                <w:rFonts w:ascii="Arial" w:cs="Arial" w:eastAsia="Arial" w:hAnsi="Arial"/>
                <w:sz w:val="15"/>
                <w:szCs w:val="15"/>
                <w:color w:val="auto"/>
              </w:rPr>
              <w:t>30</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1"/>
              <w:spacing w:after="0"/>
              <w:rPr>
                <w:sz w:val="20"/>
                <w:szCs w:val="20"/>
                <w:color w:val="auto"/>
              </w:rPr>
            </w:pPr>
            <w:r>
              <w:rPr>
                <w:rFonts w:ascii="Arial" w:cs="Arial" w:eastAsia="Arial" w:hAnsi="Arial"/>
                <w:sz w:val="15"/>
                <w:szCs w:val="15"/>
                <w:color w:val="auto"/>
              </w:rPr>
              <w:t>(24)</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
              <w:spacing w:after="0"/>
              <w:rPr>
                <w:sz w:val="20"/>
                <w:szCs w:val="20"/>
                <w:color w:val="auto"/>
              </w:rPr>
            </w:pPr>
            <w:r>
              <w:rPr>
                <w:rFonts w:ascii="Arial" w:cs="Arial" w:eastAsia="Arial" w:hAnsi="Arial"/>
                <w:sz w:val="15"/>
                <w:szCs w:val="15"/>
                <w:color w:val="auto"/>
              </w:rPr>
              <w:t>(74)</w:t>
            </w:r>
          </w:p>
        </w:tc>
      </w:tr>
      <w:tr>
        <w:trPr>
          <w:trHeight w:val="213"/>
        </w:trPr>
        <w:tc>
          <w:tcPr>
            <w:tcW w:w="3620" w:type="dxa"/>
            <w:vAlign w:val="bottom"/>
          </w:tcPr>
          <w:p>
            <w:pPr>
              <w:ind w:left="340"/>
              <w:spacing w:after="0"/>
              <w:rPr>
                <w:sz w:val="20"/>
                <w:szCs w:val="20"/>
                <w:color w:val="auto"/>
              </w:rPr>
            </w:pPr>
            <w:r>
              <w:rPr>
                <w:rFonts w:ascii="Arial" w:cs="Arial" w:eastAsia="Arial" w:hAnsi="Arial"/>
                <w:sz w:val="15"/>
                <w:szCs w:val="15"/>
                <w:color w:val="auto"/>
              </w:rPr>
              <w:t>Commodity contracts not subject to rate recovery</w:t>
            </w:r>
          </w:p>
        </w:tc>
        <w:tc>
          <w:tcPr>
            <w:tcW w:w="30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5"/>
                <w:szCs w:val="15"/>
                <w:color w:val="auto"/>
              </w:rPr>
              <w:t>86</w:t>
            </w: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5"/>
                <w:szCs w:val="15"/>
                <w:color w:val="auto"/>
              </w:rPr>
              <w:t>28</w:t>
            </w: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5"/>
                <w:szCs w:val="15"/>
                <w:color w:val="auto"/>
              </w:rPr>
              <w:t>(72)</w:t>
            </w:r>
          </w:p>
        </w:tc>
        <w:tc>
          <w:tcPr>
            <w:tcW w:w="2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5"/>
                <w:szCs w:val="15"/>
                <w:color w:val="auto"/>
              </w:rPr>
              <w:t>(39)</w:t>
            </w:r>
          </w:p>
        </w:tc>
      </w:tr>
      <w:tr>
        <w:trPr>
          <w:trHeight w:val="176"/>
        </w:trPr>
        <w:tc>
          <w:tcPr>
            <w:tcW w:w="3620" w:type="dxa"/>
            <w:vAlign w:val="bottom"/>
          </w:tcPr>
          <w:p>
            <w:pPr>
              <w:ind w:left="500"/>
              <w:spacing w:after="0"/>
              <w:rPr>
                <w:sz w:val="20"/>
                <w:szCs w:val="20"/>
                <w:color w:val="auto"/>
              </w:rPr>
            </w:pPr>
            <w:r>
              <w:rPr>
                <w:rFonts w:ascii="Arial" w:cs="Arial" w:eastAsia="Arial" w:hAnsi="Arial"/>
                <w:sz w:val="15"/>
                <w:szCs w:val="15"/>
                <w:color w:val="auto"/>
              </w:rPr>
              <w:t>Associated offsetting commodity contracts</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5"/>
                <w:szCs w:val="15"/>
                <w:color w:val="auto"/>
              </w:rPr>
              <w:t>12</w:t>
            </w:r>
          </w:p>
        </w:tc>
      </w:tr>
    </w:tbl>
    <w:p>
      <w:pPr>
        <w:sectPr>
          <w:pgSz w:w="11900" w:h="16907" w:orient="portrait"/>
          <w:cols w:equalWidth="0" w:num="1">
            <w:col w:w="11360"/>
          </w:cols>
          <w:pgMar w:left="240" w:top="131" w:right="2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gridSpan w:val="2"/>
          </w:tcPr>
          <w:p>
            <w:pPr>
              <w:ind w:left="340"/>
              <w:spacing w:after="0"/>
              <w:rPr>
                <w:sz w:val="20"/>
                <w:szCs w:val="20"/>
                <w:color w:val="auto"/>
              </w:rPr>
            </w:pPr>
            <w:r>
              <w:rPr>
                <w:rFonts w:ascii="Arial" w:cs="Arial" w:eastAsia="Arial" w:hAnsi="Arial"/>
                <w:sz w:val="15"/>
                <w:szCs w:val="15"/>
                <w:color w:val="auto"/>
              </w:rPr>
              <w:t>Commodity contr acts subject to rate recovery</w:t>
            </w:r>
          </w:p>
        </w:tc>
        <w:tc>
          <w:tcPr>
            <w:tcW w:w="520" w:type="dxa"/>
            <w:vAlign w:val="bottom"/>
          </w:tcPr>
          <w:p>
            <w:pPr>
              <w:spacing w:after="0"/>
              <w:rPr>
                <w:sz w:val="15"/>
                <w:szCs w:val="15"/>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w:t>
            </w:r>
          </w:p>
        </w:tc>
        <w:tc>
          <w:tcPr>
            <w:tcW w:w="32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(23)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500"/>
              <w:spacing w:after="0"/>
              <w:rPr>
                <w:sz w:val="20"/>
                <w:szCs w:val="20"/>
                <w:color w:val="auto"/>
              </w:rPr>
            </w:pPr>
            <w:r>
              <w:rPr>
                <w:rFonts w:ascii="Arial" w:cs="Arial" w:eastAsia="Arial" w:hAnsi="Arial"/>
                <w:sz w:val="15"/>
                <w:szCs w:val="15"/>
                <w:color w:val="auto"/>
              </w:rPr>
              <w:t>Associated offsetting commodity contracts</w:t>
            </w: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39</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272"/>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30</w:t>
            </w:r>
          </w:p>
        </w:tc>
        <w:tc>
          <w:tcPr>
            <w:tcW w:w="3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&amp; nbsp;28</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SDG&amp;E:</w:t>
            </w:r>
          </w:p>
        </w:tc>
        <w:tc>
          <w:tcPr>
            <w:tcW w:w="520" w:type="dxa"/>
            <w:vAlign w:val="bottom"/>
            <w:vMerge w:val="restart"/>
          </w:tcPr>
          <w:p>
            <w:pPr>
              <w:jc w:val="right"/>
              <w:ind w:right="272"/>
              <w:spacing w:after="0"/>
              <w:rPr>
                <w:sz w:val="20"/>
                <w:szCs w:val="20"/>
                <w:color w:val="auto"/>
              </w:rPr>
            </w:pPr>
            <w:r>
              <w:rPr>
                <w:rFonts w:ascii="Arial" w:cs="Arial" w:eastAsia="Arial" w:hAnsi="Arial"/>
                <w:sz w:val="19"/>
                <w:szCs w:val="19"/>
                <w:color w:val="auto"/>
              </w:rPr>
              <w:t>$</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60" w:type="dxa"/>
            <w:vAlign w:val="bottom"/>
            <w:gridSpan w:val="2"/>
          </w:tcPr>
          <w:p>
            <w:pPr>
              <w:ind w:left="340"/>
              <w:spacing w:after="0"/>
              <w:rPr>
                <w:sz w:val="20"/>
                <w:szCs w:val="20"/>
                <w:color w:val="auto"/>
              </w:rPr>
            </w:pPr>
            <w:r>
              <w:rPr>
                <w:rFonts w:ascii="Arial" w:cs="Arial" w:eastAsia="Arial" w:hAnsi="Arial"/>
                <w:sz w:val="15"/>
                <w:szCs w:val="15"/>
                <w:color w:val="auto"/>
              </w:rPr>
              <w:t>Interest rate instruments(3)</w:t>
            </w:r>
          </w:p>
        </w:tc>
        <w:tc>
          <w:tcPr>
            <w:tcW w:w="520" w:type="dxa"/>
            <w:vAlign w:val="bottom"/>
            <w:vMerge w:val="continue"/>
          </w:tcPr>
          <w:p>
            <w:pPr>
              <w:spacing w:after="0"/>
              <w:rPr>
                <w:sz w:val="19"/>
                <w:szCs w:val="19"/>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(51)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660" w:type="dxa"/>
            <w:vAlign w:val="bottom"/>
            <w:gridSpan w:val="2"/>
          </w:tcPr>
          <w:p>
            <w:pPr>
              <w:ind w:left="340"/>
              <w:spacing w:after="0"/>
              <w:rPr>
                <w:sz w:val="20"/>
                <w:szCs w:val="20"/>
                <w:color w:val="auto"/>
              </w:rPr>
            </w:pPr>
            <w:r>
              <w:rPr>
                <w:rFonts w:ascii="Arial" w:cs="Arial" w:eastAsia="Arial" w:hAnsi="Arial"/>
                <w:sz w:val="15"/>
                <w:szCs w:val="15"/>
                <w:color w:val="auto"/>
              </w:rPr>
              <w:t>Commodity contracts subject to rate recovery</w:t>
            </w:r>
          </w:p>
        </w:tc>
        <w:tc>
          <w:tcPr>
            <w:tcW w:w="520" w:type="dxa"/>
            <w:vAlign w:val="bottom"/>
          </w:tcPr>
          <w:p>
            <w:pPr>
              <w:spacing w:after="0"/>
              <w:rPr>
                <w:sz w:val="17"/>
                <w:szCs w:val="17"/>
                <w:color w:val="auto"/>
              </w:rPr>
            </w:pP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w:t>
            </w:r>
          </w:p>
        </w:tc>
        <w:tc>
          <w:tcPr>
            <w:tcW w:w="320" w:type="dxa"/>
            <w:vAlign w:val="bottom"/>
          </w:tcPr>
          <w:p>
            <w:pPr>
              <w:spacing w:after="0"/>
              <w:rPr>
                <w:sz w:val="17"/>
                <w:szCs w:val="17"/>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(23)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500"/>
              <w:spacing w:after="0"/>
              <w:rPr>
                <w:sz w:val="20"/>
                <w:szCs w:val="20"/>
                <w:color w:val="auto"/>
              </w:rPr>
            </w:pPr>
            <w:r>
              <w:rPr>
                <w:rFonts w:ascii="Arial" w:cs="Arial" w:eastAsia="Arial" w:hAnsi="Arial"/>
                <w:sz w:val="15"/>
                <w:szCs w:val="15"/>
                <w:color w:val="auto"/>
              </w:rPr>
              <w:t>Associated offsetting commodity contracts</w:t>
            </w: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35</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color w:val="auto"/>
              </w:rPr>
              <w:t>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272"/>
              <w:spacing w:after="0" w:line="212" w:lineRule="exact"/>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3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(18)</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SoCalGas: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340"/>
              <w:spacing w:after="0"/>
              <w:rPr>
                <w:sz w:val="20"/>
                <w:szCs w:val="20"/>
                <w:color w:val="auto"/>
              </w:rPr>
            </w:pPr>
            <w:r>
              <w:rPr>
                <w:rFonts w:ascii="Arial" w:cs="Arial" w:eastAsia="Arial" w:hAnsi="Arial"/>
                <w:sz w:val="15"/>
                <w:szCs w:val="15"/>
                <w:color w:val="auto"/>
              </w:rPr>
              <w:t>Commodity contracts subject to rate recovery</w:t>
            </w:r>
          </w:p>
        </w:tc>
        <w:tc>
          <w:tcPr>
            <w:tcW w:w="520" w:type="dxa"/>
            <w:vAlign w:val="bottom"/>
          </w:tcPr>
          <w:p>
            <w:pPr>
              <w:jc w:val="right"/>
              <w:ind w:right="272"/>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6</w:t>
            </w:r>
          </w:p>
        </w:tc>
        <w:tc>
          <w:tcPr>
            <w:tcW w:w="3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500"/>
              <w:spacing w:after="0"/>
              <w:rPr>
                <w:sz w:val="20"/>
                <w:szCs w:val="20"/>
                <w:color w:val="auto"/>
              </w:rPr>
            </w:pPr>
            <w:r>
              <w:rPr>
                <w:rFonts w:ascii="Arial" w:cs="Arial" w:eastAsia="Arial" w:hAnsi="Arial"/>
                <w:sz w:val="15"/>
                <w:szCs w:val="15"/>
                <w:color w:val="auto"/>
              </w:rPr>
              <w:t>Associated offsetting commodity contracts</w:t>
            </w: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272"/>
              <w:spacing w:after="0" w:line="212" w:lineRule="exact"/>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3"/>
                <w:szCs w:val="13"/>
                <w:color w:val="auto"/>
              </w:rPr>
              <w:t>December 31, 2009</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Deferred</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color w:val="auto"/>
                <w:w w:val="96"/>
              </w:rPr>
              <w:t>&amp; nbsp;</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3"/>
                <w:szCs w:val="13"/>
                <w:color w:val="auto"/>
              </w:rPr>
              <w:t>credits</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Current</w:t>
            </w:r>
          </w:p>
        </w:tc>
        <w:tc>
          <w:tcPr>
            <w:tcW w:w="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Current</w:t>
            </w:r>
          </w:p>
        </w:tc>
        <w:tc>
          <w:tcPr>
            <w:tcW w:w="28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3"/>
                <w:szCs w:val="13"/>
                <w:color w:val="auto"/>
              </w:rPr>
              <w:t>and other</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assets: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liabilities:</w:t>
            </w:r>
          </w:p>
        </w:tc>
        <w:tc>
          <w:tcPr>
            <w:tcW w:w="2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liabilities:</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Fixed-price</w:t>
            </w:r>
          </w:p>
        </w:tc>
        <w:tc>
          <w:tcPr>
            <w:tcW w:w="3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Investments</w:t>
            </w:r>
          </w:p>
        </w:tc>
        <w:tc>
          <w:tcPr>
            <w:tcW w:w="32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Fixed-price</w:t>
            </w:r>
          </w:p>
        </w:tc>
        <w:tc>
          <w:tcPr>
            <w:tcW w:w="2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Fixed-price</w:t>
            </w:r>
          </w:p>
        </w:tc>
        <w:tc>
          <w:tcPr>
            <w:tcW w:w="0" w:type="dxa"/>
            <w:vAlign w:val="bottom"/>
          </w:tcPr>
          <w:p>
            <w:pPr>
              <w:spacing w:after="0"/>
              <w:rPr>
                <w:sz w:val="1"/>
                <w:szCs w:val="1"/>
                <w:color w:val="auto"/>
              </w:rPr>
            </w:pPr>
          </w:p>
        </w:tc>
      </w:tr>
      <w:tr>
        <w:trPr>
          <w:trHeight w:val="219"/>
        </w:trPr>
        <w:tc>
          <w:tcPr>
            <w:tcW w:w="3660" w:type="dxa"/>
            <w:vAlign w:val="bottom"/>
            <w:gridSpan w:val="2"/>
            <w:vMerge w:val="restart"/>
          </w:tcPr>
          <w:p>
            <w:pPr>
              <w:ind w:left="440"/>
              <w:spacing w:after="0"/>
              <w:rPr>
                <w:sz w:val="20"/>
                <w:szCs w:val="20"/>
                <w:color w:val="auto"/>
              </w:rPr>
            </w:pPr>
            <w:r>
              <w:rPr>
                <w:rFonts w:ascii="Arial" w:cs="Arial" w:eastAsia="Arial" w:hAnsi="Arial"/>
                <w:sz w:val="19"/>
                <w:szCs w:val="19"/>
                <w:color w:val="auto"/>
              </w:rPr>
              <w:t>&lt; p style="MARGIN:0in 0in 0pt"&gt;</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contracts</w:t>
            </w:r>
          </w:p>
        </w:tc>
        <w:tc>
          <w:tcPr>
            <w:tcW w:w="3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3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contracts</w:t>
            </w:r>
          </w:p>
        </w:tc>
        <w:tc>
          <w:tcPr>
            <w:tcW w:w="2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0" w:type="dxa"/>
            <w:vAlign w:val="bottom"/>
          </w:tcPr>
          <w:p>
            <w:pPr>
              <w:spacing w:after="0"/>
              <w:rPr>
                <w:sz w:val="1"/>
                <w:szCs w:val="1"/>
                <w:color w:val="auto"/>
              </w:rPr>
            </w:pPr>
          </w:p>
        </w:tc>
      </w:tr>
      <w:tr>
        <w:trPr>
          <w:trHeight w:val="215"/>
        </w:trPr>
        <w:tc>
          <w:tcPr>
            <w:tcW w:w="36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320" w:type="dxa"/>
            <w:vAlign w:val="bottom"/>
          </w:tcPr>
          <w:p>
            <w:pPr>
              <w:spacing w:after="0"/>
              <w:rPr>
                <w:sz w:val="17"/>
                <w:szCs w:val="17"/>
                <w:color w:val="auto"/>
              </w:rPr>
            </w:pPr>
          </w:p>
        </w:tc>
        <w:tc>
          <w:tcPr>
            <w:tcW w:w="900" w:type="dxa"/>
            <w:vAlign w:val="bottom"/>
          </w:tcPr>
          <w:p>
            <w:pPr>
              <w:jc w:val="right"/>
              <w:ind w:right="127"/>
              <w:spacing w:after="0"/>
              <w:rPr>
                <w:sz w:val="20"/>
                <w:szCs w:val="20"/>
                <w:color w:val="auto"/>
              </w:rPr>
            </w:pPr>
            <w:r>
              <w:rPr>
                <w:rFonts w:ascii="Arial" w:cs="Arial" w:eastAsia="Arial" w:hAnsi="Arial"/>
                <w:sz w:val="13"/>
                <w:szCs w:val="13"/>
                <w:color w:val="auto"/>
              </w:rPr>
              <w:t>assets:</w:t>
            </w:r>
          </w:p>
        </w:tc>
        <w:tc>
          <w:tcPr>
            <w:tcW w:w="3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and other</w:t>
            </w:r>
          </w:p>
        </w:tc>
        <w:tc>
          <w:tcPr>
            <w:tcW w:w="2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and other</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Derivatives designated as hedging instrument 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derivatives(1)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Sundry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rPr>
              <w:t>derivati ves(2)</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derivatives</w:t>
            </w:r>
          </w:p>
        </w:tc>
        <w:tc>
          <w:tcPr>
            <w:tcW w:w="0" w:type="dxa"/>
            <w:vAlign w:val="bottom"/>
          </w:tcPr>
          <w:p>
            <w:pPr>
              <w:spacing w:after="0"/>
              <w:rPr>
                <w:sz w:val="1"/>
                <w:szCs w:val="1"/>
                <w:color w:val="auto"/>
              </w:rPr>
            </w:pPr>
          </w:p>
        </w:tc>
      </w:tr>
      <w:tr>
        <w:trPr>
          <w:trHeight w:val="219"/>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Interest rate instruments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12</w:t>
            </w: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3660" w:type="dxa"/>
            <w:vAlign w:val="bottom"/>
            <w:gridSpan w:val="2"/>
          </w:tcPr>
          <w:p>
            <w:pPr>
              <w:ind w:left="440"/>
              <w:spacing w:after="0"/>
              <w:rPr>
                <w:sz w:val="20"/>
                <w:szCs w:val="20"/>
                <w:color w:val="auto"/>
              </w:rPr>
            </w:pPr>
            <w:r>
              <w:rPr>
                <w:rFonts w:ascii="Arial" w:cs="Arial" w:eastAsia="Arial" w:hAnsi="Arial"/>
                <w:sz w:val="15"/>
                <w:szCs w:val="15"/>
                <w:color w:val="auto"/>
                <w:w w:val="98"/>
              </w:rPr>
              <w:t>Commodity contracts not subject to rate recovery</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13</w:t>
            </w: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3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3660" w:type="dxa"/>
            <w:vAlign w:val="bottom"/>
            <w:gridSpan w:val="2"/>
          </w:tcPr>
          <w:p>
            <w:pPr>
              <w:ind w:left="100"/>
              <w:spacing w:after="0"/>
              <w:rPr>
                <w:sz w:val="20"/>
                <w:szCs w:val="20"/>
                <w:color w:val="auto"/>
              </w:rPr>
            </w:pPr>
            <w:r>
              <w:rPr>
                <w:rFonts w:ascii="Arial" w:cs="Arial" w:eastAsia="Arial" w:hAnsi="Arial"/>
                <w:sz w:val="19"/>
                <w:szCs w:val="19"/>
                <w:b w:val="1"/>
                <w:bCs w:val="1"/>
                <w:color w:val="auto"/>
              </w:rPr>
              <w:t>SoCalGas:</w:t>
            </w: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6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Interest rate instruments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w:t>
            </w: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w:t>
            </w:r>
          </w:p>
        </w:tc>
        <w:tc>
          <w:tcPr>
            <w:tcW w:w="3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8"/>
        </w:trPr>
        <w:tc>
          <w:tcPr>
            <w:tcW w:w="3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Derivatives not designated as hedging instruments</w:t>
            </w: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Interest rate instruments(3)</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9</w:t>
            </w: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15</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(25)</w:t>
            </w:r>
          </w:p>
        </w:tc>
        <w:tc>
          <w:tcPr>
            <w:tcW w:w="2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w w:val="98"/>
              </w:rPr>
              <w:t>Commodity contracts not subject to rate recovery</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74</w:t>
            </w:r>
          </w:p>
        </w:tc>
        <w:tc>
          <w:tcPr>
            <w:tcW w:w="320" w:type="dxa"/>
            <w:vAlign w:val="bottom"/>
          </w:tcPr>
          <w:p>
            <w:pPr>
              <w:spacing w:after="0"/>
              <w:rPr>
                <w:sz w:val="19"/>
                <w:szCs w:val="19"/>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30</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(64)</w:t>
            </w:r>
          </w:p>
        </w:tc>
        <w:tc>
          <w:tcPr>
            <w:tcW w:w="2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19"/>
        </w:trPr>
        <w:tc>
          <w:tcPr>
            <w:tcW w:w="3660" w:type="dxa"/>
            <w:vAlign w:val="bottom"/>
            <w:gridSpan w:val="2"/>
          </w:tcPr>
          <w:p>
            <w:pPr>
              <w:ind w:left="600"/>
              <w:spacing w:after="0"/>
              <w:rPr>
                <w:sz w:val="20"/>
                <w:szCs w:val="20"/>
                <w:color w:val="auto"/>
              </w:rPr>
            </w:pPr>
            <w:r>
              <w:rPr>
                <w:rFonts w:ascii="Arial" w:cs="Arial" w:eastAsia="Arial" w:hAnsi="Arial"/>
                <w:sz w:val="15"/>
                <w:szCs w:val="15"/>
                <w:color w:val="auto"/>
              </w:rPr>
              <w:t>Associated offsetting commodity contracts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w:t>
            </w:r>
          </w:p>
        </w:tc>
        <w:tc>
          <w:tcPr>
            <w:tcW w:w="320" w:type="dxa"/>
            <w:vAlign w:val="bottom"/>
          </w:tcPr>
          <w:p>
            <w:pPr>
              <w:spacing w:after="0"/>
              <w:rPr>
                <w:sz w:val="19"/>
                <w:szCs w:val="19"/>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(6)</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34</w:t>
            </w:r>
          </w:p>
        </w:tc>
        <w:tc>
          <w:tcPr>
            <w:tcW w:w="28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Commodity contracts subject to rate recovery</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20</w:t>
            </w:r>
          </w:p>
        </w:tc>
        <w:tc>
          <w:tcPr>
            <w:tcW w:w="320" w:type="dxa"/>
            <w:vAlign w:val="bottom"/>
          </w:tcPr>
          <w:p>
            <w:pPr>
              <w:spacing w:after="0"/>
              <w:rPr>
                <w:sz w:val="19"/>
                <w:szCs w:val="19"/>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7</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2"/>
        </w:trPr>
        <w:tc>
          <w:tcPr>
            <w:tcW w:w="3660" w:type="dxa"/>
            <w:vAlign w:val="bottom"/>
            <w:gridSpan w:val="2"/>
          </w:tcPr>
          <w:p>
            <w:pPr>
              <w:ind w:left="600"/>
              <w:spacing w:after="0"/>
              <w:rPr>
                <w:sz w:val="20"/>
                <w:szCs w:val="20"/>
                <w:color w:val="auto"/>
              </w:rPr>
            </w:pPr>
            <w:r>
              <w:rPr>
                <w:rFonts w:ascii="Arial" w:cs="Arial" w:eastAsia="Arial" w:hAnsi="Arial"/>
                <w:sz w:val="15"/>
                <w:szCs w:val="15"/>
                <w:color w:val="auto"/>
              </w:rPr>
              <w:t>Associated offsetting commodity contracts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14</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55</w:t>
            </w: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37</w:t>
            </w:r>
          </w:p>
        </w:tc>
        <w:tc>
          <w:tcPr>
            <w:tcW w:w="3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(61)</w:t>
            </w:r>
          </w:p>
        </w:tc>
        <w:tc>
          <w:tcPr>
            <w:tcW w:w="2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27"/>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SDG&amp;E:</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Interest rate instruments(3)</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(17)</w:t>
            </w:r>
          </w:p>
        </w:tc>
        <w:tc>
          <w:tcPr>
            <w:tcW w:w="2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Commodity contracts subject to rate recovery</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18</w:t>
            </w:r>
          </w:p>
        </w:tc>
        <w:tc>
          <w:tcPr>
            <w:tcW w:w="320" w:type="dxa"/>
            <w:vAlign w:val="bottom"/>
          </w:tcPr>
          <w:p>
            <w:pPr>
              <w:spacing w:after="0"/>
              <w:rPr>
                <w:sz w:val="19"/>
                <w:szCs w:val="19"/>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7</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c>
          <w:tcPr>
            <w:tcW w:w="2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2"/>
        </w:trPr>
        <w:tc>
          <w:tcPr>
            <w:tcW w:w="3660" w:type="dxa"/>
            <w:vAlign w:val="bottom"/>
            <w:gridSpan w:val="2"/>
          </w:tcPr>
          <w:p>
            <w:pPr>
              <w:ind w:left="600"/>
              <w:spacing w:after="0"/>
              <w:rPr>
                <w:sz w:val="20"/>
                <w:szCs w:val="20"/>
                <w:color w:val="auto"/>
              </w:rPr>
            </w:pPr>
            <w:r>
              <w:rPr>
                <w:rFonts w:ascii="Arial" w:cs="Arial" w:eastAsia="Arial" w:hAnsi="Arial"/>
                <w:sz w:val="15"/>
                <w:szCs w:val="15"/>
                <w:color w:val="auto"/>
              </w:rPr>
              <w:t>Associated offsetting commodity contracts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13</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5</w:t>
            </w: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w:t>
            </w:r>
          </w:p>
        </w:tc>
        <w:tc>
          <w:tcPr>
            <w:tcW w:w="3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(17)</w:t>
            </w:r>
          </w:p>
        </w:tc>
        <w:tc>
          <w:tcPr>
            <w:tcW w:w="2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7"/>
        </w:trPr>
        <w:tc>
          <w:tcPr>
            <w:tcW w:w="3660" w:type="dxa"/>
            <w:vAlign w:val="bottom"/>
            <w:gridSpan w:val="2"/>
          </w:tcPr>
          <w:p>
            <w:pPr>
              <w:ind w:left="100"/>
              <w:spacing w:after="0"/>
              <w:rPr>
                <w:sz w:val="20"/>
                <w:szCs w:val="20"/>
                <w:color w:val="auto"/>
              </w:rPr>
            </w:pPr>
            <w:r>
              <w:rPr>
                <w:rFonts w:ascii="Arial" w:cs="Arial" w:eastAsia="Arial" w:hAnsi="Arial"/>
                <w:sz w:val="15"/>
                <w:szCs w:val="15"/>
                <w:b w:val="1"/>
                <w:bCs w:val="1"/>
                <w:color w:val="auto"/>
              </w:rPr>
              <w:t>SoCalGas: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gridSpan w:val="2"/>
          </w:tcPr>
          <w:p>
            <w:pPr>
              <w:ind w:left="440"/>
              <w:spacing w:after="0"/>
              <w:rPr>
                <w:sz w:val="20"/>
                <w:szCs w:val="20"/>
                <w:color w:val="auto"/>
              </w:rPr>
            </w:pPr>
            <w:r>
              <w:rPr>
                <w:rFonts w:ascii="Arial" w:cs="Arial" w:eastAsia="Arial" w:hAnsi="Arial"/>
                <w:sz w:val="15"/>
                <w:szCs w:val="15"/>
                <w:color w:val="auto"/>
              </w:rPr>
              <w:t>Commodity contracts subject to rate recovery</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2</w:t>
            </w: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2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tcPr>
          <w:p>
            <w:pPr>
              <w:ind w:left="600"/>
              <w:spacing w:after="0"/>
              <w:rPr>
                <w:sz w:val="20"/>
                <w:szCs w:val="20"/>
                <w:color w:val="auto"/>
              </w:rPr>
            </w:pPr>
            <w:r>
              <w:rPr>
                <w:rFonts w:ascii="Arial" w:cs="Arial" w:eastAsia="Arial" w:hAnsi="Arial"/>
                <w:sz w:val="15"/>
                <w:szCs w:val="15"/>
                <w:color w:val="auto"/>
              </w:rPr>
              <w:t>Associated offsetting commodity contracts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0" w:hanging="341"/>
        <w:spacing w:after="0"/>
        <w:tabs>
          <w:tab w:leader="none" w:pos="44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Included in Current assets: Other for SoCalGas.</w:t>
      </w:r>
    </w:p>
    <w:p>
      <w:pPr>
        <w:spacing w:after="0" w:line="57" w:lineRule="exact"/>
        <w:rPr>
          <w:rFonts w:ascii="Arial" w:cs="Arial" w:eastAsia="Arial" w:hAnsi="Arial"/>
          <w:sz w:val="13"/>
          <w:szCs w:val="13"/>
          <w:i w:val="1"/>
          <w:iCs w:val="1"/>
          <w:color w:val="auto"/>
        </w:rPr>
      </w:pPr>
    </w:p>
    <w:p>
      <w:pPr>
        <w:ind w:left="440" w:hanging="341"/>
        <w:spacing w:after="0"/>
        <w:tabs>
          <w:tab w:leader="none" w:pos="44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Included in Current liabilities: Other for SoCalGas.</w:t>
      </w:r>
    </w:p>
    <w:p>
      <w:pPr>
        <w:spacing w:after="0" w:line="57" w:lineRule="exact"/>
        <w:rPr>
          <w:rFonts w:ascii="Arial" w:cs="Arial" w:eastAsia="Arial" w:hAnsi="Arial"/>
          <w:sz w:val="13"/>
          <w:szCs w:val="13"/>
          <w:i w:val="1"/>
          <w:iCs w:val="1"/>
          <w:color w:val="auto"/>
        </w:rPr>
      </w:pPr>
    </w:p>
    <w:p>
      <w:pPr>
        <w:ind w:left="440" w:hanging="341"/>
        <w:spacing w:after="0"/>
        <w:tabs>
          <w:tab w:leader="none" w:pos="44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Otay Mesa VIE. All of SDG&amp;E's amounts relate to Otay Mesa VIE.</w:t>
      </w:r>
    </w:p>
    <w:p>
      <w:pPr>
        <w:spacing w:after="0" w:line="200" w:lineRule="exact"/>
        <w:rPr>
          <w:sz w:val="20"/>
          <w:szCs w:val="20"/>
          <w:color w:val="auto"/>
        </w:rPr>
      </w:pP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effects of derivative instruments designated as hedges on the Condensed Consolidated Statements of Operations for the three months and six months ended June 30, 2010 and 2009 were:</w:t>
      </w:r>
    </w:p>
    <w:p>
      <w:pPr>
        <w:spacing w:after="0" w:line="28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FAIR VALUE HEDGE IMPACT ON THE CONDENSED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2752725" cy="224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52725" cy="2241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259955" cy="146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146685"/>
                    </a:xfrm>
                    <a:prstGeom prst="rect">
                      <a:avLst/>
                    </a:prstGeom>
                    <a:noFill/>
                  </pic:spPr>
                </pic:pic>
              </a:graphicData>
            </a:graphic>
          </wp:anchor>
        </w:drawing>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2"/>
                <w:szCs w:val="12"/>
                <w:color w:val="auto"/>
              </w:rPr>
            </w:pPr>
          </w:p>
        </w:tc>
        <w:tc>
          <w:tcPr>
            <w:tcW w:w="38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3"/>
                <w:szCs w:val="13"/>
                <w:color w:val="auto"/>
              </w:rPr>
              <w:t>Gain (loss) on derivative recognized in earni ngs</w:t>
            </w:r>
          </w:p>
        </w:tc>
      </w:tr>
      <w:tr>
        <w:trPr>
          <w:trHeight w:val="199"/>
        </w:trPr>
        <w:tc>
          <w:tcPr>
            <w:tcW w:w="7600" w:type="dxa"/>
            <w:vAlign w:val="bottom"/>
          </w:tcPr>
          <w:p>
            <w:pPr>
              <w:spacing w:after="0"/>
              <w:rPr>
                <w:sz w:val="17"/>
                <w:szCs w:val="17"/>
                <w:color w:val="auto"/>
              </w:rPr>
            </w:pPr>
          </w:p>
        </w:tc>
        <w:tc>
          <w:tcPr>
            <w:tcW w:w="19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3"/>
                <w:szCs w:val="13"/>
                <w:color w:val="auto"/>
              </w:rPr>
              <w:t>Three months ended June 30,</w:t>
            </w:r>
          </w:p>
        </w:tc>
        <w:tc>
          <w:tcPr>
            <w:tcW w:w="18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color w:val="auto"/>
              </w:rPr>
              <w:t>Six months ended June 30,</w:t>
            </w:r>
          </w:p>
        </w:tc>
      </w:tr>
      <w:tr>
        <w:trPr>
          <w:trHeight w:val="199"/>
        </w:trPr>
        <w:tc>
          <w:tcPr>
            <w:tcW w:w="7600" w:type="dxa"/>
            <w:vAlign w:val="bottom"/>
            <w:tcBorders>
              <w:bottom w:val="single" w:sz="8" w:color="auto"/>
            </w:tcBorders>
          </w:tcPr>
          <w:p>
            <w:pPr>
              <w:ind w:left="6580"/>
              <w:spacing w:after="0"/>
              <w:rPr>
                <w:sz w:val="20"/>
                <w:szCs w:val="20"/>
                <w:color w:val="auto"/>
              </w:rPr>
            </w:pPr>
            <w:r>
              <w:rPr>
                <w:rFonts w:ascii="Arial" w:cs="Arial" w:eastAsia="Arial" w:hAnsi="Arial"/>
                <w:sz w:val="13"/>
                <w:szCs w:val="13"/>
                <w:color w:val="auto"/>
              </w:rPr>
              <w:t>Location</w:t>
            </w: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2010</w:t>
            </w: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2009</w:t>
            </w: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2010</w:t>
            </w: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2009</w:t>
            </w:r>
          </w:p>
        </w:tc>
      </w:tr>
    </w:tbl>
    <w:p>
      <w:pPr>
        <w:spacing w:after="0" w:line="3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 Consolidated:</w:t>
      </w:r>
    </w:p>
    <w:p>
      <w:pPr>
        <w:sectPr>
          <w:pgSz w:w="11900" w:h="16838" w:orient="portrait"/>
          <w:cols w:equalWidth="0" w:num="1">
            <w:col w:w="11440"/>
          </w:cols>
          <w:pgMar w:left="240" w:top="409" w:right="219" w:bottom="0" w:gutter="0" w:footer="0" w:header="0"/>
        </w:sectPr>
      </w:pPr>
    </w:p>
    <w:p>
      <w:pPr>
        <w:spacing w:after="0" w:line="65" w:lineRule="exact"/>
        <w:rPr>
          <w:sz w:val="20"/>
          <w:szCs w:val="20"/>
          <w:color w:val="auto"/>
        </w:rPr>
      </w:pPr>
    </w:p>
    <w:tbl>
      <w:tblPr>
        <w:tblLayout w:type="fixed"/>
        <w:tblInd w:w="4420" w:type="dxa"/>
        <w:tblCellMar>
          <w:top w:w="0" w:type="dxa"/>
          <w:left w:w="0" w:type="dxa"/>
          <w:bottom w:w="0" w:type="dxa"/>
          <w:right w:w="0" w:type="dxa"/>
        </w:tblCellMar>
      </w:tblPr>
      <w:tr>
        <w:trPr>
          <w:trHeight w:val="176"/>
        </w:trPr>
        <w:tc>
          <w:tcPr>
            <w:tcW w:w="1700" w:type="dxa"/>
            <w:vAlign w:val="bottom"/>
          </w:tcPr>
          <w:p>
            <w:pPr>
              <w:spacing w:after="0"/>
              <w:rPr>
                <w:sz w:val="20"/>
                <w:szCs w:val="20"/>
                <w:color w:val="auto"/>
              </w:rPr>
            </w:pPr>
            <w:r>
              <w:rPr>
                <w:rFonts w:ascii="Arial" w:cs="Arial" w:eastAsia="Arial" w:hAnsi="Arial"/>
                <w:sz w:val="15"/>
                <w:szCs w:val="15"/>
                <w:color w:val="auto"/>
              </w:rPr>
              <w:t>Interest rate instruments</w:t>
            </w:r>
          </w:p>
        </w:tc>
        <w:tc>
          <w:tcPr>
            <w:tcW w:w="1320" w:type="dxa"/>
            <w:vAlign w:val="bottom"/>
          </w:tcPr>
          <w:p>
            <w:pPr>
              <w:ind w:left="140"/>
              <w:spacing w:after="0"/>
              <w:rPr>
                <w:sz w:val="20"/>
                <w:szCs w:val="20"/>
                <w:color w:val="auto"/>
              </w:rPr>
            </w:pPr>
            <w:r>
              <w:rPr>
                <w:rFonts w:ascii="Arial" w:cs="Arial" w:eastAsia="Arial" w:hAnsi="Arial"/>
                <w:sz w:val="15"/>
                <w:szCs w:val="15"/>
                <w:color w:val="auto"/>
              </w:rPr>
              <w:t>Interest Expense</w:t>
            </w:r>
          </w:p>
        </w:tc>
      </w:tr>
      <w:tr>
        <w:trPr>
          <w:trHeight w:val="219"/>
        </w:trPr>
        <w:tc>
          <w:tcPr>
            <w:tcW w:w="1700" w:type="dxa"/>
            <w:vAlign w:val="bottom"/>
          </w:tcPr>
          <w:p>
            <w:pPr>
              <w:spacing w:after="0"/>
              <w:rPr>
                <w:sz w:val="20"/>
                <w:szCs w:val="20"/>
                <w:color w:val="auto"/>
              </w:rPr>
            </w:pPr>
            <w:r>
              <w:rPr>
                <w:rFonts w:ascii="Arial" w:cs="Arial" w:eastAsia="Arial" w:hAnsi="Arial"/>
                <w:sz w:val="15"/>
                <w:szCs w:val="15"/>
                <w:color w:val="auto"/>
              </w:rPr>
              <w:t>Interest rate instruments</w:t>
            </w:r>
          </w:p>
        </w:tc>
        <w:tc>
          <w:tcPr>
            <w:tcW w:w="1320" w:type="dxa"/>
            <w:vAlign w:val="bottom"/>
          </w:tcPr>
          <w:p>
            <w:pPr>
              <w:ind w:left="140"/>
              <w:spacing w:after="0"/>
              <w:rPr>
                <w:sz w:val="20"/>
                <w:szCs w:val="20"/>
                <w:color w:val="auto"/>
              </w:rPr>
            </w:pPr>
            <w:r>
              <w:rPr>
                <w:rFonts w:ascii="Arial" w:cs="Arial" w:eastAsia="Arial" w:hAnsi="Arial"/>
                <w:sz w:val="15"/>
                <w:szCs w:val="15"/>
                <w:color w:val="auto"/>
                <w:w w:val="94"/>
              </w:rPr>
              <w:t>Other Income, Net</w:t>
            </w:r>
          </w:p>
        </w:tc>
      </w:tr>
      <w:tr>
        <w:trPr>
          <w:trHeight w:val="219"/>
        </w:trPr>
        <w:tc>
          <w:tcPr>
            <w:tcW w:w="1700" w:type="dxa"/>
            <w:vAlign w:val="bottom"/>
          </w:tcPr>
          <w:p>
            <w:pPr>
              <w:spacing w:after="0"/>
              <w:rPr>
                <w:sz w:val="20"/>
                <w:szCs w:val="20"/>
                <w:color w:val="auto"/>
              </w:rPr>
            </w:pPr>
            <w:r>
              <w:rPr>
                <w:rFonts w:ascii="Arial" w:cs="Arial" w:eastAsia="Arial" w:hAnsi="Arial"/>
                <w:sz w:val="15"/>
                <w:szCs w:val="15"/>
                <w:color w:val="auto"/>
              </w:rPr>
              <w:t>Total(1)</w:t>
            </w:r>
          </w:p>
        </w:tc>
        <w:tc>
          <w:tcPr>
            <w:tcW w:w="1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95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54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4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500" w:type="dxa"/>
            <w:vAlign w:val="bottom"/>
          </w:tcPr>
          <w:p>
            <w:pPr>
              <w:jc w:val="center"/>
              <w:ind w:left="27"/>
              <w:spacing w:after="0"/>
              <w:rPr>
                <w:sz w:val="20"/>
                <w:szCs w:val="20"/>
                <w:color w:val="auto"/>
              </w:rPr>
            </w:pPr>
            <w:r>
              <w:rPr>
                <w:rFonts w:ascii="Arial" w:cs="Arial" w:eastAsia="Arial" w:hAnsi="Arial"/>
                <w:sz w:val="15"/>
                <w:szCs w:val="15"/>
                <w:color w:val="auto"/>
                <w:w w:val="95"/>
              </w:rPr>
              <w:t>7</w:t>
            </w:r>
          </w:p>
        </w:tc>
        <w:tc>
          <w:tcPr>
            <w:tcW w:w="42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w:t>
            </w:r>
          </w:p>
        </w:tc>
      </w:tr>
      <w:tr>
        <w:trPr>
          <w:trHeight w:val="212"/>
        </w:trPr>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(7)</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color w:val="auto"/>
                <w:w w:val="97"/>
              </w:rPr>
              <w:t>(9)</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w:t>
            </w:r>
          </w:p>
        </w:tc>
      </w:tr>
      <w:tr>
        <w:trPr>
          <w:trHeight w:val="207"/>
        </w:trPr>
        <w:tc>
          <w:tcPr>
            <w:tcW w:w="5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54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4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w:t>
            </w:r>
          </w:p>
        </w:tc>
        <w:tc>
          <w:tcPr>
            <w:tcW w:w="42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500" w:type="dxa"/>
            <w:vAlign w:val="bottom"/>
          </w:tcPr>
          <w:p>
            <w:pPr>
              <w:jc w:val="center"/>
              <w:ind w:left="7"/>
              <w:spacing w:after="0"/>
              <w:rPr>
                <w:sz w:val="20"/>
                <w:szCs w:val="20"/>
                <w:color w:val="auto"/>
              </w:rPr>
            </w:pPr>
            <w:r>
              <w:rPr>
                <w:rFonts w:ascii="Arial" w:cs="Arial" w:eastAsia="Arial" w:hAnsi="Arial"/>
                <w:sz w:val="15"/>
                <w:szCs w:val="15"/>
                <w:color w:val="auto"/>
                <w:w w:val="97"/>
              </w:rPr>
              <w:t>(2)</w:t>
            </w:r>
          </w:p>
        </w:tc>
        <w:tc>
          <w:tcPr>
            <w:tcW w:w="42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(7)</w:t>
            </w:r>
          </w:p>
        </w:tc>
      </w:tr>
    </w:tbl>
    <w:p>
      <w:pPr>
        <w:spacing w:after="0" w:line="61" w:lineRule="exact"/>
        <w:rPr>
          <w:sz w:val="20"/>
          <w:szCs w:val="20"/>
          <w:color w:val="auto"/>
        </w:rPr>
      </w:pPr>
    </w:p>
    <w:p>
      <w:pPr>
        <w:sectPr>
          <w:pgSz w:w="11900" w:h="16838" w:orient="portrait"/>
          <w:cols w:equalWidth="0" w:num="2">
            <w:col w:w="7440" w:space="160"/>
            <w:col w:w="3840"/>
          </w:cols>
          <w:pgMar w:left="240" w:top="409" w:right="219" w:bottom="0" w:gutter="0" w:footer="0" w:header="0"/>
          <w:type w:val="continuous"/>
        </w:sectPr>
      </w:pPr>
    </w:p>
    <w:p>
      <w:pPr>
        <w:ind w:left="100"/>
        <w:spacing w:after="0"/>
        <w:rPr>
          <w:sz w:val="20"/>
          <w:szCs w:val="20"/>
          <w:color w:val="auto"/>
        </w:rPr>
      </w:pPr>
      <w:r>
        <w:rPr>
          <w:rFonts w:ascii="Arial" w:cs="Arial" w:eastAsia="Arial" w:hAnsi="Arial"/>
          <w:sz w:val="15"/>
          <w:szCs w:val="15"/>
          <w:b w:val="1"/>
          <w:bCs w:val="1"/>
          <w:color w:val="auto"/>
        </w:rPr>
        <w:t>SoCalGas: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ind w:left="4420"/>
              <w:spacing w:after="0"/>
              <w:rPr>
                <w:sz w:val="20"/>
                <w:szCs w:val="20"/>
                <w:color w:val="auto"/>
              </w:rPr>
            </w:pPr>
            <w:r>
              <w:rPr>
                <w:rFonts w:ascii="Arial" w:cs="Arial" w:eastAsia="Arial" w:hAnsi="Arial"/>
                <w:sz w:val="15"/>
                <w:szCs w:val="15"/>
                <w:color w:val="auto"/>
              </w:rPr>
              <w:t>Interest rate instrument</w:t>
            </w:r>
          </w:p>
        </w:tc>
        <w:tc>
          <w:tcPr>
            <w:tcW w:w="152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5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107"/>
              <w:spacing w:after="0"/>
              <w:rPr>
                <w:sz w:val="20"/>
                <w:szCs w:val="20"/>
                <w:color w:val="auto"/>
              </w:rPr>
            </w:pPr>
            <w:r>
              <w:rPr>
                <w:rFonts w:ascii="Arial" w:cs="Arial" w:eastAsia="Arial" w:hAnsi="Arial"/>
                <w:sz w:val="15"/>
                <w:szCs w:val="15"/>
                <w:color w:val="auto"/>
              </w:rPr>
              <w:t>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95"/>
              <w:spacing w:after="0"/>
              <w:rPr>
                <w:sz w:val="20"/>
                <w:szCs w:val="20"/>
                <w:color w:val="auto"/>
              </w:rPr>
            </w:pPr>
            <w:r>
              <w:rPr>
                <w:rFonts w:ascii="Arial" w:cs="Arial" w:eastAsia="Arial" w:hAnsi="Arial"/>
                <w:sz w:val="15"/>
                <w:szCs w:val="15"/>
                <w:color w:val="auto"/>
              </w:rPr>
              <w:t>$</w:t>
            </w:r>
          </w:p>
        </w:tc>
        <w:tc>
          <w:tcPr>
            <w:tcW w:w="500" w:type="dxa"/>
            <w:vAlign w:val="bottom"/>
          </w:tcPr>
          <w:p>
            <w:pPr>
              <w:jc w:val="center"/>
              <w:ind w:left="27"/>
              <w:spacing w:after="0"/>
              <w:rPr>
                <w:sz w:val="20"/>
                <w:szCs w:val="20"/>
                <w:color w:val="auto"/>
              </w:rPr>
            </w:pPr>
            <w:r>
              <w:rPr>
                <w:rFonts w:ascii="Arial" w:cs="Arial" w:eastAsia="Arial" w:hAnsi="Arial"/>
                <w:sz w:val="15"/>
                <w:szCs w:val="15"/>
                <w:color w:val="auto"/>
                <w:w w:val="95"/>
              </w:rPr>
              <w:t>3</w:t>
            </w:r>
          </w:p>
        </w:tc>
        <w:tc>
          <w:tcPr>
            <w:tcW w:w="42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w:t>
            </w:r>
          </w:p>
        </w:tc>
      </w:tr>
      <w:tr>
        <w:trPr>
          <w:trHeight w:val="212"/>
        </w:trPr>
        <w:tc>
          <w:tcPr>
            <w:tcW w:w="6080" w:type="dxa"/>
            <w:vAlign w:val="bottom"/>
          </w:tcPr>
          <w:p>
            <w:pPr>
              <w:ind w:left="4420"/>
              <w:spacing w:after="0"/>
              <w:rPr>
                <w:sz w:val="20"/>
                <w:szCs w:val="20"/>
                <w:color w:val="auto"/>
              </w:rPr>
            </w:pPr>
            <w:r>
              <w:rPr>
                <w:rFonts w:ascii="Arial" w:cs="Arial" w:eastAsia="Arial" w:hAnsi="Arial"/>
                <w:sz w:val="15"/>
                <w:szCs w:val="15"/>
                <w:color w:val="auto"/>
              </w:rPr>
              <w:t>Interest rate instrument</w:t>
            </w:r>
          </w:p>
        </w:tc>
        <w:tc>
          <w:tcPr>
            <w:tcW w:w="1520" w:type="dxa"/>
            <w:vAlign w:val="bottom"/>
          </w:tcPr>
          <w:p>
            <w:pPr>
              <w:ind w:left="180"/>
              <w:spacing w:after="0"/>
              <w:rPr>
                <w:sz w:val="20"/>
                <w:szCs w:val="20"/>
                <w:color w:val="auto"/>
              </w:rPr>
            </w:pPr>
            <w:r>
              <w:rPr>
                <w:rFonts w:ascii="Arial" w:cs="Arial" w:eastAsia="Arial" w:hAnsi="Arial"/>
                <w:sz w:val="15"/>
                <w:szCs w:val="15"/>
                <w:color w:val="auto"/>
              </w:rPr>
              <w:t>Other Income, Net</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color w:val="auto"/>
                <w:w w:val="97"/>
              </w:rPr>
              <w:t>(2)</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w:t>
            </w:r>
          </w:p>
        </w:tc>
      </w:tr>
      <w:tr>
        <w:trPr>
          <w:trHeight w:val="228"/>
        </w:trPr>
        <w:tc>
          <w:tcPr>
            <w:tcW w:w="6080" w:type="dxa"/>
            <w:vAlign w:val="bottom"/>
            <w:tcBorders>
              <w:bottom w:val="single" w:sz="8" w:color="auto"/>
            </w:tcBorders>
          </w:tcPr>
          <w:p>
            <w:pPr>
              <w:ind w:left="4420"/>
              <w:spacing w:after="0"/>
              <w:rPr>
                <w:sz w:val="20"/>
                <w:szCs w:val="20"/>
                <w:color w:val="auto"/>
              </w:rPr>
            </w:pPr>
            <w:r>
              <w:rPr>
                <w:rFonts w:ascii="Arial" w:cs="Arial" w:eastAsia="Arial" w:hAnsi="Arial"/>
                <w:sz w:val="15"/>
                <w:szCs w:val="15"/>
                <w:color w:val="auto"/>
              </w:rPr>
              <w:t>Total(1)</w:t>
            </w:r>
          </w:p>
        </w:tc>
        <w:tc>
          <w:tcPr>
            <w:tcW w:w="1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95"/>
              <w:spacing w:after="0" w:line="212" w:lineRule="exact"/>
              <w:rPr>
                <w:sz w:val="20"/>
                <w:szCs w:val="20"/>
                <w:color w:val="auto"/>
              </w:rPr>
            </w:pPr>
            <w:r>
              <w:rPr>
                <w:rFonts w:ascii="Arial" w:cs="Arial" w:eastAsia="Arial" w:hAnsi="Arial"/>
                <w:sz w:val="19"/>
                <w:szCs w:val="19"/>
                <w:color w:val="auto"/>
              </w:rPr>
              <w:t>$</w:t>
            </w:r>
          </w:p>
        </w:tc>
        <w:tc>
          <w:tcPr>
            <w:tcW w:w="500" w:type="dxa"/>
            <w:vAlign w:val="bottom"/>
            <w:tcBorders>
              <w:bottom w:val="single" w:sz="8" w:color="auto"/>
            </w:tcBorders>
          </w:tcPr>
          <w:p>
            <w:pPr>
              <w:jc w:val="center"/>
              <w:ind w:left="27"/>
              <w:spacing w:after="0"/>
              <w:rPr>
                <w:sz w:val="20"/>
                <w:szCs w:val="20"/>
                <w:color w:val="auto"/>
              </w:rPr>
            </w:pPr>
            <w:r>
              <w:rPr>
                <w:rFonts w:ascii="Arial" w:cs="Arial" w:eastAsia="Arial" w:hAnsi="Arial"/>
                <w:sz w:val="15"/>
                <w:szCs w:val="15"/>
                <w:color w:val="auto"/>
                <w:w w:val="95"/>
              </w:rPr>
              <w:t>1</w:t>
            </w:r>
          </w:p>
        </w:tc>
        <w:tc>
          <w:tcPr>
            <w:tcW w:w="42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w:t>
            </w:r>
          </w:p>
        </w:tc>
      </w:tr>
    </w:tbl>
    <w:p>
      <w:pPr>
        <w:ind w:left="4420" w:right="700" w:hanging="340"/>
        <w:spacing w:after="0" w:line="251" w:lineRule="auto"/>
        <w:tabs>
          <w:tab w:leader="none" w:pos="442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There has been no hedge ineffectiveness on these swaps. Changes in the fair values of the interest rate swap agreements are exactly offset by changes in the fair value of the underlying long-term debt.</w:t>
      </w:r>
    </w:p>
    <w:p>
      <w:pPr>
        <w:sectPr>
          <w:pgSz w:w="11900" w:h="16838" w:orient="portrait"/>
          <w:cols w:equalWidth="0" w:num="1">
            <w:col w:w="11440"/>
          </w:cols>
          <w:pgMar w:left="240" w:top="409" w:right="219" w:bottom="0" w:gutter="0" w:footer="0" w:header="0"/>
          <w:type w:val="continuous"/>
        </w:sectPr>
      </w:pPr>
    </w:p>
    <w:bookmarkStart w:id="27" w:name="page28"/>
    <w:bookmarkEnd w:id="27"/>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227965</wp:posOffset>
            </wp:positionV>
            <wp:extent cx="7259955" cy="294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b w:val="1"/>
          <w:bCs w:val="1"/>
          <w:color w:val="auto"/>
        </w:rPr>
        <w:t>CASH FLOW HEDGE IMPACT ON THE CONDENSED CONSOLIDATED STATEMENTS OF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2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2160" w:type="dxa"/>
            <w:vAlign w:val="bottom"/>
            <w:gridSpan w:val="4"/>
          </w:tcPr>
          <w:p>
            <w:pPr>
              <w:jc w:val="center"/>
              <w:ind w:left="251"/>
              <w:spacing w:after="0"/>
              <w:rPr>
                <w:sz w:val="20"/>
                <w:szCs w:val="20"/>
                <w:color w:val="auto"/>
              </w:rPr>
            </w:pPr>
            <w:r>
              <w:rPr>
                <w:rFonts w:ascii="Arial" w:cs="Arial" w:eastAsia="Arial" w:hAnsi="Arial"/>
                <w:sz w:val="13"/>
                <w:szCs w:val="13"/>
                <w:color w:val="auto"/>
                <w:w w:val="99"/>
              </w:rPr>
              <w:t>Pretax gain (loss) recognized</w:t>
            </w:r>
          </w:p>
        </w:tc>
        <w:tc>
          <w:tcPr>
            <w:tcW w:w="3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3"/>
          </w:tcPr>
          <w:p>
            <w:pPr>
              <w:jc w:val="center"/>
              <w:ind w:right="307"/>
              <w:spacing w:after="0"/>
              <w:rPr>
                <w:sz w:val="20"/>
                <w:szCs w:val="20"/>
                <w:color w:val="auto"/>
              </w:rPr>
            </w:pPr>
            <w:r>
              <w:rPr>
                <w:rFonts w:ascii="Arial" w:cs="Arial" w:eastAsia="Arial" w:hAnsi="Arial"/>
                <w:sz w:val="13"/>
                <w:szCs w:val="13"/>
                <w:color w:val="auto"/>
                <w:w w:val="98"/>
              </w:rPr>
              <w:t>Gain (loss) r eclassified from AOCI</w:t>
            </w: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160" w:type="dxa"/>
            <w:vAlign w:val="bottom"/>
            <w:tcBorders>
              <w:bottom w:val="single" w:sz="8" w:color="auto"/>
            </w:tcBorders>
            <w:gridSpan w:val="4"/>
          </w:tcPr>
          <w:p>
            <w:pPr>
              <w:jc w:val="center"/>
              <w:ind w:left="251"/>
              <w:spacing w:after="0"/>
              <w:rPr>
                <w:sz w:val="20"/>
                <w:szCs w:val="20"/>
                <w:color w:val="auto"/>
              </w:rPr>
            </w:pPr>
            <w:r>
              <w:rPr>
                <w:rFonts w:ascii="Arial" w:cs="Arial" w:eastAsia="Arial" w:hAnsi="Arial"/>
                <w:sz w:val="13"/>
                <w:szCs w:val="13"/>
                <w:color w:val="auto"/>
                <w:w w:val="99"/>
              </w:rPr>
              <w:t>in OCI (effective portion)</w:t>
            </w:r>
          </w:p>
        </w:tc>
        <w:tc>
          <w:tcPr>
            <w:tcW w:w="34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3"/>
                <w:szCs w:val="13"/>
                <w:color w:val="auto"/>
                <w:w w:val="99"/>
              </w:rPr>
              <w:t>into earnings (effective portion)</w:t>
            </w:r>
          </w:p>
        </w:tc>
        <w:tc>
          <w:tcPr>
            <w:tcW w:w="0" w:type="dxa"/>
            <w:vAlign w:val="bottom"/>
          </w:tcPr>
          <w:p>
            <w:pPr>
              <w:spacing w:after="0"/>
              <w:rPr>
                <w:sz w:val="1"/>
                <w:szCs w:val="1"/>
                <w:color w:val="auto"/>
              </w:rPr>
            </w:pPr>
          </w:p>
        </w:tc>
      </w:tr>
      <w:tr>
        <w:trPr>
          <w:trHeight w:val="199"/>
        </w:trPr>
        <w:tc>
          <w:tcPr>
            <w:tcW w:w="2900" w:type="dxa"/>
            <w:vAlign w:val="bottom"/>
          </w:tcPr>
          <w:p>
            <w:pPr>
              <w:spacing w:after="0"/>
              <w:rPr>
                <w:sz w:val="17"/>
                <w:szCs w:val="17"/>
                <w:color w:val="auto"/>
              </w:rPr>
            </w:pPr>
          </w:p>
        </w:tc>
        <w:tc>
          <w:tcPr>
            <w:tcW w:w="2160" w:type="dxa"/>
            <w:vAlign w:val="bottom"/>
            <w:tcBorders>
              <w:bottom w:val="single" w:sz="8" w:color="auto"/>
            </w:tcBorders>
            <w:gridSpan w:val="4"/>
          </w:tcPr>
          <w:p>
            <w:pPr>
              <w:jc w:val="center"/>
              <w:ind w:left="251"/>
              <w:spacing w:after="0"/>
              <w:rPr>
                <w:sz w:val="20"/>
                <w:szCs w:val="20"/>
                <w:color w:val="auto"/>
              </w:rPr>
            </w:pPr>
            <w:r>
              <w:rPr>
                <w:rFonts w:ascii="Arial" w:cs="Arial" w:eastAsia="Arial" w:hAnsi="Arial"/>
                <w:sz w:val="13"/>
                <w:szCs w:val="13"/>
                <w:color w:val="auto"/>
                <w:w w:val="99"/>
              </w:rPr>
              <w:t>Three months ended June 30,</w:t>
            </w:r>
          </w:p>
        </w:tc>
        <w:tc>
          <w:tcPr>
            <w:tcW w:w="34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3"/>
                <w:szCs w:val="13"/>
                <w:color w:val="auto"/>
              </w:rPr>
              <w:t>Three months ended June 30,</w:t>
            </w:r>
          </w:p>
        </w:tc>
        <w:tc>
          <w:tcPr>
            <w:tcW w:w="0" w:type="dxa"/>
            <w:vAlign w:val="bottom"/>
          </w:tcPr>
          <w:p>
            <w:pPr>
              <w:spacing w:after="0"/>
              <w:rPr>
                <w:sz w:val="1"/>
                <w:szCs w:val="1"/>
                <w:color w:val="auto"/>
              </w:rPr>
            </w:pPr>
          </w:p>
        </w:tc>
      </w:tr>
      <w:tr>
        <w:trPr>
          <w:trHeight w:val="199"/>
        </w:trPr>
        <w:tc>
          <w:tcPr>
            <w:tcW w:w="2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2010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2009</w:t>
            </w: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rPr>
              <w:t>Location</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color w:val="auto"/>
              </w:rPr>
              <w:t>2010</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7"/>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19"/>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Interest rate instruments(1)</w:t>
            </w:r>
          </w:p>
        </w:tc>
        <w:tc>
          <w:tcPr>
            <w:tcW w:w="800" w:type="dxa"/>
            <w:vAlign w:val="bottom"/>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24</w:t>
            </w:r>
          </w:p>
        </w:tc>
        <w:tc>
          <w:tcPr>
            <w:tcW w:w="3100" w:type="dxa"/>
            <w:vAlign w:val="bottom"/>
          </w:tcPr>
          <w:p>
            <w:pPr>
              <w:ind w:left="400"/>
              <w:spacing w:after="0"/>
              <w:rPr>
                <w:sz w:val="20"/>
                <w:szCs w:val="20"/>
                <w:color w:val="auto"/>
              </w:rPr>
            </w:pPr>
            <w:r>
              <w:rPr>
                <w:rFonts w:ascii="Arial" w:cs="Arial" w:eastAsia="Arial" w:hAnsi="Arial"/>
                <w:sz w:val="15"/>
                <w:szCs w:val="15"/>
                <w:color w:val="auto"/>
              </w:rPr>
              <w:t>Interest Expense</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(4)</w:t>
            </w:r>
          </w:p>
        </w:tc>
        <w:tc>
          <w:tcPr>
            <w:tcW w:w="5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Interest rate instruments</w:t>
            </w:r>
          </w:p>
        </w:tc>
        <w:tc>
          <w:tcPr>
            <w:tcW w:w="800" w:type="dxa"/>
            <w:vAlign w:val="bottom"/>
          </w:tcPr>
          <w:p>
            <w:pPr>
              <w:spacing w:after="0"/>
              <w:rPr>
                <w:sz w:val="19"/>
                <w:szCs w:val="19"/>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Pr>
          <w:p>
            <w:pPr>
              <w:ind w:left="400"/>
              <w:spacing w:after="0"/>
              <w:rPr>
                <w:sz w:val="20"/>
                <w:szCs w:val="20"/>
                <w:color w:val="auto"/>
              </w:rPr>
            </w:pPr>
            <w:r>
              <w:rPr>
                <w:rFonts w:ascii="Arial" w:cs="Arial" w:eastAsia="Arial" w:hAnsi="Arial"/>
                <w:sz w:val="15"/>
                <w:szCs w:val="15"/>
                <w:color w:val="auto"/>
              </w:rPr>
              <w:t>Other Income, Net(2)</w:t>
            </w:r>
          </w:p>
        </w:tc>
        <w:tc>
          <w:tcPr>
            <w:tcW w:w="38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10</w:t>
            </w:r>
          </w:p>
        </w:tc>
        <w:tc>
          <w:tcPr>
            <w:tcW w:w="540" w:type="dxa"/>
            <w:vAlign w:val="bottom"/>
          </w:tcPr>
          <w:p>
            <w:pPr>
              <w:spacing w:after="0"/>
              <w:rPr>
                <w:sz w:val="19"/>
                <w:szCs w:val="19"/>
                <w:color w:val="auto"/>
              </w:rPr>
            </w:pPr>
          </w:p>
        </w:tc>
        <w:tc>
          <w:tcPr>
            <w:tcW w:w="12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Revenues: Sempra Global</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Pr>
          <w:p>
            <w:pPr>
              <w:spacing w:after="0"/>
              <w:rPr>
                <w:sz w:val="16"/>
                <w:szCs w:val="16"/>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Pr>
          <w:p>
            <w:pPr>
              <w:ind w:left="560"/>
              <w:spacing w:after="0"/>
              <w:rPr>
                <w:sz w:val="20"/>
                <w:szCs w:val="20"/>
                <w:color w:val="auto"/>
              </w:rPr>
            </w:pPr>
            <w:r>
              <w:rPr>
                <w:rFonts w:ascii="Arial" w:cs="Arial" w:eastAsia="Arial" w:hAnsi="Arial"/>
                <w:sz w:val="15"/>
                <w:szCs w:val="15"/>
                <w:color w:val="auto"/>
              </w:rPr>
              <w:t>and Parent</w:t>
            </w:r>
          </w:p>
        </w:tc>
        <w:tc>
          <w:tcPr>
            <w:tcW w:w="3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8"/>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Cost of Natural Gas, Electric</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27"/>
              <w:spacing w:after="0"/>
              <w:rPr>
                <w:sz w:val="20"/>
                <w:szCs w:val="20"/>
                <w:color w:val="auto"/>
              </w:rPr>
            </w:pPr>
            <w:r>
              <w:rPr>
                <w:rFonts w:ascii="Arial" w:cs="Arial" w:eastAsia="Arial" w:hAnsi="Arial"/>
                <w:sz w:val="19"/>
                <w:szCs w:val="19"/>
                <w:color w:val="auto"/>
              </w:rPr>
              <w:t>&lt; /p&gt;</w:t>
            </w:r>
          </w:p>
        </w:tc>
        <w:tc>
          <w:tcPr>
            <w:tcW w:w="0" w:type="dxa"/>
            <w:vAlign w:val="bottom"/>
          </w:tcPr>
          <w:p>
            <w:pPr>
              <w:spacing w:after="0"/>
              <w:rPr>
                <w:sz w:val="1"/>
                <w:szCs w:val="1"/>
                <w:color w:val="auto"/>
              </w:rPr>
            </w:pPr>
          </w:p>
        </w:tc>
      </w:tr>
      <w:tr>
        <w:trPr>
          <w:trHeight w:val="217"/>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Pr>
          <w:p>
            <w:pPr>
              <w:spacing w:after="0"/>
              <w:rPr>
                <w:sz w:val="18"/>
                <w:szCs w:val="18"/>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3100" w:type="dxa"/>
            <w:vAlign w:val="bottom"/>
          </w:tcPr>
          <w:p>
            <w:pPr>
              <w:ind w:left="560"/>
              <w:spacing w:after="0"/>
              <w:rPr>
                <w:sz w:val="20"/>
                <w:szCs w:val="20"/>
                <w:color w:val="auto"/>
              </w:rPr>
            </w:pPr>
            <w:r>
              <w:rPr>
                <w:rFonts w:ascii="Arial" w:cs="Arial" w:eastAsia="Arial" w:hAnsi="Arial"/>
                <w:sz w:val="15"/>
                <w:szCs w:val="15"/>
                <w:color w:val="auto"/>
              </w:rPr>
              <w:t>Fuel and Purchased Power</w:t>
            </w:r>
          </w:p>
        </w:tc>
        <w:tc>
          <w:tcPr>
            <w:tcW w:w="3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8"/>
                <w:szCs w:val="18"/>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Equity Earnings: RBS</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Pr>
          <w:p>
            <w:pPr>
              <w:ind w:left="560"/>
              <w:spacing w:after="0"/>
              <w:rPr>
                <w:sz w:val="20"/>
                <w:szCs w:val="20"/>
                <w:color w:val="auto"/>
              </w:rPr>
            </w:pPr>
            <w:r>
              <w:rPr>
                <w:rFonts w:ascii="Arial" w:cs="Arial" w:eastAsia="Arial" w:hAnsi="Arial"/>
                <w:sz w:val="15"/>
                <w:szCs w:val="15"/>
                <w:color w:val="auto"/>
              </w:rPr>
              <w:t>Sempra Commodities LLP</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5</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Total</w:t>
            </w: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26</w:t>
            </w:r>
          </w:p>
        </w:tc>
        <w:tc>
          <w:tcPr>
            <w:tcW w:w="3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11</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7"/>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C0C0C0"/>
            </w:tcBorders>
          </w:tcPr>
          <w:p>
            <w:pPr>
              <w:ind w:left="440"/>
              <w:spacing w:after="0"/>
              <w:rPr>
                <w:sz w:val="20"/>
                <w:szCs w:val="20"/>
                <w:color w:val="auto"/>
              </w:rPr>
            </w:pPr>
            <w:r>
              <w:rPr>
                <w:rFonts w:ascii="Arial" w:cs="Arial" w:eastAsia="Arial" w:hAnsi="Arial"/>
                <w:sz w:val="15"/>
                <w:szCs w:val="15"/>
                <w:color w:val="auto"/>
              </w:rPr>
              <w:t>Interest rate instruments(1)</w:t>
            </w:r>
          </w:p>
        </w:tc>
        <w:tc>
          <w:tcPr>
            <w:tcW w:w="800" w:type="dxa"/>
            <w:vAlign w:val="bottom"/>
            <w:tcBorders>
              <w:bottom w:val="single" w:sz="8" w:color="C0C0C0"/>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spacing w:after="0"/>
              <w:rPr>
                <w:sz w:val="19"/>
                <w:szCs w:val="19"/>
                <w:color w:val="auto"/>
              </w:rPr>
            </w:pPr>
          </w:p>
        </w:tc>
        <w:tc>
          <w:tcPr>
            <w:tcW w:w="3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Borders>
              <w:bottom w:val="single" w:sz="8" w:color="C0C0C0"/>
            </w:tcBorders>
          </w:tcPr>
          <w:p>
            <w:pPr>
              <w:ind w:left="40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0C0C0"/>
            </w:tcBorders>
          </w:tcPr>
          <w:p>
            <w:pPr>
              <w:jc w:val="right"/>
              <w:ind w:right="30"/>
              <w:spacing w:after="0"/>
              <w:rPr>
                <w:sz w:val="20"/>
                <w:szCs w:val="20"/>
                <w:color w:val="auto"/>
              </w:rPr>
            </w:pPr>
            <w:r>
              <w:rPr>
                <w:rFonts w:ascii="Arial" w:cs="Arial" w:eastAsia="Arial" w:hAnsi="Arial"/>
                <w:sz w:val="15"/>
                <w:szCs w:val="15"/>
                <w:color w:val="auto"/>
              </w:rPr>
              <w:t>(2)</w:t>
            </w:r>
          </w:p>
        </w:tc>
        <w:tc>
          <w:tcPr>
            <w:tcW w:w="540" w:type="dxa"/>
            <w:vAlign w:val="bottom"/>
            <w:tcBorders>
              <w:bottom w:val="single" w:sz="8" w:color="C0C0C0"/>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900" w:type="dxa"/>
            <w:vAlign w:val="bottom"/>
            <w:tcBorders>
              <w:bottom w:val="single" w:sz="8" w:color="C0C0C0"/>
            </w:tcBorders>
          </w:tcPr>
          <w:p>
            <w:pPr>
              <w:ind w:left="440"/>
              <w:spacing w:after="0"/>
              <w:rPr>
                <w:sz w:val="20"/>
                <w:szCs w:val="20"/>
                <w:color w:val="auto"/>
              </w:rPr>
            </w:pPr>
            <w:r>
              <w:rPr>
                <w:rFonts w:ascii="Arial" w:cs="Arial" w:eastAsia="Arial" w:hAnsi="Arial"/>
                <w:sz w:val="15"/>
                <w:szCs w:val="15"/>
                <w:color w:val="auto"/>
              </w:rPr>
              <w:t>Interest rate instruments</w:t>
            </w:r>
          </w:p>
        </w:tc>
        <w:tc>
          <w:tcPr>
            <w:tcW w:w="800" w:type="dxa"/>
            <w:vAlign w:val="bottom"/>
            <w:tcBorders>
              <w:bottom w:val="single" w:sz="8" w:color="C0C0C0"/>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Borders>
              <w:bottom w:val="single" w:sz="8" w:color="C0C0C0"/>
            </w:tcBorders>
          </w:tcPr>
          <w:p>
            <w:pPr>
              <w:ind w:left="40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0C0C0"/>
            </w:tcBorders>
          </w:tcPr>
          <w:p>
            <w:pPr>
              <w:jc w:val="right"/>
              <w:ind w:right="30"/>
              <w:spacing w:after="0"/>
              <w:rPr>
                <w:sz w:val="20"/>
                <w:szCs w:val="20"/>
                <w:color w:val="auto"/>
              </w:rPr>
            </w:pPr>
            <w:r>
              <w:rPr>
                <w:rFonts w:ascii="Arial" w:cs="Arial" w:eastAsia="Arial" w:hAnsi="Arial"/>
                <w:sz w:val="15"/>
                <w:szCs w:val="15"/>
                <w:color w:val="auto"/>
              </w:rPr>
              <w:t>(2)</w:t>
            </w:r>
          </w:p>
        </w:tc>
        <w:tc>
          <w:tcPr>
            <w:tcW w:w="540" w:type="dxa"/>
            <w:vAlign w:val="bottom"/>
            <w:tcBorders>
              <w:bottom w:val="single" w:sz="8" w:color="C0C0C0"/>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0C0C0"/>
            </w:tcBorders>
          </w:tcPr>
          <w:p>
            <w:pPr>
              <w:jc w:val="right"/>
              <w:ind w:right="2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2"/>
                <w:szCs w:val="22"/>
                <w:color w:val="auto"/>
              </w:rPr>
            </w:pPr>
          </w:p>
        </w:tc>
        <w:tc>
          <w:tcPr>
            <w:tcW w:w="2160" w:type="dxa"/>
            <w:vAlign w:val="bottom"/>
            <w:gridSpan w:val="4"/>
          </w:tcPr>
          <w:p>
            <w:pPr>
              <w:jc w:val="center"/>
              <w:ind w:left="251"/>
              <w:spacing w:after="0"/>
              <w:rPr>
                <w:sz w:val="20"/>
                <w:szCs w:val="20"/>
                <w:color w:val="auto"/>
              </w:rPr>
            </w:pPr>
            <w:r>
              <w:rPr>
                <w:rFonts w:ascii="Arial" w:cs="Arial" w:eastAsia="Arial" w:hAnsi="Arial"/>
                <w:sz w:val="13"/>
                <w:szCs w:val="13"/>
                <w:color w:val="auto"/>
                <w:w w:val="99"/>
              </w:rPr>
              <w:t>Pretax gain (loss) recognized</w:t>
            </w:r>
          </w:p>
        </w:tc>
        <w:tc>
          <w:tcPr>
            <w:tcW w:w="3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60" w:type="dxa"/>
            <w:vAlign w:val="bottom"/>
            <w:gridSpan w:val="3"/>
            <w:vMerge w:val="restart"/>
          </w:tcPr>
          <w:p>
            <w:pPr>
              <w:jc w:val="center"/>
              <w:ind w:right="307"/>
              <w:spacing w:after="0"/>
              <w:rPr>
                <w:sz w:val="20"/>
                <w:szCs w:val="20"/>
                <w:color w:val="auto"/>
              </w:rPr>
            </w:pPr>
            <w:r>
              <w:rPr>
                <w:rFonts w:ascii="Arial" w:cs="Arial" w:eastAsia="Arial" w:hAnsi="Arial"/>
                <w:sz w:val="13"/>
                <w:szCs w:val="13"/>
                <w:color w:val="auto"/>
              </w:rPr>
              <w:t>Gain (loss) reclassified from AOCI</w:t>
            </w: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160" w:type="dxa"/>
            <w:vAlign w:val="bottom"/>
            <w:tcBorders>
              <w:bottom w:val="single" w:sz="8" w:color="auto"/>
            </w:tcBorders>
            <w:gridSpan w:val="4"/>
          </w:tcPr>
          <w:p>
            <w:pPr>
              <w:jc w:val="center"/>
              <w:ind w:left="251"/>
              <w:spacing w:after="0"/>
              <w:rPr>
                <w:sz w:val="20"/>
                <w:szCs w:val="20"/>
                <w:color w:val="auto"/>
              </w:rPr>
            </w:pPr>
            <w:r>
              <w:rPr>
                <w:rFonts w:ascii="Arial" w:cs="Arial" w:eastAsia="Arial" w:hAnsi="Arial"/>
                <w:sz w:val="13"/>
                <w:szCs w:val="13"/>
                <w:color w:val="auto"/>
                <w:w w:val="99"/>
              </w:rPr>
              <w:t>in OCI (effective portion)</w:t>
            </w:r>
          </w:p>
        </w:tc>
        <w:tc>
          <w:tcPr>
            <w:tcW w:w="34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3"/>
                <w:szCs w:val="13"/>
                <w:color w:val="auto"/>
                <w:w w:val="92"/>
              </w:rPr>
              <w:t>into earnings (effective portion)</w:t>
            </w:r>
          </w:p>
        </w:tc>
        <w:tc>
          <w:tcPr>
            <w:tcW w:w="0" w:type="dxa"/>
            <w:vAlign w:val="bottom"/>
          </w:tcPr>
          <w:p>
            <w:pPr>
              <w:spacing w:after="0"/>
              <w:rPr>
                <w:sz w:val="1"/>
                <w:szCs w:val="1"/>
                <w:color w:val="auto"/>
              </w:rPr>
            </w:pPr>
          </w:p>
        </w:tc>
      </w:tr>
      <w:tr>
        <w:trPr>
          <w:trHeight w:val="199"/>
        </w:trPr>
        <w:tc>
          <w:tcPr>
            <w:tcW w:w="2900" w:type="dxa"/>
            <w:vAlign w:val="bottom"/>
          </w:tcPr>
          <w:p>
            <w:pPr>
              <w:spacing w:after="0"/>
              <w:rPr>
                <w:sz w:val="17"/>
                <w:szCs w:val="17"/>
                <w:color w:val="auto"/>
              </w:rPr>
            </w:pPr>
          </w:p>
        </w:tc>
        <w:tc>
          <w:tcPr>
            <w:tcW w:w="2160" w:type="dxa"/>
            <w:vAlign w:val="bottom"/>
            <w:tcBorders>
              <w:bottom w:val="single" w:sz="8" w:color="auto"/>
            </w:tcBorders>
            <w:gridSpan w:val="4"/>
          </w:tcPr>
          <w:p>
            <w:pPr>
              <w:jc w:val="center"/>
              <w:ind w:left="251"/>
              <w:spacing w:after="0"/>
              <w:rPr>
                <w:sz w:val="20"/>
                <w:szCs w:val="20"/>
                <w:color w:val="auto"/>
              </w:rPr>
            </w:pPr>
            <w:r>
              <w:rPr>
                <w:rFonts w:ascii="Arial" w:cs="Arial" w:eastAsia="Arial" w:hAnsi="Arial"/>
                <w:sz w:val="13"/>
                <w:szCs w:val="13"/>
                <w:color w:val="auto"/>
                <w:w w:val="98"/>
              </w:rPr>
              <w:t>Six months ended June 30,</w:t>
            </w:r>
          </w:p>
        </w:tc>
        <w:tc>
          <w:tcPr>
            <w:tcW w:w="34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99"/>
        </w:trPr>
        <w:tc>
          <w:tcPr>
            <w:tcW w:w="2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2010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2009</w:t>
            </w: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ind w:left="1460"/>
              <w:spacing w:after="0"/>
              <w:rPr>
                <w:sz w:val="20"/>
                <w:szCs w:val="20"/>
                <w:color w:val="auto"/>
              </w:rPr>
            </w:pPr>
            <w:r>
              <w:rPr>
                <w:rFonts w:ascii="Arial" w:cs="Arial" w:eastAsia="Arial" w:hAnsi="Arial"/>
                <w:sz w:val="13"/>
                <w:szCs w:val="13"/>
                <w:color w:val="auto"/>
              </w:rPr>
              <w:t>Location</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color w:val="auto"/>
              </w:rPr>
              <w:t>2010</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7"/>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19"/>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Interest rate instruments(1)</w:t>
            </w:r>
          </w:p>
        </w:tc>
        <w:tc>
          <w:tcPr>
            <w:tcW w:w="800" w:type="dxa"/>
            <w:vAlign w:val="bottom"/>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21</w:t>
            </w:r>
          </w:p>
        </w:tc>
        <w:tc>
          <w:tcPr>
            <w:tcW w:w="310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(7)</w:t>
            </w:r>
          </w:p>
        </w:tc>
        <w:tc>
          <w:tcPr>
            <w:tcW w:w="5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Interest rate instruments</w:t>
            </w:r>
          </w:p>
        </w:tc>
        <w:tc>
          <w:tcPr>
            <w:tcW w:w="800" w:type="dxa"/>
            <w:vAlign w:val="bottom"/>
          </w:tcPr>
          <w:p>
            <w:pPr>
              <w:spacing w:after="0"/>
              <w:rPr>
                <w:sz w:val="19"/>
                <w:szCs w:val="19"/>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Pr>
          <w:p>
            <w:pPr>
              <w:ind w:left="400"/>
              <w:spacing w:after="0"/>
              <w:rPr>
                <w:sz w:val="20"/>
                <w:szCs w:val="20"/>
                <w:color w:val="auto"/>
              </w:rPr>
            </w:pPr>
            <w:r>
              <w:rPr>
                <w:rFonts w:ascii="Arial" w:cs="Arial" w:eastAsia="Arial" w:hAnsi="Arial"/>
                <w:sz w:val="15"/>
                <w:szCs w:val="15"/>
                <w:color w:val="auto"/>
              </w:rPr>
              <w:t>Other Income, Net(2)</w:t>
            </w:r>
          </w:p>
        </w:tc>
        <w:tc>
          <w:tcPr>
            <w:tcW w:w="38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10</w:t>
            </w:r>
          </w:p>
        </w:tc>
        <w:tc>
          <w:tcPr>
            <w:tcW w:w="540" w:type="dxa"/>
            <w:vAlign w:val="bottom"/>
          </w:tcPr>
          <w:p>
            <w:pPr>
              <w:spacing w:after="0"/>
              <w:rPr>
                <w:sz w:val="19"/>
                <w:szCs w:val="19"/>
                <w:color w:val="auto"/>
              </w:rPr>
            </w:pPr>
          </w:p>
        </w:tc>
        <w:tc>
          <w:tcPr>
            <w:tcW w:w="12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Revenues: Sempra Global</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Pr>
          <w:p>
            <w:pPr>
              <w:spacing w:after="0"/>
              <w:rPr>
                <w:sz w:val="19"/>
                <w:szCs w:val="19"/>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67"/>
              <w:spacing w:after="0"/>
              <w:rPr>
                <w:sz w:val="20"/>
                <w:szCs w:val="20"/>
                <w:color w:val="auto"/>
              </w:rPr>
            </w:pPr>
            <w:r>
              <w:rPr>
                <w:rFonts w:ascii="Arial" w:cs="Arial" w:eastAsia="Arial" w:hAnsi="Arial"/>
                <w:sz w:val="15"/>
                <w:szCs w:val="15"/>
                <w:color w:val="auto"/>
              </w:rPr>
              <w:t>11</w:t>
            </w:r>
          </w:p>
        </w:tc>
        <w:tc>
          <w:tcPr>
            <w:tcW w:w="3100" w:type="dxa"/>
            <w:vAlign w:val="bottom"/>
          </w:tcPr>
          <w:p>
            <w:pPr>
              <w:ind w:left="560"/>
              <w:spacing w:after="0"/>
              <w:rPr>
                <w:sz w:val="20"/>
                <w:szCs w:val="20"/>
                <w:color w:val="auto"/>
              </w:rPr>
            </w:pPr>
            <w:r>
              <w:rPr>
                <w:rFonts w:ascii="Arial" w:cs="Arial" w:eastAsia="Arial" w:hAnsi="Arial"/>
                <w:sz w:val="15"/>
                <w:szCs w:val="15"/>
                <w:color w:val="auto"/>
              </w:rPr>
              <w:t>and Parent</w:t>
            </w:r>
          </w:p>
        </w:tc>
        <w:tc>
          <w:tcPr>
            <w:tcW w:w="38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9"/>
                <w:szCs w:val="19"/>
                <w:color w:val="auto"/>
              </w:rPr>
            </w:pPr>
          </w:p>
        </w:tc>
        <w:tc>
          <w:tcPr>
            <w:tcW w:w="1220" w:type="dxa"/>
            <w:vAlign w:val="bottom"/>
          </w:tcPr>
          <w:p>
            <w:pPr>
              <w:jc w:val="right"/>
              <w:ind w:right="67"/>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Cost of Natural Gas, Electric</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Pr>
          <w:p>
            <w:pPr>
              <w:spacing w:after="0"/>
              <w:rPr>
                <w:sz w:val="19"/>
                <w:szCs w:val="19"/>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3100" w:type="dxa"/>
            <w:vAlign w:val="bottom"/>
          </w:tcPr>
          <w:p>
            <w:pPr>
              <w:ind w:left="560"/>
              <w:spacing w:after="0"/>
              <w:rPr>
                <w:sz w:val="20"/>
                <w:szCs w:val="20"/>
                <w:color w:val="auto"/>
              </w:rPr>
            </w:pPr>
            <w:r>
              <w:rPr>
                <w:rFonts w:ascii="Arial" w:cs="Arial" w:eastAsia="Arial" w:hAnsi="Arial"/>
                <w:sz w:val="15"/>
                <w:szCs w:val="15"/>
                <w:color w:val="auto"/>
              </w:rPr>
              <w:t>Fuel and Purchased Power</w:t>
            </w:r>
          </w:p>
        </w:tc>
        <w:tc>
          <w:tcPr>
            <w:tcW w:w="38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9"/>
                <w:szCs w:val="19"/>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9"/>
        </w:trPr>
        <w:tc>
          <w:tcPr>
            <w:tcW w:w="2900" w:type="dxa"/>
            <w:vAlign w:val="bottom"/>
          </w:tcPr>
          <w:p>
            <w:pPr>
              <w:ind w:left="440"/>
              <w:spacing w:after="0"/>
              <w:rPr>
                <w:sz w:val="20"/>
                <w:szCs w:val="20"/>
                <w:color w:val="auto"/>
              </w:rPr>
            </w:pPr>
            <w:r>
              <w:rPr>
                <w:rFonts w:ascii="Arial" w:cs="Arial" w:eastAsia="Arial" w:hAnsi="Arial"/>
                <w:sz w:val="15"/>
                <w:szCs w:val="15"/>
                <w:color w:val="auto"/>
              </w:rPr>
              <w:t>Commodity contracts not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ind w:left="400"/>
              <w:spacing w:after="0"/>
              <w:rPr>
                <w:sz w:val="20"/>
                <w:szCs w:val="20"/>
                <w:color w:val="auto"/>
              </w:rPr>
            </w:pPr>
            <w:r>
              <w:rPr>
                <w:rFonts w:ascii="Arial" w:cs="Arial" w:eastAsia="Arial" w:hAnsi="Arial"/>
                <w:sz w:val="15"/>
                <w:szCs w:val="15"/>
                <w:color w:val="auto"/>
              </w:rPr>
              <w:t>Equity Earnings: RBS</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00" w:type="dxa"/>
            <w:vAlign w:val="bottom"/>
          </w:tcPr>
          <w:p>
            <w:pPr>
              <w:ind w:left="600"/>
              <w:spacing w:after="0"/>
              <w:rPr>
                <w:sz w:val="20"/>
                <w:szCs w:val="20"/>
                <w:color w:val="auto"/>
              </w:rPr>
            </w:pPr>
            <w:r>
              <w:rPr>
                <w:rFonts w:ascii="Arial" w:cs="Arial" w:eastAsia="Arial" w:hAnsi="Arial"/>
                <w:sz w:val="15"/>
                <w:szCs w:val="15"/>
                <w:color w:val="auto"/>
              </w:rPr>
              <w:t>subject to rate recovery</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Pr>
          <w:p>
            <w:pPr>
              <w:ind w:left="560"/>
              <w:spacing w:after="0"/>
              <w:rPr>
                <w:sz w:val="20"/>
                <w:szCs w:val="20"/>
                <w:color w:val="auto"/>
              </w:rPr>
            </w:pPr>
            <w:r>
              <w:rPr>
                <w:rFonts w:ascii="Arial" w:cs="Arial" w:eastAsia="Arial" w:hAnsi="Arial"/>
                <w:sz w:val="15"/>
                <w:szCs w:val="15"/>
                <w:color w:val="auto"/>
              </w:rPr>
              <w:t>Sempra Commodities LLP</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7</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Total</w:t>
            </w: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30</w:t>
            </w:r>
          </w:p>
        </w:tc>
        <w:tc>
          <w:tcPr>
            <w:tcW w:w="3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10</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7"/>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C0C0C0"/>
            </w:tcBorders>
          </w:tcPr>
          <w:p>
            <w:pPr>
              <w:ind w:left="440"/>
              <w:spacing w:after="0"/>
              <w:rPr>
                <w:sz w:val="20"/>
                <w:szCs w:val="20"/>
                <w:color w:val="auto"/>
              </w:rPr>
            </w:pPr>
            <w:r>
              <w:rPr>
                <w:rFonts w:ascii="Arial" w:cs="Arial" w:eastAsia="Arial" w:hAnsi="Arial"/>
                <w:sz w:val="15"/>
                <w:szCs w:val="15"/>
                <w:color w:val="auto"/>
              </w:rPr>
              <w:t>Interest rate instruments(1)</w:t>
            </w:r>
          </w:p>
        </w:tc>
        <w:tc>
          <w:tcPr>
            <w:tcW w:w="800" w:type="dxa"/>
            <w:vAlign w:val="bottom"/>
            <w:tcBorders>
              <w:bottom w:val="single" w:sz="8" w:color="C0C0C0"/>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spacing w:after="0"/>
              <w:rPr>
                <w:sz w:val="19"/>
                <w:szCs w:val="19"/>
                <w:color w:val="auto"/>
              </w:rPr>
            </w:pPr>
          </w:p>
        </w:tc>
        <w:tc>
          <w:tcPr>
            <w:tcW w:w="3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Borders>
              <w:bottom w:val="single" w:sz="8" w:color="C0C0C0"/>
            </w:tcBorders>
          </w:tcPr>
          <w:p>
            <w:pPr>
              <w:ind w:left="30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0C0C0"/>
            </w:tcBorders>
          </w:tcPr>
          <w:p>
            <w:pPr>
              <w:jc w:val="right"/>
              <w:ind w:right="30"/>
              <w:spacing w:after="0"/>
              <w:rPr>
                <w:sz w:val="20"/>
                <w:szCs w:val="20"/>
                <w:color w:val="auto"/>
              </w:rPr>
            </w:pPr>
            <w:r>
              <w:rPr>
                <w:rFonts w:ascii="Arial" w:cs="Arial" w:eastAsia="Arial" w:hAnsi="Arial"/>
                <w:sz w:val="15"/>
                <w:szCs w:val="15"/>
                <w:color w:val="auto"/>
              </w:rPr>
              <w:t>(4)</w:t>
            </w:r>
          </w:p>
        </w:tc>
        <w:tc>
          <w:tcPr>
            <w:tcW w:w="540" w:type="dxa"/>
            <w:vAlign w:val="bottom"/>
            <w:tcBorders>
              <w:bottom w:val="single" w:sz="8" w:color="C0C0C0"/>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0C0C0"/>
            </w:tcBorders>
          </w:tcPr>
          <w:p>
            <w:pPr>
              <w:jc w:val="right"/>
              <w:ind w:right="2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2900" w:type="dxa"/>
            <w:vAlign w:val="bottom"/>
          </w:tcPr>
          <w:p>
            <w:pPr>
              <w:ind w:left="100"/>
              <w:spacing w:after="0"/>
              <w:rPr>
                <w:sz w:val="20"/>
                <w:szCs w:val="20"/>
                <w:color w:val="auto"/>
              </w:rPr>
            </w:pPr>
            <w:r>
              <w:rPr>
                <w:rFonts w:ascii="Arial" w:cs="Arial" w:eastAsia="Arial" w:hAnsi="Arial"/>
                <w:sz w:val="15"/>
                <w:szCs w:val="15"/>
                <w:b w:val="1"/>
                <w:bCs w:val="1"/>
                <w:color w:val="auto"/>
              </w:rPr>
              <w:t>SoCalGas:</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00" w:type="dxa"/>
            <w:vAlign w:val="bottom"/>
            <w:tcBorders>
              <w:bottom w:val="single" w:sz="8" w:color="C0C0C0"/>
            </w:tcBorders>
          </w:tcPr>
          <w:p>
            <w:pPr>
              <w:ind w:left="440"/>
              <w:spacing w:after="0"/>
              <w:rPr>
                <w:sz w:val="20"/>
                <w:szCs w:val="20"/>
                <w:color w:val="auto"/>
              </w:rPr>
            </w:pPr>
            <w:r>
              <w:rPr>
                <w:rFonts w:ascii="Arial" w:cs="Arial" w:eastAsia="Arial" w:hAnsi="Arial"/>
                <w:sz w:val="15"/>
                <w:szCs w:val="15"/>
                <w:color w:val="auto"/>
              </w:rPr>
              <w:t>Interest rate instruments</w:t>
            </w:r>
          </w:p>
        </w:tc>
        <w:tc>
          <w:tcPr>
            <w:tcW w:w="800" w:type="dxa"/>
            <w:vAlign w:val="bottom"/>
            <w:tcBorders>
              <w:bottom w:val="single" w:sz="8" w:color="C0C0C0"/>
            </w:tcBorders>
          </w:tcPr>
          <w:p>
            <w:pPr>
              <w:jc w:val="right"/>
              <w:ind w:right="391"/>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w:t>
            </w:r>
          </w:p>
        </w:tc>
        <w:tc>
          <w:tcPr>
            <w:tcW w:w="3100" w:type="dxa"/>
            <w:vAlign w:val="bottom"/>
            <w:tcBorders>
              <w:bottom w:val="single" w:sz="8" w:color="C0C0C0"/>
            </w:tcBorders>
          </w:tcPr>
          <w:p>
            <w:pPr>
              <w:ind w:left="400"/>
              <w:spacing w:after="0"/>
              <w:rPr>
                <w:sz w:val="20"/>
                <w:szCs w:val="20"/>
                <w:color w:val="auto"/>
              </w:rPr>
            </w:pPr>
            <w:r>
              <w:rPr>
                <w:rFonts w:ascii="Arial" w:cs="Arial" w:eastAsia="Arial" w:hAnsi="Arial"/>
                <w:sz w:val="15"/>
                <w:szCs w:val="15"/>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0C0C0"/>
            </w:tcBorders>
          </w:tcPr>
          <w:p>
            <w:pPr>
              <w:jc w:val="right"/>
              <w:ind w:right="30"/>
              <w:spacing w:after="0"/>
              <w:rPr>
                <w:sz w:val="20"/>
                <w:szCs w:val="20"/>
                <w:color w:val="auto"/>
              </w:rPr>
            </w:pPr>
            <w:r>
              <w:rPr>
                <w:rFonts w:ascii="Arial" w:cs="Arial" w:eastAsia="Arial" w:hAnsi="Arial"/>
                <w:sz w:val="15"/>
                <w:szCs w:val="15"/>
                <w:color w:val="auto"/>
              </w:rPr>
              <w:t>(3)</w:t>
            </w:r>
          </w:p>
        </w:tc>
        <w:tc>
          <w:tcPr>
            <w:tcW w:w="540" w:type="dxa"/>
            <w:vAlign w:val="bottom"/>
            <w:tcBorders>
              <w:bottom w:val="single" w:sz="8" w:color="C0C0C0"/>
            </w:tcBorders>
          </w:tcPr>
          <w:p>
            <w:pPr>
              <w:jc w:val="right"/>
              <w:ind w:right="10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0C0C0"/>
            </w:tcBorders>
          </w:tcPr>
          <w:p>
            <w:pPr>
              <w:jc w:val="right"/>
              <w:ind w:right="2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0" w:hanging="341"/>
        <w:spacing w:after="0"/>
        <w:tabs>
          <w:tab w:leader="none" w:pos="44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Otay Mesa VIE. All of SDG&amp;E's interest rate derivatives relate to Otay Mesa VIE.</w:t>
      </w:r>
    </w:p>
    <w:p>
      <w:pPr>
        <w:spacing w:after="0" w:line="10" w:lineRule="exact"/>
        <w:rPr>
          <w:rFonts w:ascii="Arial" w:cs="Arial" w:eastAsia="Arial" w:hAnsi="Arial"/>
          <w:sz w:val="13"/>
          <w:szCs w:val="13"/>
          <w:i w:val="1"/>
          <w:iCs w:val="1"/>
          <w:color w:val="auto"/>
        </w:rPr>
      </w:pPr>
    </w:p>
    <w:p>
      <w:pPr>
        <w:ind w:left="440" w:right="440" w:hanging="341"/>
        <w:spacing w:after="0" w:line="244" w:lineRule="auto"/>
        <w:tabs>
          <w:tab w:leader="none" w:pos="44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Gains reclassified into earnings due to changes in cash requirements and associated impacts on forecasted interest payments, primarily related to proceeds received from RBS Sempra Commodities. See Note 4.</w:t>
      </w:r>
    </w:p>
    <w:p>
      <w:pPr>
        <w:spacing w:after="0" w:line="25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Sempra Energy expects that losses of $3 million, which are net of income tax expense, that are currently recorded in Accumulated Other Comprehensive Income (Loss) related to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For all forecasted transactions, the maximum term over which we are hedging exposures to the variability of cash flows, excluding interest payments, is 30 months at June 30, 2010. The maximum term over which RBS Sempra Commodities hedges forecasted natural gas purchases and sales is 66 months.</w:t>
      </w:r>
    </w:p>
    <w:p>
      <w:pPr>
        <w:spacing w:after="0" w:line="79" w:lineRule="exact"/>
        <w:rPr>
          <w:sz w:val="20"/>
          <w:szCs w:val="20"/>
          <w:color w:val="auto"/>
        </w:rPr>
      </w:pPr>
    </w:p>
    <w:p>
      <w:pPr>
        <w:ind w:right="640"/>
        <w:spacing w:after="0" w:line="350" w:lineRule="auto"/>
        <w:rPr>
          <w:sz w:val="20"/>
          <w:szCs w:val="20"/>
          <w:color w:val="auto"/>
        </w:rPr>
      </w:pPr>
      <w:r>
        <w:rPr>
          <w:rFonts w:ascii="Arial" w:cs="Arial" w:eastAsia="Arial" w:hAnsi="Arial"/>
          <w:sz w:val="14"/>
          <w:szCs w:val="14"/>
          <w:color w:val="auto"/>
        </w:rPr>
        <w:t>SDG&amp;E and SoCalGas expect that losses of $6 million and $3 million, respectively, which are net of income tax benefit, that are currently recorded in Accumulated Other Comprehensive I ncome (Loss) related to these cash flow hedges will be reclassified into earnings during the next twelve months as the hedged items affect earnings.</w:t>
      </w:r>
    </w:p>
    <w:p>
      <w:pPr>
        <w:spacing w:after="0" w:line="14"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effects of derivative instruments not designated as hedging instruments on the Condensed Consolidated Statements of Operations for the three months and six months ended June 30, 2010 and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5798820" cy="294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8820" cy="294005"/>
                    </a:xfrm>
                    <a:prstGeom prst="rect">
                      <a:avLst/>
                    </a:prstGeom>
                    <a:noFill/>
                  </pic:spPr>
                </pic:pic>
              </a:graphicData>
            </a:graphic>
          </wp:anchor>
        </w:drawing>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UNDESIGNATED DERIVATIVE IMPACT ON THE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4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6"/>
        </w:trPr>
        <w:tc>
          <w:tcPr>
            <w:tcW w:w="26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color w:val="auto"/>
              </w:rPr>
              <w:t>Gain (loss) on derivative recognized in earnings</w:t>
            </w:r>
          </w:p>
        </w:tc>
        <w:tc>
          <w:tcPr>
            <w:tcW w:w="520" w:type="dxa"/>
            <w:vAlign w:val="bottom"/>
            <w:tcBorders>
              <w:bottom w:val="single" w:sz="8" w:color="auto"/>
            </w:tcBorders>
          </w:tcPr>
          <w:p>
            <w:pPr>
              <w:spacing w:after="0"/>
              <w:rPr>
                <w:sz w:val="17"/>
                <w:szCs w:val="17"/>
                <w:color w:val="auto"/>
              </w:rPr>
            </w:pPr>
          </w:p>
        </w:tc>
      </w:tr>
      <w:tr>
        <w:trPr>
          <w:trHeight w:val="199"/>
        </w:trPr>
        <w:tc>
          <w:tcPr>
            <w:tcW w:w="26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Three months ended June 30,</w:t>
            </w:r>
          </w:p>
        </w:tc>
        <w:tc>
          <w:tcPr>
            <w:tcW w:w="18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color w:val="auto"/>
              </w:rPr>
              <w:t>Six months ended June 30,</w:t>
            </w:r>
          </w:p>
        </w:tc>
      </w:tr>
      <w:tr>
        <w:trPr>
          <w:trHeight w:val="211"/>
        </w:trPr>
        <w:tc>
          <w:tcPr>
            <w:tcW w:w="26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ind w:left="1100"/>
              <w:spacing w:after="0"/>
              <w:rPr>
                <w:sz w:val="20"/>
                <w:szCs w:val="20"/>
                <w:color w:val="auto"/>
              </w:rPr>
            </w:pPr>
            <w:r>
              <w:rPr>
                <w:rFonts w:ascii="Arial" w:cs="Arial" w:eastAsia="Arial" w:hAnsi="Arial"/>
                <w:sz w:val="13"/>
                <w:szCs w:val="13"/>
                <w:color w:val="auto"/>
              </w:rPr>
              <w:t>Location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2010</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rPr>
              <w:t>2009</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4"/>
              <w:spacing w:after="0" w:line="212" w:lineRule="exact"/>
              <w:rPr>
                <w:sz w:val="20"/>
                <w:szCs w:val="20"/>
                <w:color w:val="auto"/>
              </w:rPr>
            </w:pPr>
            <w:r>
              <w:rPr>
                <w:rFonts w:ascii="Arial" w:cs="Arial" w:eastAsia="Arial" w:hAnsi="Arial"/>
                <w:sz w:val="19"/>
                <w:szCs w:val="19"/>
                <w:color w:val="auto"/>
              </w:rPr>
              <w:t>2010</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w w:val="96"/>
              </w:rPr>
              <w:t>2009</w:t>
            </w:r>
          </w:p>
        </w:tc>
      </w:tr>
      <w:tr>
        <w:trPr>
          <w:trHeight w:val="219"/>
        </w:trPr>
        <w:tc>
          <w:tcPr>
            <w:tcW w:w="264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Interest rate instruments(1)</w:t>
            </w:r>
          </w:p>
        </w:tc>
        <w:tc>
          <w:tcPr>
            <w:tcW w:w="2680" w:type="dxa"/>
            <w:vAlign w:val="bottom"/>
          </w:tcPr>
          <w:p>
            <w:pPr>
              <w:ind w:left="100"/>
              <w:spacing w:after="0"/>
              <w:rPr>
                <w:sz w:val="20"/>
                <w:szCs w:val="20"/>
                <w:color w:val="auto"/>
              </w:rPr>
            </w:pPr>
            <w:r>
              <w:rPr>
                <w:rFonts w:ascii="Arial" w:cs="Arial" w:eastAsia="Arial" w:hAnsi="Arial"/>
                <w:sz w:val="15"/>
                <w:szCs w:val="15"/>
                <w:color w:val="auto"/>
              </w:rPr>
              <w:t>Other Income, Net</w:t>
            </w:r>
          </w:p>
        </w:tc>
        <w:tc>
          <w:tcPr>
            <w:tcW w:w="280" w:type="dxa"/>
            <w:vAlign w:val="bottom"/>
          </w:tcPr>
          <w:p>
            <w:pPr>
              <w:ind w:left="1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&amp;nbs p;(24)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19</w:t>
            </w:r>
          </w:p>
        </w:tc>
        <w:tc>
          <w:tcPr>
            <w:tcW w:w="26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29</w:t>
            </w: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Commodity contracts not subject</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600"/>
              <w:spacing w:after="0"/>
              <w:rPr>
                <w:sz w:val="20"/>
                <w:szCs w:val="20"/>
                <w:color w:val="auto"/>
              </w:rPr>
            </w:pPr>
            <w:r>
              <w:rPr>
                <w:rFonts w:ascii="Arial" w:cs="Arial" w:eastAsia="Arial" w:hAnsi="Arial"/>
                <w:sz w:val="15"/>
                <w:szCs w:val="15"/>
                <w:color w:val="auto"/>
              </w:rPr>
              <w:t>to rate recovery</w:t>
            </w:r>
          </w:p>
        </w:tc>
        <w:tc>
          <w:tcPr>
            <w:tcW w:w="2680" w:type="dxa"/>
            <w:vAlign w:val="bottom"/>
          </w:tcPr>
          <w:p>
            <w:pPr>
              <w:ind w:left="100"/>
              <w:spacing w:after="0"/>
              <w:rPr>
                <w:sz w:val="20"/>
                <w:szCs w:val="20"/>
                <w:color w:val="auto"/>
              </w:rPr>
            </w:pPr>
            <w:r>
              <w:rPr>
                <w:rFonts w:ascii="Arial" w:cs="Arial" w:eastAsia="Arial" w:hAnsi="Arial"/>
                <w:sz w:val="15"/>
                <w:szCs w:val="15"/>
                <w:color w:val="auto"/>
              </w:rPr>
              <w:t>Revenues: Sempra Global and Parent</w:t>
            </w:r>
          </w:p>
        </w:tc>
        <w:tc>
          <w:tcPr>
            <w:tcW w:w="280" w:type="dxa"/>
            <w:vAlign w:val="bottom"/>
          </w:tcPr>
          <w:p>
            <w:pPr>
              <w:spacing w:after="0"/>
              <w:rPr>
                <w:sz w:val="19"/>
                <w:szCs w:val="19"/>
                <w:color w:val="auto"/>
              </w:rPr>
            </w:pPr>
          </w:p>
        </w:tc>
        <w:tc>
          <w:tcPr>
            <w:tcW w:w="940" w:type="dxa"/>
            <w:vAlign w:val="bottom"/>
          </w:tcPr>
          <w:p>
            <w:pPr>
              <w:jc w:val="right"/>
              <w:ind w:right="69"/>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9"/>
                <w:szCs w:val="19"/>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(25)</w:t>
            </w: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Commodity contracts not subject</w:t>
            </w:r>
          </w:p>
        </w:tc>
        <w:tc>
          <w:tcPr>
            <w:tcW w:w="2680" w:type="dxa"/>
            <w:vAlign w:val="bottom"/>
          </w:tcPr>
          <w:p>
            <w:pPr>
              <w:ind w:left="100"/>
              <w:spacing w:after="0"/>
              <w:rPr>
                <w:sz w:val="20"/>
                <w:szCs w:val="20"/>
                <w:color w:val="auto"/>
              </w:rPr>
            </w:pPr>
            <w:r>
              <w:rPr>
                <w:rFonts w:ascii="Arial" w:cs="Arial" w:eastAsia="Arial" w:hAnsi="Arial"/>
                <w:sz w:val="15"/>
                <w:szCs w:val="15"/>
                <w:color w:val="auto"/>
              </w:rPr>
              <w:t>Cost of Natural Gas, Electric</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600"/>
              <w:spacing w:after="0"/>
              <w:rPr>
                <w:sz w:val="20"/>
                <w:szCs w:val="20"/>
                <w:color w:val="auto"/>
              </w:rPr>
            </w:pPr>
            <w:r>
              <w:rPr>
                <w:rFonts w:ascii="Arial" w:cs="Arial" w:eastAsia="Arial" w:hAnsi="Arial"/>
                <w:sz w:val="15"/>
                <w:szCs w:val="15"/>
                <w:color w:val="auto"/>
              </w:rPr>
              <w:t>to rate recovery</w:t>
            </w:r>
          </w:p>
        </w:tc>
        <w:tc>
          <w:tcPr>
            <w:tcW w:w="2680" w:type="dxa"/>
            <w:vAlign w:val="bottom"/>
          </w:tcPr>
          <w:p>
            <w:pPr>
              <w:ind w:left="260"/>
              <w:spacing w:after="0"/>
              <w:rPr>
                <w:sz w:val="20"/>
                <w:szCs w:val="20"/>
                <w:color w:val="auto"/>
              </w:rPr>
            </w:pPr>
            <w:r>
              <w:rPr>
                <w:rFonts w:ascii="Arial" w:cs="Arial" w:eastAsia="Arial" w:hAnsi="Arial"/>
                <w:sz w:val="15"/>
                <w:szCs w:val="15"/>
                <w:color w:val="auto"/>
              </w:rPr>
              <w:t>Fuel and Purchased Power</w:t>
            </w:r>
          </w:p>
        </w:tc>
        <w:tc>
          <w:tcPr>
            <w:tcW w:w="280" w:type="dxa"/>
            <w:vAlign w:val="bottom"/>
          </w:tcPr>
          <w:p>
            <w:pPr>
              <w:spacing w:after="0"/>
              <w:rPr>
                <w:sz w:val="19"/>
                <w:szCs w:val="19"/>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9"/>
                <w:szCs w:val="19"/>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19</w:t>
            </w: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Commodity contracts subject</w:t>
            </w:r>
          </w:p>
        </w:tc>
        <w:tc>
          <w:tcPr>
            <w:tcW w:w="2680" w:type="dxa"/>
            <w:vAlign w:val="bottom"/>
          </w:tcPr>
          <w:p>
            <w:pPr>
              <w:ind w:left="100"/>
              <w:spacing w:after="0"/>
              <w:rPr>
                <w:sz w:val="20"/>
                <w:szCs w:val="20"/>
                <w:color w:val="auto"/>
              </w:rPr>
            </w:pPr>
            <w:r>
              <w:rPr>
                <w:rFonts w:ascii="Arial" w:cs="Arial" w:eastAsia="Arial" w:hAnsi="Arial"/>
                <w:sz w:val="15"/>
                <w:szCs w:val="15"/>
                <w:color w:val="auto"/>
              </w:rPr>
              <w:t>Cost of Electric Fuel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600"/>
              <w:spacing w:after="0"/>
              <w:rPr>
                <w:sz w:val="20"/>
                <w:szCs w:val="20"/>
                <w:color w:val="auto"/>
              </w:rPr>
            </w:pPr>
            <w:r>
              <w:rPr>
                <w:rFonts w:ascii="Arial" w:cs="Arial" w:eastAsia="Arial" w:hAnsi="Arial"/>
                <w:sz w:val="15"/>
                <w:szCs w:val="15"/>
                <w:color w:val="auto"/>
              </w:rPr>
              <w:t>to rate recovery</w:t>
            </w:r>
          </w:p>
        </w:tc>
        <w:tc>
          <w:tcPr>
            <w:tcW w:w="2680" w:type="dxa"/>
            <w:vAlign w:val="bottom"/>
          </w:tcPr>
          <w:p>
            <w:pPr>
              <w:ind w:left="260"/>
              <w:spacing w:after="0"/>
              <w:rPr>
                <w:sz w:val="20"/>
                <w:szCs w:val="20"/>
                <w:color w:val="auto"/>
              </w:rPr>
            </w:pPr>
            <w:r>
              <w:rPr>
                <w:rFonts w:ascii="Arial" w:cs="Arial" w:eastAsia="Arial" w:hAnsi="Arial"/>
                <w:sz w:val="15"/>
                <w:szCs w:val="15"/>
                <w:color w:val="auto"/>
              </w:rPr>
              <w:t>and Purchased Power</w:t>
            </w:r>
          </w:p>
        </w:tc>
        <w:tc>
          <w:tcPr>
            <w:tcW w:w="280" w:type="dxa"/>
            <w:vAlign w:val="bottom"/>
          </w:tcPr>
          <w:p>
            <w:pPr>
              <w:spacing w:after="0"/>
              <w:rPr>
                <w:sz w:val="19"/>
                <w:szCs w:val="19"/>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43</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(6)</w:t>
            </w: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Commodity contracts subject</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600"/>
              <w:spacing w:after="0"/>
              <w:rPr>
                <w:sz w:val="20"/>
                <w:szCs w:val="20"/>
                <w:color w:val="auto"/>
              </w:rPr>
            </w:pPr>
            <w:r>
              <w:rPr>
                <w:rFonts w:ascii="Arial" w:cs="Arial" w:eastAsia="Arial" w:hAnsi="Arial"/>
                <w:sz w:val="15"/>
                <w:szCs w:val="15"/>
                <w:color w:val="auto"/>
              </w:rPr>
              <w:t>to rate recovery</w:t>
            </w:r>
          </w:p>
        </w:tc>
        <w:tc>
          <w:tcPr>
            <w:tcW w:w="2680" w:type="dxa"/>
            <w:vAlign w:val="bottom"/>
          </w:tcPr>
          <w:p>
            <w:pPr>
              <w:ind w:left="100"/>
              <w:spacing w:after="0"/>
              <w:rPr>
                <w:sz w:val="20"/>
                <w:szCs w:val="20"/>
                <w:color w:val="auto"/>
              </w:rPr>
            </w:pPr>
            <w:r>
              <w:rPr>
                <w:rFonts w:ascii="Arial" w:cs="Arial" w:eastAsia="Arial" w:hAnsi="Arial"/>
                <w:sz w:val="15"/>
                <w:szCs w:val="15"/>
                <w:color w:val="auto"/>
              </w:rPr>
              <w:t>Cost of Natural Gas</w:t>
            </w:r>
          </w:p>
        </w:tc>
        <w:tc>
          <w:tcPr>
            <w:tcW w:w="280" w:type="dxa"/>
            <w:vAlign w:val="bottom"/>
          </w:tcPr>
          <w:p>
            <w:pPr>
              <w:spacing w:after="0"/>
              <w:rPr>
                <w:sz w:val="19"/>
                <w:szCs w:val="19"/>
                <w:color w:val="auto"/>
              </w:rPr>
            </w:pPr>
          </w:p>
        </w:tc>
        <w:tc>
          <w:tcPr>
            <w:tcW w:w="940" w:type="dxa"/>
            <w:vAlign w:val="bottom"/>
          </w:tcPr>
          <w:p>
            <w:pPr>
              <w:jc w:val="right"/>
              <w:ind w:right="69"/>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&amp;nb sp;(1)</w:t>
            </w:r>
          </w:p>
        </w:tc>
        <w:tc>
          <w:tcPr>
            <w:tcW w:w="22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(3)</w:t>
            </w:r>
          </w:p>
        </w:tc>
      </w:tr>
      <w:tr>
        <w:trPr>
          <w:trHeight w:val="219"/>
        </w:trPr>
        <w:tc>
          <w:tcPr>
            <w:tcW w:w="2640" w:type="dxa"/>
            <w:vAlign w:val="bottom"/>
          </w:tcPr>
          <w:p>
            <w:pPr>
              <w:ind w:left="340"/>
              <w:spacing w:after="0"/>
              <w:rPr>
                <w:sz w:val="20"/>
                <w:szCs w:val="20"/>
                <w:color w:val="auto"/>
              </w:rPr>
            </w:pPr>
            <w:r>
              <w:rPr>
                <w:rFonts w:ascii="Arial" w:cs="Arial" w:eastAsia="Arial" w:hAnsi="Arial"/>
                <w:sz w:val="15"/>
                <w:szCs w:val="15"/>
                <w:color w:val="auto"/>
              </w:rPr>
              <w:t>Commodity contracts subject</w:t>
            </w:r>
          </w:p>
        </w:tc>
        <w:tc>
          <w:tcPr>
            <w:tcW w:w="2680" w:type="dxa"/>
            <w:vAlign w:val="bottom"/>
          </w:tcPr>
          <w:p>
            <w:pPr>
              <w:ind w:left="100"/>
              <w:spacing w:after="0"/>
              <w:rPr>
                <w:sz w:val="20"/>
                <w:szCs w:val="20"/>
                <w:color w:val="auto"/>
              </w:rPr>
            </w:pPr>
            <w:r>
              <w:rPr>
                <w:rFonts w:ascii="Arial" w:cs="Arial" w:eastAsia="Arial" w:hAnsi="Arial"/>
                <w:sz w:val="15"/>
                <w:szCs w:val="15"/>
                <w:color w:val="auto"/>
              </w:rPr>
              <w:t>Cost of Natural Gas, Electric</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2"/>
        </w:trPr>
        <w:tc>
          <w:tcPr>
            <w:tcW w:w="2640" w:type="dxa"/>
            <w:vAlign w:val="bottom"/>
          </w:tcPr>
          <w:p>
            <w:pPr>
              <w:ind w:left="600"/>
              <w:spacing w:after="0"/>
              <w:rPr>
                <w:sz w:val="20"/>
                <w:szCs w:val="20"/>
                <w:color w:val="auto"/>
              </w:rPr>
            </w:pPr>
            <w:r>
              <w:rPr>
                <w:rFonts w:ascii="Arial" w:cs="Arial" w:eastAsia="Arial" w:hAnsi="Arial"/>
                <w:sz w:val="15"/>
                <w:szCs w:val="15"/>
                <w:color w:val="auto"/>
              </w:rPr>
              <w:t>to rate recovery</w:t>
            </w:r>
          </w:p>
        </w:tc>
        <w:tc>
          <w:tcPr>
            <w:tcW w:w="2680" w:type="dxa"/>
            <w:vAlign w:val="bottom"/>
          </w:tcPr>
          <w:p>
            <w:pPr>
              <w:ind w:left="260"/>
              <w:spacing w:after="0"/>
              <w:rPr>
                <w:sz w:val="20"/>
                <w:szCs w:val="20"/>
                <w:color w:val="auto"/>
              </w:rPr>
            </w:pPr>
            <w:r>
              <w:rPr>
                <w:rFonts w:ascii="Arial" w:cs="Arial" w:eastAsia="Arial" w:hAnsi="Arial"/>
                <w:sz w:val="15"/>
                <w:szCs w:val="15"/>
                <w:color w:val="auto"/>
              </w:rPr>
              <w:t>Fuel and Purchased Power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r>
      <w:tr>
        <w:trPr>
          <w:trHeight w:val="216"/>
        </w:trPr>
        <w:tc>
          <w:tcPr>
            <w:tcW w:w="264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Total</w:t>
            </w:r>
          </w:p>
        </w:tc>
        <w:tc>
          <w:tcPr>
            <w:tcW w:w="2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&amp;n bsp;(26)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62</w:t>
            </w:r>
          </w:p>
        </w:tc>
        <w:tc>
          <w:tcPr>
            <w:tcW w:w="2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14</w:t>
            </w:r>
          </w:p>
        </w:tc>
      </w:tr>
      <w:tr>
        <w:trPr>
          <w:trHeight w:val="227"/>
        </w:trPr>
        <w:tc>
          <w:tcPr>
            <w:tcW w:w="264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640" w:type="dxa"/>
            <w:vAlign w:val="bottom"/>
          </w:tcPr>
          <w:p>
            <w:pPr>
              <w:ind w:left="440"/>
              <w:spacing w:after="0"/>
              <w:rPr>
                <w:sz w:val="20"/>
                <w:szCs w:val="20"/>
                <w:color w:val="auto"/>
              </w:rPr>
            </w:pPr>
            <w:r>
              <w:rPr>
                <w:rFonts w:ascii="Arial" w:cs="Arial" w:eastAsia="Arial" w:hAnsi="Arial"/>
                <w:sz w:val="15"/>
                <w:szCs w:val="15"/>
                <w:color w:val="auto"/>
              </w:rPr>
              <w:t>Interest rate instruments(1)</w:t>
            </w:r>
          </w:p>
        </w:tc>
        <w:tc>
          <w:tcPr>
            <w:tcW w:w="2680" w:type="dxa"/>
            <w:vAlign w:val="bottom"/>
          </w:tcPr>
          <w:p>
            <w:pPr>
              <w:ind w:left="100"/>
              <w:spacing w:after="0"/>
              <w:rPr>
                <w:sz w:val="20"/>
                <w:szCs w:val="20"/>
                <w:color w:val="auto"/>
              </w:rPr>
            </w:pPr>
            <w:r>
              <w:rPr>
                <w:rFonts w:ascii="Arial" w:cs="Arial" w:eastAsia="Arial" w:hAnsi="Arial"/>
                <w:sz w:val="15"/>
                <w:szCs w:val="15"/>
                <w:color w:val="auto"/>
              </w:rPr>
              <w:t>Other Income, Net</w:t>
            </w:r>
          </w:p>
        </w:tc>
        <w:tc>
          <w:tcPr>
            <w:tcW w:w="280" w:type="dxa"/>
            <w:vAlign w:val="bottom"/>
          </w:tcPr>
          <w:p>
            <w:pPr>
              <w:ind w:left="1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(25)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8"/>
              <w:spacing w:after="0"/>
              <w:rPr>
                <w:sz w:val="20"/>
                <w:szCs w:val="20"/>
                <w:color w:val="auto"/>
              </w:rPr>
            </w:pPr>
            <w:r>
              <w:rPr>
                <w:rFonts w:ascii="Arial" w:cs="Arial" w:eastAsia="Arial" w:hAnsi="Arial"/>
                <w:sz w:val="15"/>
                <w:szCs w:val="15"/>
                <w:color w:val="auto"/>
              </w:rPr>
              <w:t>20</w:t>
            </w:r>
          </w:p>
        </w:tc>
        <w:tc>
          <w:tcPr>
            <w:tcW w:w="26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30</w:t>
            </w:r>
          </w:p>
        </w:tc>
      </w:tr>
    </w:tbl>
    <w:p>
      <w:pPr>
        <w:sectPr>
          <w:pgSz w:w="11900" w:h="16919" w:orient="portrait"/>
          <w:cols w:equalWidth="0" w:num="1">
            <w:col w:w="11440"/>
          </w:cols>
          <w:pgMar w:left="240" w:top="403" w:right="219" w:bottom="0" w:gutter="0" w:footer="0" w:header="0"/>
        </w:sectPr>
      </w:pPr>
    </w:p>
    <w:bookmarkStart w:id="28" w:name="page29"/>
    <w:bookmarkEnd w:id="28"/>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2080" w:type="dxa"/>
            <w:vAlign w:val="bottom"/>
          </w:tcPr>
          <w:p>
            <w:pPr>
              <w:spacing w:after="0"/>
              <w:rPr>
                <w:sz w:val="20"/>
                <w:szCs w:val="20"/>
                <w:color w:val="auto"/>
              </w:rPr>
            </w:pPr>
            <w:r>
              <w:rPr>
                <w:rFonts w:ascii="Arial" w:cs="Arial" w:eastAsia="Arial" w:hAnsi="Arial"/>
                <w:sz w:val="15"/>
                <w:szCs w:val="15"/>
                <w:color w:val="auto"/>
              </w:rPr>
              <w:t>Commodity contracts subject</w:t>
            </w:r>
          </w:p>
        </w:tc>
        <w:tc>
          <w:tcPr>
            <w:tcW w:w="3320" w:type="dxa"/>
            <w:vAlign w:val="bottom"/>
            <w:gridSpan w:val="2"/>
          </w:tcPr>
          <w:p>
            <w:pPr>
              <w:jc w:val="right"/>
              <w:ind w:right="1780"/>
              <w:spacing w:after="0"/>
              <w:rPr>
                <w:sz w:val="20"/>
                <w:szCs w:val="20"/>
                <w:color w:val="auto"/>
              </w:rPr>
            </w:pPr>
            <w:r>
              <w:rPr>
                <w:rFonts w:ascii="Arial" w:cs="Arial" w:eastAsia="Arial" w:hAnsi="Arial"/>
                <w:sz w:val="15"/>
                <w:szCs w:val="15"/>
                <w:color w:val="auto"/>
              </w:rPr>
              <w:t>Cost of Electric Fuel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2"/>
        </w:trPr>
        <w:tc>
          <w:tcPr>
            <w:tcW w:w="2080" w:type="dxa"/>
            <w:vAlign w:val="bottom"/>
          </w:tcPr>
          <w:p>
            <w:pPr>
              <w:ind w:left="160"/>
              <w:spacing w:after="0"/>
              <w:rPr>
                <w:sz w:val="20"/>
                <w:szCs w:val="20"/>
                <w:color w:val="auto"/>
              </w:rPr>
            </w:pPr>
            <w:r>
              <w:rPr>
                <w:rFonts w:ascii="Arial" w:cs="Arial" w:eastAsia="Arial" w:hAnsi="Arial"/>
                <w:sz w:val="15"/>
                <w:szCs w:val="15"/>
                <w:color w:val="auto"/>
              </w:rPr>
              <w:t>to rate recovery</w:t>
            </w:r>
          </w:p>
        </w:tc>
        <w:tc>
          <w:tcPr>
            <w:tcW w:w="2800" w:type="dxa"/>
            <w:vAlign w:val="bottom"/>
          </w:tcPr>
          <w:p>
            <w:pPr>
              <w:jc w:val="right"/>
              <w:ind w:right="907"/>
              <w:spacing w:after="0"/>
              <w:rPr>
                <w:sz w:val="20"/>
                <w:szCs w:val="20"/>
                <w:color w:val="auto"/>
              </w:rPr>
            </w:pPr>
            <w:r>
              <w:rPr>
                <w:rFonts w:ascii="Arial" w:cs="Arial" w:eastAsia="Arial" w:hAnsi="Arial"/>
                <w:sz w:val="15"/>
                <w:szCs w:val="15"/>
                <w:color w:val="auto"/>
              </w:rPr>
              <w:t>and Purchased Power</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43</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(61)</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w:t>
            </w:r>
          </w:p>
        </w:tc>
      </w:tr>
      <w:tr>
        <w:trPr>
          <w:trHeight w:val="219"/>
        </w:trPr>
        <w:tc>
          <w:tcPr>
            <w:tcW w:w="2080" w:type="dxa"/>
            <w:vAlign w:val="bottom"/>
          </w:tcPr>
          <w:p>
            <w:pPr>
              <w:spacing w:after="0"/>
              <w:rPr>
                <w:sz w:val="20"/>
                <w:szCs w:val="20"/>
                <w:color w:val="auto"/>
              </w:rPr>
            </w:pPr>
            <w:r>
              <w:rPr>
                <w:rFonts w:ascii="Arial" w:cs="Arial" w:eastAsia="Arial" w:hAnsi="Arial"/>
                <w:sz w:val="15"/>
                <w:szCs w:val="15"/>
                <w:color w:val="auto"/>
              </w:rPr>
              <w:t>Total</w:t>
            </w:r>
          </w:p>
        </w:tc>
        <w:tc>
          <w:tcPr>
            <w:tcW w:w="33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(34)</w:t>
            </w:r>
          </w:p>
        </w:tc>
        <w:tc>
          <w:tcPr>
            <w:tcW w:w="2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47"/>
              <w:spacing w:after="0"/>
              <w:rPr>
                <w:sz w:val="20"/>
                <w:szCs w:val="20"/>
                <w:color w:val="auto"/>
              </w:rPr>
            </w:pPr>
            <w:r>
              <w:rPr>
                <w:rFonts w:ascii="Arial" w:cs="Arial" w:eastAsia="Arial" w:hAnsi="Arial"/>
                <w:sz w:val="15"/>
                <w:szCs w:val="15"/>
                <w:color w:val="auto"/>
              </w:rPr>
              <w:t>63</w:t>
            </w:r>
          </w:p>
        </w:tc>
        <w:tc>
          <w:tcPr>
            <w:tcW w:w="5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(95)</w:t>
            </w:r>
          </w:p>
        </w:tc>
        <w:tc>
          <w:tcPr>
            <w:tcW w:w="700" w:type="dxa"/>
            <w:vAlign w:val="bottom"/>
          </w:tcPr>
          <w:p>
            <w:pPr>
              <w:jc w:val="right"/>
              <w:ind w:right="47"/>
              <w:spacing w:after="0"/>
              <w:rPr>
                <w:sz w:val="20"/>
                <w:szCs w:val="20"/>
                <w:color w:val="auto"/>
              </w:rPr>
            </w:pPr>
            <w:r>
              <w:rPr>
                <w:rFonts w:ascii="Arial" w:cs="Arial" w:eastAsia="Arial" w:hAnsi="Arial"/>
                <w:sz w:val="15"/>
                <w:szCs w:val="15"/>
                <w:color w:val="auto"/>
              </w:rPr>
              <w:t>$   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-12065</wp:posOffset>
            </wp:positionV>
            <wp:extent cx="558228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2285" cy="234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b w:val="1"/>
          <w:bCs w:val="1"/>
          <w:color w:val="auto"/>
        </w:rPr>
        <w:t>SoCalGas: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Commodity contracts subject</w:t>
      </w:r>
    </w:p>
    <w:p>
      <w:pPr>
        <w:spacing w:after="0" w:line="47" w:lineRule="exact"/>
        <w:rPr>
          <w:sz w:val="20"/>
          <w:szCs w:val="20"/>
          <w:color w:val="auto"/>
        </w:rPr>
      </w:pPr>
    </w:p>
    <w:p>
      <w:pPr>
        <w:ind w:left="600"/>
        <w:spacing w:after="0"/>
        <w:tabs>
          <w:tab w:leader="none" w:pos="2720" w:val="left"/>
          <w:tab w:leader="none" w:pos="5400" w:val="left"/>
          <w:tab w:leader="none" w:pos="6300" w:val="left"/>
          <w:tab w:leader="none" w:pos="6600" w:val="left"/>
          <w:tab w:leader="none" w:pos="6960" w:val="left"/>
          <w:tab w:leader="none" w:pos="7320" w:val="left"/>
          <w:tab w:leader="none" w:pos="8080" w:val="left"/>
          <w:tab w:leader="none" w:pos="8440" w:val="left"/>
          <w:tab w:leader="none" w:pos="8840" w:val="left"/>
        </w:tabs>
        <w:rPr>
          <w:sz w:val="20"/>
          <w:szCs w:val="20"/>
          <w:color w:val="auto"/>
        </w:rPr>
      </w:pPr>
      <w:r>
        <w:rPr>
          <w:rFonts w:ascii="Arial" w:cs="Arial" w:eastAsia="Arial" w:hAnsi="Arial"/>
          <w:sz w:val="15"/>
          <w:szCs w:val="15"/>
          <w:color w:val="auto"/>
        </w:rPr>
        <w:t>to rate recovery</w:t>
      </w:r>
      <w:r>
        <w:rPr>
          <w:sz w:val="20"/>
          <w:szCs w:val="20"/>
          <w:color w:val="auto"/>
        </w:rPr>
        <w:tab/>
      </w:r>
      <w:r>
        <w:rPr>
          <w:rFonts w:ascii="Arial" w:cs="Arial" w:eastAsia="Arial" w:hAnsi="Arial"/>
          <w:sz w:val="15"/>
          <w:szCs w:val="15"/>
          <w:color w:val="auto"/>
        </w:rPr>
        <w:t>Cost of Natural Gas</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w:t>
        <w:tab/>
        <w:t>$</w:t>
      </w:r>
      <w:r>
        <w:rPr>
          <w:sz w:val="20"/>
          <w:szCs w:val="20"/>
          <w:color w:val="auto"/>
        </w:rPr>
        <w:tab/>
      </w:r>
      <w:r>
        <w:rPr>
          <w:rFonts w:ascii="Arial" w:cs="Arial" w:eastAsia="Arial" w:hAnsi="Arial"/>
          <w:sz w:val="15"/>
          <w:szCs w:val="15"/>
          <w:color w:val="auto"/>
        </w:rPr>
        <w:t>(2)</w:t>
        <w:tab/>
        <w:t>$</w:t>
      </w:r>
      <w:r>
        <w:rPr>
          <w:sz w:val="20"/>
          <w:szCs w:val="20"/>
          <w:color w:val="auto"/>
        </w:rPr>
        <w:tab/>
      </w:r>
      <w:r>
        <w:rPr>
          <w:rFonts w:ascii="Arial" w:cs="Arial" w:eastAsia="Arial" w:hAnsi="Arial"/>
          <w:sz w:val="15"/>
          <w:szCs w:val="15"/>
          <w:color w:val="auto"/>
        </w:rPr>
        <w:t>(1)</w:t>
        <w:tab/>
        <w: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579882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8820" cy="23495"/>
                    </a:xfrm>
                    <a:prstGeom prst="rect">
                      <a:avLst/>
                    </a:prstGeom>
                    <a:noFill/>
                  </pic:spPr>
                </pic:pic>
              </a:graphicData>
            </a:graphic>
          </wp:anchor>
        </w:drawing>
      </w:r>
    </w:p>
    <w:p>
      <w:pPr>
        <w:spacing w:after="0" w:line="52" w:lineRule="exact"/>
        <w:rPr>
          <w:sz w:val="20"/>
          <w:szCs w:val="20"/>
          <w:color w:val="auto"/>
        </w:rPr>
      </w:pPr>
    </w:p>
    <w:p>
      <w:pPr>
        <w:ind w:left="440" w:hanging="346"/>
        <w:spacing w:after="0"/>
        <w:tabs>
          <w:tab w:leader="none" w:pos="44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Related to Otay Mesa VIE. Sempra Energy Consolidated also includes additional instruments.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CONTINGENT FEATURES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For Sempra Energy and SDG&amp;E, certain of our derivative instruments contain credit limits which vary depending upon our credit rating. Generally, these provisions, if applicable, may reduce our credit limit if a specified credit rating agency reduces our rating. In certain cases, if our credit r ating were to fall below investment grade, the counterparty to these derivative liability instruments could request immediate payment or demand immediate and ongoing full collateralization.</w:t>
      </w:r>
    </w:p>
    <w:p>
      <w:pPr>
        <w:spacing w:after="0" w:line="57" w:lineRule="exact"/>
        <w:rPr>
          <w:sz w:val="20"/>
          <w:szCs w:val="20"/>
          <w:color w:val="auto"/>
        </w:rPr>
      </w:pPr>
    </w:p>
    <w:p>
      <w:pPr>
        <w:jc w:val="both"/>
        <w:ind w:right="200"/>
        <w:spacing w:after="0" w:line="350" w:lineRule="auto"/>
        <w:rPr>
          <w:sz w:val="20"/>
          <w:szCs w:val="20"/>
          <w:color w:val="auto"/>
        </w:rPr>
      </w:pPr>
      <w:r>
        <w:rPr>
          <w:rFonts w:ascii="Arial" w:cs="Arial" w:eastAsia="Arial" w:hAnsi="Arial"/>
          <w:sz w:val="14"/>
          <w:szCs w:val="14"/>
          <w:color w:val="auto"/>
        </w:rPr>
        <w:t>For Sempra Energy, the total fair value of this group of derivative instruments in a net liability position at June 30, 2010 is $4 million. As of June 30, 2010, if the credit ratings of Sempra Energy and SDG&amp;E were both reduced below investment grade, $4 million of additional assets could be required to be posted as collateral for these derivative contracts.</w:t>
      </w:r>
    </w:p>
    <w:p>
      <w:pPr>
        <w:spacing w:after="0" w:line="17"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For SDG&amp;E, the total fair value of this group of derivative instruments in a net liability position at June 30, 2010 is $1 million. As of June 30, 2010, if the credit rating of SDG&amp;E were reduced below investment grade, $1 million of additional assets could be required to be posted as collateral f or these derivative contracts.</w:t>
      </w:r>
    </w:p>
    <w:p>
      <w:pPr>
        <w:spacing w:after="0" w:line="41" w:lineRule="exact"/>
        <w:rPr>
          <w:sz w:val="20"/>
          <w:szCs w:val="20"/>
          <w:color w:val="auto"/>
        </w:rPr>
      </w:pPr>
    </w:p>
    <w:p>
      <w:pPr>
        <w:ind w:right="480"/>
        <w:spacing w:after="0" w:line="310" w:lineRule="auto"/>
        <w:rPr>
          <w:sz w:val="20"/>
          <w:szCs w:val="20"/>
          <w:color w:val="auto"/>
        </w:rPr>
      </w:pPr>
      <w:r>
        <w:rPr>
          <w:rFonts w:ascii="Arial" w:cs="Arial" w:eastAsia="Arial" w:hAnsi="Arial"/>
          <w:sz w:val="15"/>
          <w:szCs w:val="15"/>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356870</wp:posOffset>
            </wp:positionV>
            <wp:extent cx="72599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NOTE 8. FAIR VALUE MEASUREMENTS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6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fair values of certain of our financial instruments (cash, temporary investments, accounts and notes receivable, dividends and accounts payable, short- term debt and customer deposits) approximate their carrying amounts. The following table provides the carrying amounts and fair values of the remaining financial instruments at June 30, 2010 and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321945</wp:posOffset>
            </wp:positionV>
            <wp:extent cx="5397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75" cy="2349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6656705" cy="433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6705" cy="433070"/>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FAIR VALUE OF FINANCIAL INSTRUMENTS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780"/>
              <w:spacing w:after="0"/>
              <w:rPr>
                <w:sz w:val="20"/>
                <w:szCs w:val="20"/>
                <w:color w:val="auto"/>
              </w:rPr>
            </w:pPr>
            <w:r>
              <w:rPr>
                <w:rFonts w:ascii="Arial" w:cs="Arial" w:eastAsia="Arial" w:hAnsi="Arial"/>
                <w:sz w:val="13"/>
                <w:szCs w:val="13"/>
                <w:color w:val="auto"/>
              </w:rPr>
              <w:t>June 30, 2010</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December 31, 2009</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29"/>
              <w:spacing w:after="0"/>
              <w:rPr>
                <w:sz w:val="20"/>
                <w:szCs w:val="20"/>
                <w:color w:val="auto"/>
              </w:rPr>
            </w:pPr>
            <w:r>
              <w:rPr>
                <w:rFonts w:ascii="Arial" w:cs="Arial" w:eastAsia="Arial" w:hAnsi="Arial"/>
                <w:sz w:val="13"/>
                <w:szCs w:val="13"/>
                <w:color w:val="auto"/>
              </w:rPr>
              <w:t>Carrying</w:t>
            </w:r>
          </w:p>
        </w:tc>
        <w:tc>
          <w:tcPr>
            <w:tcW w:w="1640" w:type="dxa"/>
            <w:vAlign w:val="bottom"/>
            <w:gridSpan w:val="2"/>
          </w:tcPr>
          <w:p>
            <w:pPr>
              <w:jc w:val="right"/>
              <w:ind w:right="687"/>
              <w:spacing w:after="0"/>
              <w:rPr>
                <w:sz w:val="20"/>
                <w:szCs w:val="20"/>
                <w:color w:val="auto"/>
              </w:rPr>
            </w:pPr>
            <w:r>
              <w:rPr>
                <w:rFonts w:ascii="Arial" w:cs="Arial" w:eastAsia="Arial" w:hAnsi="Arial"/>
                <w:sz w:val="13"/>
                <w:szCs w:val="13"/>
                <w:color w:val="auto"/>
              </w:rPr>
              <w:t>Fair</w:t>
            </w:r>
          </w:p>
        </w:tc>
        <w:tc>
          <w:tcPr>
            <w:tcW w:w="1180" w:type="dxa"/>
            <w:vAlign w:val="bottom"/>
            <w:gridSpan w:val="2"/>
          </w:tcPr>
          <w:p>
            <w:pPr>
              <w:jc w:val="center"/>
              <w:ind w:left="529"/>
              <w:spacing w:after="0"/>
              <w:rPr>
                <w:sz w:val="20"/>
                <w:szCs w:val="20"/>
                <w:color w:val="auto"/>
              </w:rPr>
            </w:pPr>
            <w:r>
              <w:rPr>
                <w:rFonts w:ascii="Arial" w:cs="Arial" w:eastAsia="Arial" w:hAnsi="Arial"/>
                <w:sz w:val="13"/>
                <w:szCs w:val="13"/>
                <w:color w:val="auto"/>
              </w:rPr>
              <w:t>Carrying</w:t>
            </w:r>
          </w:p>
        </w:tc>
        <w:tc>
          <w:tcPr>
            <w:tcW w:w="7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3"/>
                <w:szCs w:val="13"/>
                <w:color w:val="auto"/>
              </w:rPr>
              <w:t>Fair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Amount</w:t>
            </w:r>
          </w:p>
        </w:tc>
        <w:tc>
          <w:tcPr>
            <w:tcW w:w="164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color w:val="auto"/>
              </w:rPr>
              <w:t>Value</w:t>
            </w:r>
          </w:p>
        </w:tc>
        <w:tc>
          <w:tcPr>
            <w:tcW w:w="1180" w:type="dxa"/>
            <w:vAlign w:val="bottom"/>
            <w:tcBorders>
              <w:bottom w:val="single" w:sz="8" w:color="auto"/>
            </w:tcBorders>
            <w:gridSpan w:val="2"/>
          </w:tcPr>
          <w:p>
            <w:pPr>
              <w:jc w:val="center"/>
              <w:ind w:left="549"/>
              <w:spacing w:after="0"/>
              <w:rPr>
                <w:sz w:val="20"/>
                <w:szCs w:val="20"/>
                <w:color w:val="auto"/>
              </w:rPr>
            </w:pPr>
            <w:r>
              <w:rPr>
                <w:rFonts w:ascii="Arial" w:cs="Arial" w:eastAsia="Arial" w:hAnsi="Arial"/>
                <w:sz w:val="13"/>
                <w:szCs w:val="13"/>
                <w:color w:val="auto"/>
                <w:w w:val="98"/>
              </w:rPr>
              <w:t>Amount</w:t>
            </w: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color w:val="auto"/>
              </w:rPr>
              <w:t>Value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100"/>
              <w:spacing w:after="0"/>
              <w:rPr>
                <w:sz w:val="20"/>
                <w:szCs w:val="20"/>
                <w:color w:val="auto"/>
              </w:rPr>
            </w:pPr>
            <w:r>
              <w:rPr>
                <w:rFonts w:ascii="Arial" w:cs="Arial" w:eastAsia="Arial" w:hAnsi="Arial"/>
                <w:sz w:val="15"/>
                <w:szCs w:val="15"/>
                <w:color w:val="auto"/>
              </w:rPr>
              <w:t>Investments in affordable housing partnerships(1)</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31</w:t>
            </w:r>
          </w:p>
        </w:tc>
        <w:tc>
          <w:tcPr>
            <w:tcW w:w="760" w:type="dxa"/>
            <w:vAlign w:val="bottom"/>
          </w:tcPr>
          <w:p>
            <w:pPr>
              <w:ind w:left="5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60</w:t>
            </w:r>
          </w:p>
        </w:tc>
        <w:tc>
          <w:tcPr>
            <w:tcW w:w="9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Arial" w:cs="Arial" w:eastAsia="Arial" w:hAnsi="Arial"/>
                <w:sz w:val="15"/>
                <w:szCs w:val="15"/>
                <w:color w:val="auto"/>
              </w:rPr>
              <w:t>34</w:t>
            </w:r>
          </w:p>
        </w:tc>
        <w:tc>
          <w:tcPr>
            <w:tcW w:w="720" w:type="dxa"/>
            <w:vAlign w:val="bottom"/>
          </w:tcPr>
          <w:p>
            <w:pPr>
              <w:ind w:left="5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19"/>
        </w:trPr>
        <w:tc>
          <w:tcPr>
            <w:tcW w:w="3920" w:type="dxa"/>
            <w:vAlign w:val="bottom"/>
          </w:tcPr>
          <w:p>
            <w:pPr>
              <w:ind w:left="100"/>
              <w:spacing w:after="0"/>
              <w:rPr>
                <w:sz w:val="20"/>
                <w:szCs w:val="20"/>
                <w:color w:val="auto"/>
              </w:rPr>
            </w:pPr>
            <w:r>
              <w:rPr>
                <w:rFonts w:ascii="Arial" w:cs="Arial" w:eastAsia="Arial" w:hAnsi="Arial"/>
                <w:sz w:val="15"/>
                <w:szCs w:val="15"/>
                <w:color w:val="auto"/>
              </w:rPr>
              <w:t>Total long-term debt(2)</w:t>
            </w:r>
          </w:p>
        </w:tc>
        <w:tc>
          <w:tcPr>
            <w:tcW w:w="320" w:type="dxa"/>
            <w:vAlign w:val="bottom"/>
          </w:tcPr>
          <w:p>
            <w:pPr>
              <w:spacing w:after="0"/>
              <w:rPr>
                <w:sz w:val="19"/>
                <w:szCs w:val="19"/>
                <w:color w:val="auto"/>
              </w:rPr>
            </w:pP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7,886</w:t>
            </w:r>
          </w:p>
        </w:tc>
        <w:tc>
          <w:tcPr>
            <w:tcW w:w="7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8,780</w:t>
            </w:r>
          </w:p>
        </w:tc>
        <w:tc>
          <w:tcPr>
            <w:tcW w:w="1960" w:type="dxa"/>
            <w:vAlign w:val="bottom"/>
            <w:gridSpan w:val="3"/>
          </w:tcPr>
          <w:p>
            <w:pPr>
              <w:jc w:val="right"/>
              <w:ind w:right="488"/>
              <w:spacing w:after="0"/>
              <w:rPr>
                <w:sz w:val="20"/>
                <w:szCs w:val="20"/>
                <w:color w:val="auto"/>
              </w:rPr>
            </w:pPr>
            <w:r>
              <w:rPr>
                <w:rFonts w:ascii="Arial" w:cs="Arial" w:eastAsia="Arial" w:hAnsi="Arial"/>
                <w:sz w:val="15"/>
                <w:szCs w:val="15"/>
                <w:color w:val="auto"/>
              </w:rPr>
              <w:t>8,050</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8,618</w:t>
            </w:r>
          </w:p>
        </w:tc>
        <w:tc>
          <w:tcPr>
            <w:tcW w:w="0" w:type="dxa"/>
            <w:vAlign w:val="bottom"/>
          </w:tcPr>
          <w:p>
            <w:pPr>
              <w:spacing w:after="0"/>
              <w:rPr>
                <w:sz w:val="1"/>
                <w:szCs w:val="1"/>
                <w:color w:val="auto"/>
              </w:rPr>
            </w:pPr>
          </w:p>
        </w:tc>
      </w:tr>
      <w:tr>
        <w:trPr>
          <w:trHeight w:val="219"/>
        </w:trPr>
        <w:tc>
          <w:tcPr>
            <w:tcW w:w="3920" w:type="dxa"/>
            <w:vAlign w:val="bottom"/>
          </w:tcPr>
          <w:p>
            <w:pPr>
              <w:ind w:left="100"/>
              <w:spacing w:after="0"/>
              <w:rPr>
                <w:sz w:val="20"/>
                <w:szCs w:val="20"/>
                <w:color w:val="auto"/>
              </w:rPr>
            </w:pPr>
            <w:r>
              <w:rPr>
                <w:rFonts w:ascii="Arial" w:cs="Arial" w:eastAsia="Arial" w:hAnsi="Arial"/>
                <w:sz w:val="15"/>
                <w:szCs w:val="15"/>
                <w:color w:val="auto"/>
              </w:rPr>
              <w:t>Due to unconsolidated affiliate</w:t>
            </w:r>
          </w:p>
        </w:tc>
        <w:tc>
          <w:tcPr>
            <w:tcW w:w="320" w:type="dxa"/>
            <w:vAlign w:val="bottom"/>
          </w:tcPr>
          <w:p>
            <w:pPr>
              <w:spacing w:after="0"/>
              <w:rPr>
                <w:sz w:val="19"/>
                <w:szCs w:val="19"/>
                <w:color w:val="auto"/>
              </w:rPr>
            </w:pP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2</w:t>
            </w:r>
          </w:p>
        </w:tc>
        <w:tc>
          <w:tcPr>
            <w:tcW w:w="7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48"/>
              <w:spacing w:after="0"/>
              <w:rPr>
                <w:sz w:val="20"/>
                <w:szCs w:val="20"/>
                <w:color w:val="auto"/>
              </w:rPr>
            </w:pPr>
            <w:r>
              <w:rPr>
                <w:rFonts w:ascii="Arial" w:cs="Arial" w:eastAsia="Arial" w:hAnsi="Arial"/>
                <w:sz w:val="15"/>
                <w:szCs w:val="15"/>
                <w:color w:val="auto"/>
              </w:rPr>
              <w:t>2</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8"/>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Preferred stock of subsidiaries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color w:val="auto"/>
              </w:rPr>
              <w:t>179</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164</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rPr>
              <w:t>179</w:t>
            </w: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27"/>
        </w:trPr>
        <w:tc>
          <w:tcPr>
            <w:tcW w:w="392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100"/>
              <w:spacing w:after="0"/>
              <w:rPr>
                <w:sz w:val="20"/>
                <w:szCs w:val="20"/>
                <w:color w:val="auto"/>
              </w:rPr>
            </w:pPr>
            <w:r>
              <w:rPr>
                <w:rFonts w:ascii="Arial" w:cs="Arial" w:eastAsia="Arial" w:hAnsi="Arial"/>
                <w:sz w:val="15"/>
                <w:szCs w:val="15"/>
                <w:color w:val="auto"/>
              </w:rPr>
              <w:t>Total long-term debt(3)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3,010</w:t>
            </w:r>
          </w:p>
        </w:tc>
        <w:tc>
          <w:tcPr>
            <w:tcW w:w="760" w:type="dxa"/>
            <w:vAlign w:val="bottom"/>
          </w:tcPr>
          <w:p>
            <w:pPr>
              <w:ind w:left="5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3,214</w:t>
            </w:r>
          </w:p>
        </w:tc>
        <w:tc>
          <w:tcPr>
            <w:tcW w:w="9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Arial" w:cs="Arial" w:eastAsia="Arial" w:hAnsi="Arial"/>
                <w:sz w:val="15"/>
                <w:szCs w:val="15"/>
                <w:color w:val="auto"/>
              </w:rPr>
              <w:t>2,672</w:t>
            </w:r>
          </w:p>
        </w:tc>
        <w:tc>
          <w:tcPr>
            <w:tcW w:w="720" w:type="dxa"/>
            <w:vAlign w:val="bottom"/>
          </w:tcPr>
          <w:p>
            <w:pPr>
              <w:ind w:left="5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2,828</w:t>
            </w:r>
          </w:p>
        </w:tc>
        <w:tc>
          <w:tcPr>
            <w:tcW w:w="0" w:type="dxa"/>
            <w:vAlign w:val="bottom"/>
          </w:tcPr>
          <w:p>
            <w:pPr>
              <w:spacing w:after="0"/>
              <w:rPr>
                <w:sz w:val="1"/>
                <w:szCs w:val="1"/>
                <w:color w:val="auto"/>
              </w:rPr>
            </w:pPr>
          </w:p>
        </w:tc>
      </w:tr>
      <w:tr>
        <w:trPr>
          <w:trHeight w:val="228"/>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Contingently redeemable preferred stock</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color w:val="auto"/>
              </w:rPr>
              <w:t>79</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79</w:t>
            </w:r>
          </w:p>
        </w:tc>
        <w:tc>
          <w:tcPr>
            <w:tcW w:w="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rPr>
              <w:t>79</w:t>
            </w:r>
          </w:p>
        </w:tc>
        <w:tc>
          <w:tcPr>
            <w:tcW w:w="7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27"/>
        </w:trPr>
        <w:tc>
          <w:tcPr>
            <w:tcW w:w="3920" w:type="dxa"/>
            <w:vAlign w:val="bottom"/>
          </w:tcPr>
          <w:p>
            <w:pPr>
              <w:ind w:left="100"/>
              <w:spacing w:after="0"/>
              <w:rPr>
                <w:sz w:val="20"/>
                <w:szCs w:val="20"/>
                <w:color w:val="auto"/>
              </w:rPr>
            </w:pPr>
            <w:r>
              <w:rPr>
                <w:rFonts w:ascii="Arial" w:cs="Arial" w:eastAsia="Arial" w:hAnsi="Arial"/>
                <w:sz w:val="15"/>
                <w:szCs w:val="15"/>
                <w:b w:val="1"/>
                <w:bCs w:val="1"/>
                <w:color w:val="auto"/>
              </w:rPr>
              <w:t>PE and SoCalGas: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Arial" w:cs="Arial" w:eastAsia="Arial" w:hAnsi="Arial"/>
                <w:sz w:val="15"/>
                <w:szCs w:val="15"/>
                <w:color w:val="auto"/>
              </w:rPr>
              <w:t>Total long-term debt(4)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color w:val="auto"/>
              </w:rPr>
              <w:t>1,288</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1,393</w:t>
            </w:r>
          </w:p>
        </w:tc>
        <w:tc>
          <w:tcPr>
            <w:tcW w:w="8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1,296</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1,382</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920" w:type="dxa"/>
            <w:vAlign w:val="bottom"/>
          </w:tcPr>
          <w:p>
            <w:pPr>
              <w:ind w:left="100"/>
              <w:spacing w:after="0"/>
              <w:rPr>
                <w:sz w:val="20"/>
                <w:szCs w:val="20"/>
                <w:color w:val="auto"/>
              </w:rPr>
            </w:pPr>
            <w:r>
              <w:rPr>
                <w:rFonts w:ascii="Arial" w:cs="Arial" w:eastAsia="Arial" w:hAnsi="Arial"/>
                <w:sz w:val="15"/>
                <w:szCs w:val="15"/>
                <w:color w:val="auto"/>
              </w:rPr>
              <w:t>PE: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5"/>
                <w:szCs w:val="15"/>
                <w:color w:val="auto"/>
              </w:rPr>
              <w:t>80</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260"/>
              <w:spacing w:after="0"/>
              <w:rPr>
                <w:sz w:val="20"/>
                <w:szCs w:val="20"/>
                <w:color w:val="auto"/>
              </w:rPr>
            </w:pPr>
            <w:r>
              <w:rPr>
                <w:rFonts w:ascii="Arial" w:cs="Arial" w:eastAsia="Arial" w:hAnsi="Arial"/>
                <w:sz w:val="15"/>
                <w:szCs w:val="15"/>
                <w:color w:val="auto"/>
              </w:rPr>
              <w:t>Preferred stock</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80</w:t>
            </w:r>
          </w:p>
        </w:tc>
        <w:tc>
          <w:tcPr>
            <w:tcW w:w="760" w:type="dxa"/>
            <w:vAlign w:val="bottom"/>
          </w:tcPr>
          <w:p>
            <w:pPr>
              <w:ind w:left="5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66</w:t>
            </w:r>
          </w:p>
        </w:tc>
        <w:tc>
          <w:tcPr>
            <w:tcW w:w="9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tcPr>
          <w:p>
            <w:pPr>
              <w:ind w:left="5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9"/>
        </w:trPr>
        <w:tc>
          <w:tcPr>
            <w:tcW w:w="3920" w:type="dxa"/>
            <w:vAlign w:val="bottom"/>
          </w:tcPr>
          <w:p>
            <w:pPr>
              <w:ind w:left="260"/>
              <w:spacing w:after="0"/>
              <w:rPr>
                <w:sz w:val="20"/>
                <w:szCs w:val="20"/>
                <w:color w:val="auto"/>
              </w:rPr>
            </w:pPr>
            <w:r>
              <w:rPr>
                <w:rFonts w:ascii="Arial" w:cs="Arial" w:eastAsia="Arial" w:hAnsi="Arial"/>
                <w:sz w:val="15"/>
                <w:szCs w:val="15"/>
                <w:color w:val="auto"/>
              </w:rPr>
              <w:t>Preferred stock of subsidiary</w:t>
            </w:r>
          </w:p>
        </w:tc>
        <w:tc>
          <w:tcPr>
            <w:tcW w:w="320" w:type="dxa"/>
            <w:vAlign w:val="bottom"/>
          </w:tcPr>
          <w:p>
            <w:pPr>
              <w:spacing w:after="0"/>
              <w:rPr>
                <w:sz w:val="19"/>
                <w:szCs w:val="19"/>
                <w:color w:val="auto"/>
              </w:rPr>
            </w:pPr>
          </w:p>
        </w:tc>
        <w:tc>
          <w:tcPr>
            <w:tcW w:w="1040" w:type="dxa"/>
            <w:vAlign w:val="bottom"/>
          </w:tcPr>
          <w:p>
            <w:pPr>
              <w:jc w:val="right"/>
              <w:ind w:right="189"/>
              <w:spacing w:after="0"/>
              <w:rPr>
                <w:sz w:val="20"/>
                <w:szCs w:val="20"/>
                <w:color w:val="auto"/>
              </w:rPr>
            </w:pPr>
            <w:r>
              <w:rPr>
                <w:rFonts w:ascii="Arial" w:cs="Arial" w:eastAsia="Arial" w:hAnsi="Arial"/>
                <w:sz w:val="15"/>
                <w:szCs w:val="15"/>
                <w:color w:val="auto"/>
              </w:rPr>
              <w:t>20</w:t>
            </w:r>
          </w:p>
        </w:tc>
        <w:tc>
          <w:tcPr>
            <w:tcW w:w="7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19</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48"/>
              <w:spacing w:after="0"/>
              <w:rPr>
                <w:sz w:val="20"/>
                <w:szCs w:val="20"/>
                <w:color w:val="auto"/>
              </w:rPr>
            </w:pPr>
            <w:r>
              <w:rPr>
                <w:rFonts w:ascii="Arial" w:cs="Arial" w:eastAsia="Arial" w:hAnsi="Arial"/>
                <w:sz w:val="15"/>
                <w:szCs w:val="15"/>
                <w:color w:val="auto"/>
              </w:rPr>
              <w:t>20</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67"/>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426"/>
        </w:trPr>
        <w:tc>
          <w:tcPr>
            <w:tcW w:w="3920" w:type="dxa"/>
            <w:vAlign w:val="bottom"/>
          </w:tcPr>
          <w:p>
            <w:pPr>
              <w:ind w:left="100"/>
              <w:spacing w:after="0"/>
              <w:rPr>
                <w:sz w:val="20"/>
                <w:szCs w:val="20"/>
                <w:color w:val="auto"/>
              </w:rPr>
            </w:pPr>
            <w:r>
              <w:rPr>
                <w:rFonts w:ascii="Arial" w:cs="Arial" w:eastAsia="Arial" w:hAnsi="Arial"/>
                <w:sz w:val="15"/>
                <w:szCs w:val="15"/>
                <w:color w:val="auto"/>
              </w:rPr>
              <w:t>SoCalGas: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20" w:type="dxa"/>
            <w:vAlign w:val="bottom"/>
            <w:tcBorders>
              <w:bottom w:val="single" w:sz="8" w:color="C0C0C0"/>
            </w:tcBorders>
          </w:tcPr>
          <w:p>
            <w:pPr>
              <w:ind w:left="260"/>
              <w:spacing w:after="0"/>
              <w:rPr>
                <w:sz w:val="20"/>
                <w:szCs w:val="20"/>
                <w:color w:val="auto"/>
              </w:rPr>
            </w:pPr>
            <w:r>
              <w:rPr>
                <w:rFonts w:ascii="Arial" w:cs="Arial" w:eastAsia="Arial" w:hAnsi="Arial"/>
                <w:sz w:val="15"/>
                <w:szCs w:val="15"/>
                <w:color w:val="auto"/>
              </w:rPr>
              <w:t>Preferred stock</w:t>
            </w:r>
          </w:p>
        </w:tc>
        <w:tc>
          <w:tcPr>
            <w:tcW w:w="32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0C0C0"/>
            </w:tcBorders>
          </w:tcPr>
          <w:p>
            <w:pPr>
              <w:jc w:val="right"/>
              <w:ind w:right="189"/>
              <w:spacing w:after="0"/>
              <w:rPr>
                <w:sz w:val="20"/>
                <w:szCs w:val="20"/>
                <w:color w:val="auto"/>
              </w:rPr>
            </w:pPr>
            <w:r>
              <w:rPr>
                <w:rFonts w:ascii="Arial" w:cs="Arial" w:eastAsia="Arial" w:hAnsi="Arial"/>
                <w:sz w:val="15"/>
                <w:szCs w:val="15"/>
                <w:color w:val="auto"/>
              </w:rPr>
              <w:t>22</w:t>
            </w:r>
          </w:p>
        </w:tc>
        <w:tc>
          <w:tcPr>
            <w:tcW w:w="760" w:type="dxa"/>
            <w:vAlign w:val="bottom"/>
            <w:tcBorders>
              <w:bottom w:val="single" w:sz="8" w:color="C0C0C0"/>
            </w:tcBorders>
          </w:tcPr>
          <w:p>
            <w:pPr>
              <w:ind w:left="58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0C0C0"/>
            </w:tcBorders>
          </w:tcPr>
          <w:p>
            <w:pPr>
              <w:jc w:val="right"/>
              <w:ind w:right="47"/>
              <w:spacing w:after="0"/>
              <w:rPr>
                <w:sz w:val="20"/>
                <w:szCs w:val="20"/>
                <w:color w:val="auto"/>
              </w:rPr>
            </w:pPr>
            <w:r>
              <w:rPr>
                <w:rFonts w:ascii="Arial" w:cs="Arial" w:eastAsia="Arial" w:hAnsi="Arial"/>
                <w:sz w:val="15"/>
                <w:szCs w:val="15"/>
                <w:color w:val="auto"/>
              </w:rPr>
              <w:t>21</w:t>
            </w:r>
          </w:p>
        </w:tc>
        <w:tc>
          <w:tcPr>
            <w:tcW w:w="90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0C0C0"/>
            </w:tcBorders>
          </w:tcPr>
          <w:p>
            <w:pPr>
              <w:spacing w:after="0"/>
              <w:rPr>
                <w:sz w:val="17"/>
                <w:szCs w:val="17"/>
                <w:color w:val="auto"/>
              </w:rPr>
            </w:pPr>
          </w:p>
        </w:tc>
        <w:tc>
          <w:tcPr>
            <w:tcW w:w="780" w:type="dxa"/>
            <w:vAlign w:val="bottom"/>
            <w:tcBorders>
              <w:bottom w:val="single" w:sz="8" w:color="C0C0C0"/>
            </w:tcBorders>
          </w:tcPr>
          <w:p>
            <w:pPr>
              <w:jc w:val="right"/>
              <w:ind w:right="248"/>
              <w:spacing w:after="0"/>
              <w:rPr>
                <w:sz w:val="20"/>
                <w:szCs w:val="20"/>
                <w:color w:val="auto"/>
              </w:rPr>
            </w:pPr>
            <w:r>
              <w:rPr>
                <w:rFonts w:ascii="Arial" w:cs="Arial" w:eastAsia="Arial" w:hAnsi="Arial"/>
                <w:sz w:val="15"/>
                <w:szCs w:val="15"/>
                <w:color w:val="auto"/>
              </w:rPr>
              <w:t>22</w:t>
            </w:r>
          </w:p>
        </w:tc>
        <w:tc>
          <w:tcPr>
            <w:tcW w:w="720" w:type="dxa"/>
            <w:vAlign w:val="bottom"/>
            <w:tcBorders>
              <w:bottom w:val="single" w:sz="8" w:color="C0C0C0"/>
            </w:tcBorders>
          </w:tcPr>
          <w:p>
            <w:pPr>
              <w:ind w:left="5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0C0C0"/>
            </w:tcBorders>
          </w:tcPr>
          <w:p>
            <w:pPr>
              <w:spacing w:after="0"/>
              <w:rPr>
                <w:sz w:val="17"/>
                <w:szCs w:val="17"/>
                <w:color w:val="auto"/>
              </w:rPr>
            </w:pPr>
          </w:p>
        </w:tc>
        <w:tc>
          <w:tcPr>
            <w:tcW w:w="62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bl>
    <w:p>
      <w:pPr>
        <w:ind w:left="2060" w:hanging="1162"/>
        <w:spacing w:after="0"/>
        <w:tabs>
          <w:tab w:leader="none" w:pos="206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We discuss our investments in affordable housing partnerships in Note 4 of the Notes to Consolidated Financial Statements in the Annual Report.</w:t>
      </w:r>
    </w:p>
    <w:p>
      <w:pPr>
        <w:spacing w:after="0" w:line="96" w:lineRule="exact"/>
        <w:rPr>
          <w:rFonts w:ascii="Arial" w:cs="Arial" w:eastAsia="Arial" w:hAnsi="Arial"/>
          <w:sz w:val="13"/>
          <w:szCs w:val="13"/>
          <w:i w:val="1"/>
          <w:iCs w:val="1"/>
          <w:color w:val="auto"/>
        </w:rPr>
      </w:pPr>
    </w:p>
    <w:p>
      <w:pPr>
        <w:ind w:left="2060" w:hanging="1162"/>
        <w:spacing w:after="0"/>
        <w:tabs>
          <w:tab w:leader="none" w:pos="206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$17 million at June 30, 2010 and December 31, 2009.</w:t>
      </w:r>
    </w:p>
    <w:p>
      <w:pPr>
        <w:spacing w:after="0" w:line="57" w:lineRule="exact"/>
        <w:rPr>
          <w:rFonts w:ascii="Arial" w:cs="Arial" w:eastAsia="Arial" w:hAnsi="Arial"/>
          <w:sz w:val="13"/>
          <w:szCs w:val="13"/>
          <w:i w:val="1"/>
          <w:iCs w:val="1"/>
          <w:color w:val="auto"/>
        </w:rPr>
      </w:pPr>
    </w:p>
    <w:p>
      <w:pPr>
        <w:ind w:left="1960" w:hanging="1062"/>
        <w:spacing w:after="0"/>
        <w:tabs>
          <w:tab w:leader="none" w:pos="196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$4 million at June 30, 2010 and December 31, 2009.</w:t>
      </w:r>
    </w:p>
    <w:p>
      <w:pPr>
        <w:spacing w:after="0" w:line="57" w:lineRule="exact"/>
        <w:rPr>
          <w:rFonts w:ascii="Arial" w:cs="Arial" w:eastAsia="Arial" w:hAnsi="Arial"/>
          <w:sz w:val="13"/>
          <w:szCs w:val="13"/>
          <w:i w:val="1"/>
          <w:iCs w:val="1"/>
          <w:color w:val="auto"/>
        </w:rPr>
      </w:pPr>
    </w:p>
    <w:p>
      <w:pPr>
        <w:ind w:left="2060" w:hanging="1162"/>
        <w:spacing w:after="0"/>
        <w:tabs>
          <w:tab w:leader="none" w:pos="206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$2 million at June 30, 2010 and December 31, 2009.</w:t>
      </w:r>
    </w:p>
    <w:p>
      <w:pPr>
        <w:spacing w:after="0" w:line="217" w:lineRule="exact"/>
        <w:rPr>
          <w:sz w:val="20"/>
          <w:szCs w:val="20"/>
          <w:color w:val="auto"/>
        </w:rPr>
      </w:pPr>
    </w:p>
    <w:p>
      <w:pPr>
        <w:ind w:right="120"/>
        <w:spacing w:after="0" w:line="350" w:lineRule="auto"/>
        <w:rPr>
          <w:sz w:val="20"/>
          <w:szCs w:val="20"/>
          <w:color w:val="auto"/>
        </w:rPr>
      </w:pPr>
      <w:r>
        <w:rPr>
          <w:rFonts w:ascii="Arial" w:cs="Arial" w:eastAsia="Arial" w:hAnsi="Arial"/>
          <w:sz w:val="14"/>
          <w:szCs w:val="14"/>
          <w:color w:val="auto"/>
        </w:rPr>
        <w:t>Sempra Energy based the fair values of investments in affordable housing partnerships on the present value of estimated future cash flows, discounted at rates available for similar investments. All entities based the fair values of the long-term debt and preferred stock on their quoted market prices or quoted market prices for similar securities.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Nuclear Decommissioning Trusts</w:t>
      </w:r>
    </w:p>
    <w:p>
      <w:pPr>
        <w:spacing w:after="0" w:line="60"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We discuss SDG&amp;E's investments in nuclear decommissioning trust funds in Note 7 of the Notes to Consolidated Financial Statements in the Annual Report. The following table shows the fair values and gross unrealized gains and losses for the securities held in the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5860415" cy="294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0415" cy="29400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NUCLEAR DECOMMISSIONING TRUSTS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96" w:lineRule="exact"/>
        <w:rPr>
          <w:sz w:val="20"/>
          <w:szCs w:val="20"/>
          <w:color w:val="auto"/>
        </w:rPr>
      </w:pPr>
    </w:p>
    <w:tbl>
      <w:tblPr>
        <w:tblLayout w:type="fixed"/>
        <w:tblInd w:w="468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1360" w:type="dxa"/>
            <w:vAlign w:val="bottom"/>
          </w:tcPr>
          <w:p>
            <w:pPr>
              <w:jc w:val="center"/>
              <w:ind w:left="75"/>
              <w:spacing w:after="0"/>
              <w:rPr>
                <w:sz w:val="20"/>
                <w:szCs w:val="20"/>
                <w:color w:val="auto"/>
              </w:rPr>
            </w:pPr>
            <w:r>
              <w:rPr>
                <w:rFonts w:ascii="Arial" w:cs="Arial" w:eastAsia="Arial" w:hAnsi="Arial"/>
                <w:sz w:val="13"/>
                <w:szCs w:val="13"/>
                <w:color w:val="auto"/>
                <w:w w:val="97"/>
              </w:rPr>
              <w:t>Gross</w:t>
            </w:r>
          </w:p>
        </w:tc>
        <w:tc>
          <w:tcPr>
            <w:tcW w:w="1360" w:type="dxa"/>
            <w:vAlign w:val="bottom"/>
          </w:tcPr>
          <w:p>
            <w:pPr>
              <w:jc w:val="center"/>
              <w:ind w:right="55"/>
              <w:spacing w:after="0"/>
              <w:rPr>
                <w:sz w:val="20"/>
                <w:szCs w:val="20"/>
                <w:color w:val="auto"/>
              </w:rPr>
            </w:pPr>
            <w:r>
              <w:rPr>
                <w:rFonts w:ascii="Arial" w:cs="Arial" w:eastAsia="Arial" w:hAnsi="Arial"/>
                <w:sz w:val="13"/>
                <w:szCs w:val="13"/>
                <w:color w:val="auto"/>
              </w:rPr>
              <w:t>Gross</w:t>
            </w:r>
          </w:p>
        </w:tc>
        <w:tc>
          <w:tcPr>
            <w:tcW w:w="1020" w:type="dxa"/>
            <w:vAlign w:val="bottom"/>
          </w:tcPr>
          <w:p>
            <w:pPr>
              <w:jc w:val="center"/>
              <w:ind w:left="375"/>
              <w:spacing w:after="0"/>
              <w:rPr>
                <w:sz w:val="20"/>
                <w:szCs w:val="20"/>
                <w:color w:val="auto"/>
              </w:rPr>
            </w:pPr>
            <w:r>
              <w:rPr>
                <w:rFonts w:ascii="Arial" w:cs="Arial" w:eastAsia="Arial" w:hAnsi="Arial"/>
                <w:sz w:val="13"/>
                <w:szCs w:val="13"/>
                <w:color w:val="auto"/>
              </w:rPr>
              <w:t>Estimated</w:t>
            </w:r>
          </w:p>
        </w:tc>
      </w:tr>
      <w:tr>
        <w:trPr>
          <w:trHeight w:val="189"/>
        </w:trPr>
        <w:tc>
          <w:tcPr>
            <w:tcW w:w="720" w:type="dxa"/>
            <w:vAlign w:val="bottom"/>
          </w:tcPr>
          <w:p>
            <w:pPr>
              <w:spacing w:after="0"/>
              <w:rPr>
                <w:sz w:val="16"/>
                <w:szCs w:val="16"/>
                <w:color w:val="auto"/>
              </w:rPr>
            </w:pPr>
          </w:p>
        </w:tc>
        <w:tc>
          <w:tcPr>
            <w:tcW w:w="1360" w:type="dxa"/>
            <w:vAlign w:val="bottom"/>
          </w:tcPr>
          <w:p>
            <w:pPr>
              <w:jc w:val="center"/>
              <w:ind w:left="75"/>
              <w:spacing w:after="0"/>
              <w:rPr>
                <w:sz w:val="20"/>
                <w:szCs w:val="20"/>
                <w:color w:val="auto"/>
              </w:rPr>
            </w:pPr>
            <w:r>
              <w:rPr>
                <w:rFonts w:ascii="Arial" w:cs="Arial" w:eastAsia="Arial" w:hAnsi="Arial"/>
                <w:sz w:val="13"/>
                <w:szCs w:val="13"/>
                <w:color w:val="auto"/>
                <w:w w:val="99"/>
              </w:rPr>
              <w:t>Unrealized</w:t>
            </w:r>
          </w:p>
        </w:tc>
        <w:tc>
          <w:tcPr>
            <w:tcW w:w="1360" w:type="dxa"/>
            <w:vAlign w:val="bottom"/>
          </w:tcPr>
          <w:p>
            <w:pPr>
              <w:jc w:val="center"/>
              <w:ind w:right="35"/>
              <w:spacing w:after="0"/>
              <w:rPr>
                <w:sz w:val="20"/>
                <w:szCs w:val="20"/>
                <w:color w:val="auto"/>
              </w:rPr>
            </w:pPr>
            <w:r>
              <w:rPr>
                <w:rFonts w:ascii="Arial" w:cs="Arial" w:eastAsia="Arial" w:hAnsi="Arial"/>
                <w:sz w:val="13"/>
                <w:szCs w:val="13"/>
                <w:color w:val="auto"/>
                <w:w w:val="99"/>
              </w:rPr>
              <w:t>Unrealized</w:t>
            </w:r>
          </w:p>
        </w:tc>
        <w:tc>
          <w:tcPr>
            <w:tcW w:w="1020" w:type="dxa"/>
            <w:vAlign w:val="bottom"/>
          </w:tcPr>
          <w:p>
            <w:pPr>
              <w:jc w:val="center"/>
              <w:ind w:left="375"/>
              <w:spacing w:after="0"/>
              <w:rPr>
                <w:sz w:val="20"/>
                <w:szCs w:val="20"/>
                <w:color w:val="auto"/>
              </w:rPr>
            </w:pPr>
            <w:r>
              <w:rPr>
                <w:rFonts w:ascii="Arial" w:cs="Arial" w:eastAsia="Arial" w:hAnsi="Arial"/>
                <w:sz w:val="13"/>
                <w:szCs w:val="13"/>
                <w:color w:val="auto"/>
                <w:w w:val="98"/>
              </w:rPr>
              <w:t>Fair</w:t>
            </w:r>
          </w:p>
        </w:tc>
      </w:tr>
      <w:tr>
        <w:trPr>
          <w:trHeight w:val="176"/>
        </w:trPr>
        <w:tc>
          <w:tcPr>
            <w:tcW w:w="720" w:type="dxa"/>
            <w:vAlign w:val="bottom"/>
          </w:tcPr>
          <w:p>
            <w:pPr>
              <w:spacing w:after="0"/>
              <w:rPr>
                <w:sz w:val="20"/>
                <w:szCs w:val="20"/>
                <w:color w:val="auto"/>
              </w:rPr>
            </w:pPr>
            <w:r>
              <w:rPr>
                <w:rFonts w:ascii="Arial" w:cs="Arial" w:eastAsia="Arial" w:hAnsi="Arial"/>
                <w:sz w:val="13"/>
                <w:szCs w:val="13"/>
                <w:color w:val="auto"/>
              </w:rPr>
              <w:t>Cost</w:t>
            </w:r>
          </w:p>
        </w:tc>
        <w:tc>
          <w:tcPr>
            <w:tcW w:w="1360" w:type="dxa"/>
            <w:vAlign w:val="bottom"/>
          </w:tcPr>
          <w:p>
            <w:pPr>
              <w:jc w:val="center"/>
              <w:ind w:left="75"/>
              <w:spacing w:after="0"/>
              <w:rPr>
                <w:sz w:val="20"/>
                <w:szCs w:val="20"/>
                <w:color w:val="auto"/>
              </w:rPr>
            </w:pPr>
            <w:r>
              <w:rPr>
                <w:rFonts w:ascii="Arial" w:cs="Arial" w:eastAsia="Arial" w:hAnsi="Arial"/>
                <w:sz w:val="13"/>
                <w:szCs w:val="13"/>
                <w:color w:val="auto"/>
                <w:w w:val="88"/>
              </w:rPr>
              <w:t>Gains</w:t>
            </w:r>
          </w:p>
        </w:tc>
        <w:tc>
          <w:tcPr>
            <w:tcW w:w="1360" w:type="dxa"/>
            <w:vAlign w:val="bottom"/>
          </w:tcPr>
          <w:p>
            <w:pPr>
              <w:jc w:val="center"/>
              <w:ind w:right="55"/>
              <w:spacing w:after="0"/>
              <w:rPr>
                <w:sz w:val="20"/>
                <w:szCs w:val="20"/>
                <w:color w:val="auto"/>
              </w:rPr>
            </w:pPr>
            <w:r>
              <w:rPr>
                <w:rFonts w:ascii="Arial" w:cs="Arial" w:eastAsia="Arial" w:hAnsi="Arial"/>
                <w:sz w:val="13"/>
                <w:szCs w:val="13"/>
                <w:color w:val="auto"/>
                <w:w w:val="97"/>
              </w:rPr>
              <w:t>Losses</w:t>
            </w:r>
          </w:p>
        </w:tc>
        <w:tc>
          <w:tcPr>
            <w:tcW w:w="1020" w:type="dxa"/>
            <w:vAlign w:val="bottom"/>
          </w:tcPr>
          <w:p>
            <w:pPr>
              <w:jc w:val="center"/>
              <w:ind w:left="355"/>
              <w:spacing w:after="0"/>
              <w:rPr>
                <w:sz w:val="20"/>
                <w:szCs w:val="20"/>
                <w:color w:val="auto"/>
              </w:rPr>
            </w:pPr>
            <w:r>
              <w:rPr>
                <w:rFonts w:ascii="Arial" w:cs="Arial" w:eastAsia="Arial" w:hAnsi="Arial"/>
                <w:sz w:val="13"/>
                <w:szCs w:val="13"/>
                <w:color w:val="auto"/>
                <w:w w:val="96"/>
              </w:rPr>
              <w:t>Value</w:t>
            </w:r>
          </w:p>
        </w:tc>
      </w:tr>
    </w:tbl>
    <w:p>
      <w:pPr>
        <w:sectPr>
          <w:pgSz w:w="11900" w:h="16838" w:orient="portrait"/>
          <w:cols w:equalWidth="0" w:num="1">
            <w:col w:w="11440"/>
          </w:cols>
          <w:pgMar w:left="240" w:top="190" w:right="21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vMerge w:val="restart"/>
          </w:tcPr>
          <w:p>
            <w:pPr>
              <w:jc w:val="right"/>
              <w:ind w:right="22"/>
              <w:spacing w:after="0"/>
              <w:rPr>
                <w:sz w:val="20"/>
                <w:szCs w:val="20"/>
                <w:color w:val="auto"/>
              </w:rPr>
            </w:pPr>
            <w:r>
              <w:rPr>
                <w:rFonts w:ascii="Arial" w:cs="Arial" w:eastAsia="Arial" w:hAnsi="Arial"/>
                <w:sz w:val="19"/>
                <w:szCs w:val="19"/>
                <w:color w:val="auto"/>
              </w:rPr>
              <w:t>&lt; /td&gt;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560" w:type="dxa"/>
            <w:vAlign w:val="bottom"/>
          </w:tcPr>
          <w:p>
            <w:pPr>
              <w:ind w:left="100"/>
              <w:spacing w:after="0"/>
              <w:rPr>
                <w:sz w:val="20"/>
                <w:szCs w:val="20"/>
                <w:color w:val="auto"/>
              </w:rPr>
            </w:pPr>
            <w:r>
              <w:rPr>
                <w:rFonts w:ascii="Arial" w:cs="Arial" w:eastAsia="Arial" w:hAnsi="Arial"/>
                <w:sz w:val="15"/>
                <w:szCs w:val="15"/>
                <w:b w:val="1"/>
                <w:bCs w:val="1"/>
                <w:color w:val="auto"/>
              </w:rPr>
              <w:t>As of June 30, 2010: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60" w:type="dxa"/>
            <w:vAlign w:val="bottom"/>
          </w:tcPr>
          <w:p>
            <w:pPr>
              <w:ind w:left="100"/>
              <w:spacing w:after="0"/>
              <w:rPr>
                <w:sz w:val="20"/>
                <w:szCs w:val="20"/>
                <w:color w:val="auto"/>
              </w:rPr>
            </w:pPr>
            <w:r>
              <w:rPr>
                <w:rFonts w:ascii="Arial" w:cs="Arial" w:eastAsia="Arial" w:hAnsi="Arial"/>
                <w:sz w:val="15"/>
                <w:szCs w:val="15"/>
                <w:color w:val="auto"/>
              </w:rPr>
              <w:t>Debt securities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40" w:type="dxa"/>
            <w:vAlign w:val="bottom"/>
            <w:gridSpan w:val="3"/>
          </w:tcPr>
          <w:p>
            <w:pPr>
              <w:ind w:left="260"/>
              <w:spacing w:after="0"/>
              <w:rPr>
                <w:sz w:val="20"/>
                <w:szCs w:val="20"/>
                <w:color w:val="auto"/>
              </w:rPr>
            </w:pPr>
            <w:r>
              <w:rPr>
                <w:rFonts w:ascii="Arial" w:cs="Arial" w:eastAsia="Arial" w:hAnsi="Arial"/>
                <w:sz w:val="15"/>
                <w:szCs w:val="15"/>
                <w:color w:val="auto"/>
              </w:rPr>
              <w:t>Debt securities issued by the U.S. Treasury and 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460"/>
              <w:spacing w:after="0"/>
              <w:rPr>
                <w:sz w:val="20"/>
                <w:szCs w:val="20"/>
                <w:color w:val="auto"/>
              </w:rPr>
            </w:pPr>
            <w:r>
              <w:rPr>
                <w:rFonts w:ascii="Arial" w:cs="Arial" w:eastAsia="Arial" w:hAnsi="Arial"/>
                <w:sz w:val="15"/>
                <w:szCs w:val="15"/>
                <w:color w:val="auto"/>
                <w:w w:val="99"/>
              </w:rPr>
              <w:t>U.S. government corporations and agencies(1)</w:t>
            </w:r>
          </w:p>
        </w:tc>
        <w:tc>
          <w:tcPr>
            <w:tcW w:w="7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160&amp;nb sp;</w:t>
            </w:r>
          </w:p>
        </w:tc>
        <w:tc>
          <w:tcPr>
            <w:tcW w:w="3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22</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19"/>
        </w:trPr>
        <w:tc>
          <w:tcPr>
            <w:tcW w:w="3560" w:type="dxa"/>
            <w:vAlign w:val="bottom"/>
          </w:tcPr>
          <w:p>
            <w:pPr>
              <w:ind w:left="260"/>
              <w:spacing w:after="0"/>
              <w:rPr>
                <w:sz w:val="20"/>
                <w:szCs w:val="20"/>
                <w:color w:val="auto"/>
              </w:rPr>
            </w:pPr>
            <w:r>
              <w:rPr>
                <w:rFonts w:ascii="Arial" w:cs="Arial" w:eastAsia="Arial" w:hAnsi="Arial"/>
                <w:sz w:val="15"/>
                <w:szCs w:val="15"/>
                <w:color w:val="auto"/>
              </w:rPr>
              <w:t>Municipal bonds(2)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3</w:t>
            </w:r>
          </w:p>
        </w:tc>
        <w:tc>
          <w:tcPr>
            <w:tcW w:w="420" w:type="dxa"/>
            <w:vAlign w:val="bottom"/>
          </w:tcPr>
          <w:p>
            <w:pPr>
              <w:spacing w:after="0"/>
              <w:rPr>
                <w:sz w:val="19"/>
                <w:szCs w:val="19"/>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680" w:type="dxa"/>
            <w:vAlign w:val="bottom"/>
          </w:tcPr>
          <w:p>
            <w:pPr>
              <w:spacing w:after="0"/>
              <w:rPr>
                <w:sz w:val="19"/>
                <w:szCs w:val="19"/>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2"/>
        </w:trPr>
        <w:tc>
          <w:tcPr>
            <w:tcW w:w="3560" w:type="dxa"/>
            <w:vAlign w:val="bottom"/>
          </w:tcPr>
          <w:p>
            <w:pPr>
              <w:ind w:left="260"/>
              <w:spacing w:after="0"/>
              <w:rPr>
                <w:sz w:val="20"/>
                <w:szCs w:val="20"/>
                <w:color w:val="auto"/>
              </w:rPr>
            </w:pPr>
            <w:r>
              <w:rPr>
                <w:rFonts w:ascii="Arial" w:cs="Arial" w:eastAsia="Arial" w:hAnsi="Arial"/>
                <w:sz w:val="15"/>
                <w:szCs w:val="15"/>
                <w:color w:val="auto"/>
              </w:rPr>
              <w:t>Other securities(3)</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9"/>
        </w:trPr>
        <w:tc>
          <w:tcPr>
            <w:tcW w:w="3560" w:type="dxa"/>
            <w:vAlign w:val="bottom"/>
          </w:tcPr>
          <w:p>
            <w:pPr>
              <w:ind w:left="100"/>
              <w:spacing w:after="0"/>
              <w:rPr>
                <w:sz w:val="20"/>
                <w:szCs w:val="20"/>
                <w:color w:val="auto"/>
              </w:rPr>
            </w:pPr>
            <w:r>
              <w:rPr>
                <w:rFonts w:ascii="Arial" w:cs="Arial" w:eastAsia="Arial" w:hAnsi="Arial"/>
                <w:sz w:val="15"/>
                <w:szCs w:val="15"/>
                <w:color w:val="auto"/>
              </w:rPr>
              <w:t>Total debt securities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28</w:t>
            </w:r>
          </w:p>
        </w:tc>
        <w:tc>
          <w:tcPr>
            <w:tcW w:w="420" w:type="dxa"/>
            <w:vAlign w:val="bottom"/>
          </w:tcPr>
          <w:p>
            <w:pPr>
              <w:spacing w:after="0"/>
              <w:rPr>
                <w:sz w:val="19"/>
                <w:szCs w:val="19"/>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680" w:type="dxa"/>
            <w:vAlign w:val="bottom"/>
          </w:tcPr>
          <w:p>
            <w:pPr>
              <w:spacing w:after="0"/>
              <w:rPr>
                <w:sz w:val="19"/>
                <w:szCs w:val="19"/>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3"/>
        </w:trPr>
        <w:tc>
          <w:tcPr>
            <w:tcW w:w="3560" w:type="dxa"/>
            <w:vAlign w:val="bottom"/>
          </w:tcPr>
          <w:p>
            <w:pPr>
              <w:ind w:left="100"/>
              <w:spacing w:after="0"/>
              <w:rPr>
                <w:sz w:val="20"/>
                <w:szCs w:val="20"/>
                <w:color w:val="auto"/>
              </w:rPr>
            </w:pPr>
            <w:r>
              <w:rPr>
                <w:rFonts w:ascii="Arial" w:cs="Arial" w:eastAsia="Arial" w:hAnsi="Arial"/>
                <w:sz w:val="15"/>
                <w:szCs w:val="15"/>
                <w:color w:val="auto"/>
              </w:rPr>
              <w:t>Equity securities</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157</w:t>
            </w:r>
          </w:p>
        </w:tc>
        <w:tc>
          <w:tcPr>
            <w:tcW w:w="420" w:type="dxa"/>
            <w:vAlign w:val="bottom"/>
          </w:tcPr>
          <w:p>
            <w:pPr>
              <w:spacing w:after="0"/>
              <w:rPr>
                <w:sz w:val="16"/>
                <w:szCs w:val="16"/>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w:t>
            </w:r>
          </w:p>
        </w:tc>
        <w:tc>
          <w:tcPr>
            <w:tcW w:w="68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38"/>
        </w:trPr>
        <w:tc>
          <w:tcPr>
            <w:tcW w:w="356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available-for-sale securities</w:t>
            </w:r>
          </w:p>
        </w:tc>
        <w:tc>
          <w:tcPr>
            <w:tcW w:w="780" w:type="dxa"/>
            <w:vAlign w:val="bottom"/>
            <w:tcBorders>
              <w:bottom w:val="single" w:sz="8" w:color="auto"/>
            </w:tcBorders>
            <w:gridSpan w:val="2"/>
          </w:tcPr>
          <w:p>
            <w:pPr>
              <w:ind w:left="600"/>
              <w:spacing w:after="0" w:line="163"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rPr>
              <w:t>498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185</w:t>
            </w:r>
          </w:p>
        </w:tc>
        <w:tc>
          <w:tcPr>
            <w:tcW w:w="42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(8)</w:t>
            </w:r>
          </w:p>
        </w:tc>
        <w:tc>
          <w:tcPr>
            <w:tcW w:w="680" w:type="dxa"/>
            <w:vAlign w:val="bottom"/>
            <w:tcBorders>
              <w:bottom w:val="single" w:sz="8" w:color="auto"/>
            </w:tcBorders>
          </w:tcPr>
          <w:p>
            <w:pPr>
              <w:jc w:val="right"/>
              <w:ind w:right="22"/>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27"/>
        </w:trPr>
        <w:tc>
          <w:tcPr>
            <w:tcW w:w="3560" w:type="dxa"/>
            <w:vAlign w:val="bottom"/>
          </w:tcPr>
          <w:p>
            <w:pPr>
              <w:ind w:left="100"/>
              <w:spacing w:after="0"/>
              <w:rPr>
                <w:sz w:val="20"/>
                <w:szCs w:val="20"/>
                <w:color w:val="auto"/>
              </w:rPr>
            </w:pPr>
            <w:r>
              <w:rPr>
                <w:rFonts w:ascii="Arial" w:cs="Arial" w:eastAsia="Arial" w:hAnsi="Arial"/>
                <w:sz w:val="15"/>
                <w:szCs w:val="15"/>
                <w:b w:val="1"/>
                <w:bCs w:val="1"/>
                <w:color w:val="auto"/>
              </w:rPr>
              <w:t>As of December 31, 2009: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60" w:type="dxa"/>
            <w:vAlign w:val="bottom"/>
          </w:tcPr>
          <w:p>
            <w:pPr>
              <w:ind w:left="100"/>
              <w:spacing w:after="0"/>
              <w:rPr>
                <w:sz w:val="20"/>
                <w:szCs w:val="20"/>
                <w:color w:val="auto"/>
              </w:rPr>
            </w:pPr>
            <w:r>
              <w:rPr>
                <w:rFonts w:ascii="Arial" w:cs="Arial" w:eastAsia="Arial" w:hAnsi="Arial"/>
                <w:sz w:val="15"/>
                <w:szCs w:val="15"/>
                <w:color w:val="auto"/>
              </w:rPr>
              <w:t>Debt securities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40" w:type="dxa"/>
            <w:vAlign w:val="bottom"/>
            <w:gridSpan w:val="3"/>
          </w:tcPr>
          <w:p>
            <w:pPr>
              <w:ind w:left="260"/>
              <w:spacing w:after="0"/>
              <w:rPr>
                <w:sz w:val="20"/>
                <w:szCs w:val="20"/>
                <w:color w:val="auto"/>
              </w:rPr>
            </w:pPr>
            <w:r>
              <w:rPr>
                <w:rFonts w:ascii="Arial" w:cs="Arial" w:eastAsia="Arial" w:hAnsi="Arial"/>
                <w:sz w:val="15"/>
                <w:szCs w:val="15"/>
                <w:color w:val="auto"/>
              </w:rPr>
              <w:t>Debt securities issued by the U.S. Treasury and 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460"/>
              <w:spacing w:after="0"/>
              <w:rPr>
                <w:sz w:val="20"/>
                <w:szCs w:val="20"/>
                <w:color w:val="auto"/>
              </w:rPr>
            </w:pPr>
            <w:r>
              <w:rPr>
                <w:rFonts w:ascii="Arial" w:cs="Arial" w:eastAsia="Arial" w:hAnsi="Arial"/>
                <w:sz w:val="15"/>
                <w:szCs w:val="15"/>
                <w:color w:val="auto"/>
              </w:rPr>
              <w:t>U.S. government corporations and agencies</w:t>
            </w: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   141</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40" w:type="dxa"/>
            <w:vAlign w:val="bottom"/>
          </w:tcPr>
          <w:p>
            <w:pPr>
              <w:jc w:val="right"/>
              <w:ind w:right="47"/>
              <w:spacing w:after="0"/>
              <w:rPr>
                <w:sz w:val="20"/>
                <w:szCs w:val="20"/>
                <w:color w:val="auto"/>
              </w:rPr>
            </w:pPr>
            <w:r>
              <w:rPr>
                <w:rFonts w:ascii="Arial" w:cs="Arial" w:eastAsia="Arial" w:hAnsi="Arial"/>
                <w:sz w:val="15"/>
                <w:szCs w:val="15"/>
                <w:color w:val="auto"/>
              </w:rPr>
              <w:t>12</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2"/>
              <w:spacing w:after="0"/>
              <w:rPr>
                <w:sz w:val="20"/>
                <w:szCs w:val="20"/>
                <w:color w:val="auto"/>
              </w:rPr>
            </w:pPr>
            <w:r>
              <w:rPr>
                <w:rFonts w:ascii="Arial" w:cs="Arial" w:eastAsia="Arial" w:hAnsi="Arial"/>
                <w:sz w:val="15"/>
                <w:szCs w:val="15"/>
                <w:color w:val="auto"/>
              </w:rPr>
              <w:t>150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60" w:type="dxa"/>
            <w:vAlign w:val="bottom"/>
          </w:tcPr>
          <w:p>
            <w:pPr>
              <w:ind w:left="260"/>
              <w:spacing w:after="0"/>
              <w:rPr>
                <w:sz w:val="20"/>
                <w:szCs w:val="20"/>
                <w:color w:val="auto"/>
              </w:rPr>
            </w:pPr>
            <w:r>
              <w:rPr>
                <w:rFonts w:ascii="Arial" w:cs="Arial" w:eastAsia="Arial" w:hAnsi="Arial"/>
                <w:sz w:val="15"/>
                <w:szCs w:val="15"/>
                <w:color w:val="auto"/>
              </w:rPr>
              <w:t>Municipal bonds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3</w:t>
            </w:r>
          </w:p>
        </w:tc>
        <w:tc>
          <w:tcPr>
            <w:tcW w:w="420" w:type="dxa"/>
            <w:vAlign w:val="bottom"/>
          </w:tcPr>
          <w:p>
            <w:pPr>
              <w:spacing w:after="0"/>
              <w:rPr>
                <w:sz w:val="19"/>
                <w:szCs w:val="19"/>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680" w:type="dxa"/>
            <w:vAlign w:val="bottom"/>
          </w:tcPr>
          <w:p>
            <w:pPr>
              <w:spacing w:after="0"/>
              <w:rPr>
                <w:sz w:val="19"/>
                <w:szCs w:val="19"/>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12"/>
        </w:trPr>
        <w:tc>
          <w:tcPr>
            <w:tcW w:w="3560" w:type="dxa"/>
            <w:vAlign w:val="bottom"/>
          </w:tcPr>
          <w:p>
            <w:pPr>
              <w:ind w:left="260"/>
              <w:spacing w:after="0"/>
              <w:rPr>
                <w:sz w:val="20"/>
                <w:szCs w:val="20"/>
                <w:color w:val="auto"/>
              </w:rPr>
            </w:pPr>
            <w:r>
              <w:rPr>
                <w:rFonts w:ascii="Arial" w:cs="Arial" w:eastAsia="Arial" w:hAnsi="Arial"/>
                <w:sz w:val="15"/>
                <w:szCs w:val="15"/>
                <w:color w:val="auto"/>
              </w:rPr>
              <w:t>Other securities</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9"/>
        </w:trPr>
        <w:tc>
          <w:tcPr>
            <w:tcW w:w="3560" w:type="dxa"/>
            <w:vAlign w:val="bottom"/>
          </w:tcPr>
          <w:p>
            <w:pPr>
              <w:ind w:left="100"/>
              <w:spacing w:after="0"/>
              <w:rPr>
                <w:sz w:val="20"/>
                <w:szCs w:val="20"/>
                <w:color w:val="auto"/>
              </w:rPr>
            </w:pPr>
            <w:r>
              <w:rPr>
                <w:rFonts w:ascii="Arial" w:cs="Arial" w:eastAsia="Arial" w:hAnsi="Arial"/>
                <w:sz w:val="15"/>
                <w:szCs w:val="15"/>
                <w:color w:val="auto"/>
              </w:rPr>
              <w:t>Total debt securities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16</w:t>
            </w:r>
          </w:p>
        </w:tc>
        <w:tc>
          <w:tcPr>
            <w:tcW w:w="420" w:type="dxa"/>
            <w:vAlign w:val="bottom"/>
          </w:tcPr>
          <w:p>
            <w:pPr>
              <w:spacing w:after="0"/>
              <w:rPr>
                <w:sz w:val="19"/>
                <w:szCs w:val="19"/>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w:t>
            </w:r>
          </w:p>
        </w:tc>
        <w:tc>
          <w:tcPr>
            <w:tcW w:w="680" w:type="dxa"/>
            <w:vAlign w:val="bottom"/>
          </w:tcPr>
          <w:p>
            <w:pPr>
              <w:spacing w:after="0"/>
              <w:rPr>
                <w:sz w:val="19"/>
                <w:szCs w:val="19"/>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06"/>
        </w:trPr>
        <w:tc>
          <w:tcPr>
            <w:tcW w:w="3560" w:type="dxa"/>
            <w:vAlign w:val="bottom"/>
          </w:tcPr>
          <w:p>
            <w:pPr>
              <w:ind w:left="100"/>
              <w:spacing w:after="0"/>
              <w:rPr>
                <w:sz w:val="20"/>
                <w:szCs w:val="20"/>
                <w:color w:val="auto"/>
              </w:rPr>
            </w:pPr>
            <w:r>
              <w:rPr>
                <w:rFonts w:ascii="Arial" w:cs="Arial" w:eastAsia="Arial" w:hAnsi="Arial"/>
                <w:sz w:val="15"/>
                <w:szCs w:val="15"/>
                <w:color w:val="auto"/>
              </w:rPr>
              <w:t>Equity securities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188</w:t>
            </w:r>
          </w:p>
        </w:tc>
        <w:tc>
          <w:tcPr>
            <w:tcW w:w="4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w:t>
            </w:r>
          </w:p>
        </w:tc>
        <w:tc>
          <w:tcPr>
            <w:tcW w:w="68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225"/>
        </w:trPr>
        <w:tc>
          <w:tcPr>
            <w:tcW w:w="356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 available-for-sale securities</w:t>
            </w:r>
          </w:p>
        </w:tc>
        <w:tc>
          <w:tcPr>
            <w:tcW w:w="780" w:type="dxa"/>
            <w:vAlign w:val="bottom"/>
            <w:tcBorders>
              <w:bottom w:val="single" w:sz="8" w:color="auto"/>
            </w:tcBorders>
            <w:gridSpan w:val="2"/>
          </w:tcPr>
          <w:p>
            <w:pPr>
              <w:ind w:left="600"/>
              <w:spacing w:after="0" w:line="163"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rPr>
              <w:t>485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204</w:t>
            </w:r>
          </w:p>
        </w:tc>
        <w:tc>
          <w:tcPr>
            <w:tcW w:w="42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7"/>
              <w:spacing w:after="0" w:line="163" w:lineRule="exact"/>
              <w:rPr>
                <w:sz w:val="20"/>
                <w:szCs w:val="20"/>
                <w:color w:val="auto"/>
              </w:rPr>
            </w:pPr>
            <w:r>
              <w:rPr>
                <w:rFonts w:ascii="Arial" w:cs="Arial" w:eastAsia="Arial" w:hAnsi="Arial"/>
                <w:sz w:val="15"/>
                <w:szCs w:val="15"/>
                <w:color w:val="auto"/>
              </w:rPr>
              <w:t>(11)</w:t>
            </w:r>
          </w:p>
        </w:tc>
        <w:tc>
          <w:tcPr>
            <w:tcW w:w="680" w:type="dxa"/>
            <w:vAlign w:val="bottom"/>
            <w:tcBorders>
              <w:bottom w:val="single" w:sz="8" w:color="auto"/>
            </w:tcBorders>
          </w:tcPr>
          <w:p>
            <w:pPr>
              <w:jc w:val="right"/>
              <w:ind w:right="22"/>
              <w:spacing w:after="0" w:line="163"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61"/>
        </w:trPr>
        <w:tc>
          <w:tcPr>
            <w:tcW w:w="3560" w:type="dxa"/>
            <w:vAlign w:val="bottom"/>
          </w:tcPr>
          <w:p>
            <w:pPr>
              <w:ind w:left="1680"/>
              <w:spacing w:after="0"/>
              <w:rPr>
                <w:sz w:val="20"/>
                <w:szCs w:val="20"/>
                <w:color w:val="auto"/>
              </w:rPr>
            </w:pPr>
            <w:r>
              <w:rPr>
                <w:rFonts w:ascii="Arial" w:cs="Arial" w:eastAsia="Arial" w:hAnsi="Arial"/>
                <w:sz w:val="13"/>
                <w:szCs w:val="13"/>
                <w:i w:val="1"/>
                <w:iCs w:val="1"/>
                <w:color w:val="auto"/>
              </w:rPr>
              <w:t>(1)</w:t>
            </w:r>
          </w:p>
        </w:tc>
        <w:tc>
          <w:tcPr>
            <w:tcW w:w="1840" w:type="dxa"/>
            <w:vAlign w:val="bottom"/>
            <w:gridSpan w:val="4"/>
          </w:tcPr>
          <w:p>
            <w:pPr>
              <w:ind w:left="60"/>
              <w:spacing w:after="0"/>
              <w:rPr>
                <w:sz w:val="20"/>
                <w:szCs w:val="20"/>
                <w:color w:val="auto"/>
              </w:rPr>
            </w:pPr>
            <w:r>
              <w:rPr>
                <w:rFonts w:ascii="Arial" w:cs="Arial" w:eastAsia="Arial" w:hAnsi="Arial"/>
                <w:sz w:val="13"/>
                <w:szCs w:val="13"/>
                <w:i w:val="1"/>
                <w:iCs w:val="1"/>
                <w:color w:val="auto"/>
              </w:rPr>
              <w:t>Maturity dates are 2011-2039.</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1680"/>
              <w:spacing w:after="0"/>
              <w:rPr>
                <w:sz w:val="20"/>
                <w:szCs w:val="20"/>
                <w:color w:val="auto"/>
              </w:rPr>
            </w:pPr>
            <w:r>
              <w:rPr>
                <w:rFonts w:ascii="Arial" w:cs="Arial" w:eastAsia="Arial" w:hAnsi="Arial"/>
                <w:sz w:val="13"/>
                <w:szCs w:val="13"/>
                <w:i w:val="1"/>
                <w:iCs w:val="1"/>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i w:val="1"/>
                <w:iCs w:val="1"/>
                <w:color w:val="auto"/>
              </w:rPr>
              <w:t>Maturity dates are 2010-2057.</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680"/>
              <w:spacing w:after="0"/>
              <w:rPr>
                <w:sz w:val="20"/>
                <w:szCs w:val="20"/>
                <w:color w:val="auto"/>
              </w:rPr>
            </w:pPr>
            <w:r>
              <w:rPr>
                <w:rFonts w:ascii="Arial" w:cs="Arial" w:eastAsia="Arial" w:hAnsi="Arial"/>
                <w:sz w:val="13"/>
                <w:szCs w:val="13"/>
                <w:i w:val="1"/>
                <w:iCs w:val="1"/>
                <w:color w:val="auto"/>
              </w:rPr>
              <w:t>(3)</w:t>
            </w:r>
          </w:p>
        </w:tc>
        <w:tc>
          <w:tcPr>
            <w:tcW w:w="1840" w:type="dxa"/>
            <w:vAlign w:val="bottom"/>
            <w:gridSpan w:val="4"/>
          </w:tcPr>
          <w:p>
            <w:pPr>
              <w:ind w:left="60"/>
              <w:spacing w:after="0"/>
              <w:rPr>
                <w:sz w:val="20"/>
                <w:szCs w:val="20"/>
                <w:color w:val="auto"/>
              </w:rPr>
            </w:pPr>
            <w:r>
              <w:rPr>
                <w:rFonts w:ascii="Arial" w:cs="Arial" w:eastAsia="Arial" w:hAnsi="Arial"/>
                <w:sz w:val="13"/>
                <w:szCs w:val="13"/>
                <w:i w:val="1"/>
                <w:iCs w:val="1"/>
                <w:color w:val="auto"/>
              </w:rPr>
              <w:t>Maturity dates are 2010-2049.</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proceeds from sales of securities in the trusts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3355340" cy="294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5340" cy="294005"/>
                    </a:xfrm>
                    <a:prstGeom prst="rect">
                      <a:avLst/>
                    </a:prstGeom>
                    <a:noFill/>
                  </pic:spPr>
                </pic:pic>
              </a:graphicData>
            </a:graphic>
          </wp:anchor>
        </w:drawing>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SALES OF SECURITIES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6"/>
        </w:trPr>
        <w:tc>
          <w:tcPr>
            <w:tcW w:w="160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color w:val="auto"/>
              </w:rPr>
              <w:t>Three months ended June 30,</w:t>
            </w:r>
          </w:p>
        </w:tc>
        <w:tc>
          <w:tcPr>
            <w:tcW w:w="17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color w:val="auto"/>
              </w:rPr>
              <w:t>Six months ended June 30,</w:t>
            </w:r>
          </w:p>
        </w:tc>
      </w:tr>
      <w:tr>
        <w:trPr>
          <w:trHeight w:val="199"/>
        </w:trPr>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w w:val="96"/>
              </w:rPr>
              <w:t>2009</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2010</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2009</w:t>
            </w:r>
          </w:p>
        </w:tc>
      </w:tr>
      <w:tr>
        <w:trPr>
          <w:trHeight w:val="194"/>
        </w:trPr>
        <w:tc>
          <w:tcPr>
            <w:tcW w:w="1600" w:type="dxa"/>
            <w:vAlign w:val="bottom"/>
          </w:tcPr>
          <w:p>
            <w:pPr>
              <w:ind w:left="100"/>
              <w:spacing w:after="0"/>
              <w:rPr>
                <w:sz w:val="20"/>
                <w:szCs w:val="20"/>
                <w:color w:val="auto"/>
              </w:rPr>
            </w:pPr>
            <w:r>
              <w:rPr>
                <w:rFonts w:ascii="Arial" w:cs="Arial" w:eastAsia="Arial" w:hAnsi="Arial"/>
                <w:sz w:val="15"/>
                <w:szCs w:val="15"/>
                <w:color w:val="auto"/>
              </w:rPr>
              <w:t>Proceeds from sales</w:t>
            </w:r>
          </w:p>
        </w:tc>
        <w:tc>
          <w:tcPr>
            <w:tcW w:w="620" w:type="dxa"/>
            <w:vAlign w:val="bottom"/>
          </w:tcPr>
          <w:p>
            <w:pPr>
              <w:jc w:val="right"/>
              <w:ind w:right="312"/>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7"/>
              <w:spacing w:after="0"/>
              <w:rPr>
                <w:sz w:val="20"/>
                <w:szCs w:val="20"/>
                <w:color w:val="auto"/>
              </w:rPr>
            </w:pPr>
            <w:r>
              <w:rPr>
                <w:rFonts w:ascii="Arial" w:cs="Arial" w:eastAsia="Arial" w:hAnsi="Arial"/>
                <w:sz w:val="15"/>
                <w:szCs w:val="15"/>
                <w:color w:val="auto"/>
                <w:w w:val="87"/>
              </w:rPr>
              <w:t>110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9"/>
              <w:spacing w:after="0"/>
              <w:rPr>
                <w:sz w:val="20"/>
                <w:szCs w:val="20"/>
                <w:color w:val="auto"/>
              </w:rPr>
            </w:pPr>
            <w:r>
              <w:rPr>
                <w:rFonts w:ascii="Arial" w:cs="Arial" w:eastAsia="Arial" w:hAnsi="Arial"/>
                <w:sz w:val="15"/>
                <w:szCs w:val="15"/>
                <w:color w:val="auto"/>
              </w:rPr>
              <w:t>49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150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9"/>
              <w:spacing w:after="0"/>
              <w:rPr>
                <w:sz w:val="20"/>
                <w:szCs w:val="20"/>
                <w:color w:val="auto"/>
              </w:rPr>
            </w:pPr>
            <w:r>
              <w:rPr>
                <w:rFonts w:ascii="Arial" w:cs="Arial" w:eastAsia="Arial" w:hAnsi="Arial"/>
                <w:sz w:val="15"/>
                <w:szCs w:val="15"/>
                <w:color w:val="auto"/>
              </w:rPr>
              <w:t>88</w:t>
            </w:r>
          </w:p>
        </w:tc>
      </w:tr>
      <w:tr>
        <w:trPr>
          <w:trHeight w:val="219"/>
        </w:trPr>
        <w:tc>
          <w:tcPr>
            <w:tcW w:w="1600" w:type="dxa"/>
            <w:vAlign w:val="bottom"/>
          </w:tcPr>
          <w:p>
            <w:pPr>
              <w:ind w:left="100"/>
              <w:spacing w:after="0"/>
              <w:rPr>
                <w:sz w:val="20"/>
                <w:szCs w:val="20"/>
                <w:color w:val="auto"/>
              </w:rPr>
            </w:pPr>
            <w:r>
              <w:rPr>
                <w:rFonts w:ascii="Arial" w:cs="Arial" w:eastAsia="Arial" w:hAnsi="Arial"/>
                <w:sz w:val="15"/>
                <w:szCs w:val="15"/>
                <w:color w:val="auto"/>
              </w:rPr>
              <w:t>Gross realized gains</w:t>
            </w:r>
          </w:p>
        </w:tc>
        <w:tc>
          <w:tcPr>
            <w:tcW w:w="620" w:type="dxa"/>
            <w:vAlign w:val="bottom"/>
          </w:tcPr>
          <w:p>
            <w:pPr>
              <w:spacing w:after="0"/>
              <w:rPr>
                <w:sz w:val="19"/>
                <w:szCs w:val="19"/>
                <w:color w:val="auto"/>
              </w:rPr>
            </w:pPr>
          </w:p>
        </w:tc>
        <w:tc>
          <w:tcPr>
            <w:tcW w:w="420" w:type="dxa"/>
            <w:vAlign w:val="bottom"/>
          </w:tcPr>
          <w:p>
            <w:pPr>
              <w:jc w:val="right"/>
              <w:ind w:right="107"/>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640" w:type="dxa"/>
            <w:vAlign w:val="bottom"/>
          </w:tcPr>
          <w:p>
            <w:pPr>
              <w:jc w:val="right"/>
              <w:ind w:right="69"/>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620" w:type="dxa"/>
            <w:vAlign w:val="bottom"/>
          </w:tcPr>
          <w:p>
            <w:pPr>
              <w:jc w:val="right"/>
              <w:ind w:right="69"/>
              <w:spacing w:after="0"/>
              <w:rPr>
                <w:sz w:val="20"/>
                <w:szCs w:val="20"/>
                <w:color w:val="auto"/>
              </w:rPr>
            </w:pPr>
            <w:r>
              <w:rPr>
                <w:rFonts w:ascii="Arial" w:cs="Arial" w:eastAsia="Arial" w:hAnsi="Arial"/>
                <w:sz w:val="15"/>
                <w:szCs w:val="15"/>
                <w:color w:val="auto"/>
              </w:rPr>
              <w:t>4</w:t>
            </w:r>
          </w:p>
        </w:tc>
      </w:tr>
      <w:tr>
        <w:trPr>
          <w:trHeight w:val="228"/>
        </w:trPr>
        <w:tc>
          <w:tcPr>
            <w:tcW w:w="1600" w:type="dxa"/>
            <w:vAlign w:val="bottom"/>
          </w:tcPr>
          <w:p>
            <w:pPr>
              <w:ind w:left="100"/>
              <w:spacing w:after="0"/>
              <w:rPr>
                <w:sz w:val="20"/>
                <w:szCs w:val="20"/>
                <w:color w:val="auto"/>
              </w:rPr>
            </w:pPr>
            <w:r>
              <w:rPr>
                <w:rFonts w:ascii="Arial" w:cs="Arial" w:eastAsia="Arial" w:hAnsi="Arial"/>
                <w:sz w:val="15"/>
                <w:szCs w:val="15"/>
                <w:color w:val="auto"/>
              </w:rPr>
              <w:t>Gross realized losses</w:t>
            </w:r>
          </w:p>
        </w:tc>
        <w:tc>
          <w:tcPr>
            <w:tcW w:w="620" w:type="dxa"/>
            <w:vAlign w:val="bottom"/>
            <w:tcBorders>
              <w:bottom w:val="single" w:sz="8" w:color="C0C0C0"/>
            </w:tcBorders>
          </w:tcPr>
          <w:p>
            <w:pPr>
              <w:spacing w:after="0"/>
              <w:rPr>
                <w:sz w:val="19"/>
                <w:szCs w:val="19"/>
                <w:color w:val="auto"/>
              </w:rPr>
            </w:pPr>
          </w:p>
        </w:tc>
        <w:tc>
          <w:tcPr>
            <w:tcW w:w="420" w:type="dxa"/>
            <w:vAlign w:val="bottom"/>
            <w:tcBorders>
              <w:bottom w:val="single" w:sz="8" w:color="C0C0C0"/>
            </w:tcBorders>
          </w:tcPr>
          <w:p>
            <w:pPr>
              <w:jc w:val="right"/>
              <w:ind w:right="67"/>
              <w:spacing w:after="0"/>
              <w:rPr>
                <w:sz w:val="20"/>
                <w:szCs w:val="20"/>
                <w:color w:val="auto"/>
              </w:rPr>
            </w:pPr>
            <w:r>
              <w:rPr>
                <w:rFonts w:ascii="Arial" w:cs="Arial" w:eastAsia="Arial" w:hAnsi="Arial"/>
                <w:sz w:val="15"/>
                <w:szCs w:val="15"/>
                <w:color w:val="auto"/>
              </w:rPr>
              <w:t>(5)</w:t>
            </w:r>
          </w:p>
        </w:tc>
        <w:tc>
          <w:tcPr>
            <w:tcW w:w="240" w:type="dxa"/>
            <w:vAlign w:val="bottom"/>
            <w:tcBorders>
              <w:bottom w:val="single" w:sz="8" w:color="C0C0C0"/>
            </w:tcBorders>
          </w:tcPr>
          <w:p>
            <w:pPr>
              <w:spacing w:after="0"/>
              <w:rPr>
                <w:sz w:val="19"/>
                <w:szCs w:val="19"/>
                <w:color w:val="auto"/>
              </w:rPr>
            </w:pPr>
          </w:p>
        </w:tc>
        <w:tc>
          <w:tcPr>
            <w:tcW w:w="64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C0C0C0"/>
            </w:tcBorders>
          </w:tcPr>
          <w:p>
            <w:pPr>
              <w:spacing w:after="0"/>
              <w:rPr>
                <w:sz w:val="19"/>
                <w:szCs w:val="19"/>
                <w:color w:val="auto"/>
              </w:rPr>
            </w:pPr>
          </w:p>
        </w:tc>
        <w:tc>
          <w:tcPr>
            <w:tcW w:w="66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(7)</w:t>
            </w:r>
          </w:p>
        </w:tc>
        <w:tc>
          <w:tcPr>
            <w:tcW w:w="220" w:type="dxa"/>
            <w:vAlign w:val="bottom"/>
            <w:tcBorders>
              <w:bottom w:val="single" w:sz="8" w:color="C0C0C0"/>
            </w:tcBorders>
          </w:tcPr>
          <w:p>
            <w:pPr>
              <w:spacing w:after="0"/>
              <w:rPr>
                <w:sz w:val="19"/>
                <w:szCs w:val="19"/>
                <w:color w:val="auto"/>
              </w:rPr>
            </w:pPr>
          </w:p>
        </w:tc>
        <w:tc>
          <w:tcPr>
            <w:tcW w:w="620" w:type="dxa"/>
            <w:vAlign w:val="bottom"/>
            <w:tcBorders>
              <w:bottom w:val="single" w:sz="8" w:color="C0C0C0"/>
            </w:tcBorders>
          </w:tcPr>
          <w:p>
            <w:pPr>
              <w:jc w:val="right"/>
              <w:ind w:right="29"/>
              <w:spacing w:after="0"/>
              <w:rPr>
                <w:sz w:val="20"/>
                <w:szCs w:val="20"/>
                <w:color w:val="auto"/>
              </w:rPr>
            </w:pPr>
            <w:r>
              <w:rPr>
                <w:rFonts w:ascii="Arial" w:cs="Arial" w:eastAsia="Arial" w:hAnsi="Arial"/>
                <w:sz w:val="15"/>
                <w:szCs w:val="15"/>
                <w:color w:val="auto"/>
              </w:rPr>
              <w:t>(24)</w:t>
            </w:r>
          </w:p>
        </w:tc>
      </w:tr>
    </w:tbl>
    <w:p>
      <w:pPr>
        <w:spacing w:after="0" w:line="210"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64"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fair value of securities in an unrealized loss position as of June 30, 2010 was $80 million. The unrealized losses of $8 million were primarily caused by a negative market environment in early 2009. We do not consider these investments to be other than temporarily impaired as of June 30, 2010.</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Positions Net of Cash Collateral</w:t>
      </w:r>
    </w:p>
    <w:p>
      <w:pPr>
        <w:spacing w:after="0" w:line="60" w:lineRule="exact"/>
        <w:rPr>
          <w:sz w:val="20"/>
          <w:szCs w:val="20"/>
          <w:color w:val="auto"/>
        </w:rPr>
      </w:pPr>
    </w:p>
    <w:p>
      <w:pPr>
        <w:ind w:right="620"/>
        <w:spacing w:after="0" w:line="276" w:lineRule="auto"/>
        <w:rPr>
          <w:sz w:val="20"/>
          <w:szCs w:val="20"/>
          <w:color w:val="auto"/>
        </w:rPr>
      </w:pPr>
      <w:r>
        <w:rPr>
          <w:rFonts w:ascii="Arial" w:cs="Arial" w:eastAsia="Arial" w:hAnsi="Arial"/>
          <w:sz w:val="16"/>
          <w:szCs w:val="16"/>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amount of fair value of cash collateral receivables that were not offset in the Condensed Consolidated Bal ance Sheets as of June 30, 2010 and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720" w:type="dxa"/>
            <w:vAlign w:val="bottom"/>
          </w:tcPr>
          <w:p>
            <w:pPr>
              <w:jc w:val="right"/>
              <w:ind w:right="25"/>
              <w:spacing w:after="0"/>
              <w:rPr>
                <w:sz w:val="20"/>
                <w:szCs w:val="20"/>
                <w:color w:val="auto"/>
              </w:rPr>
            </w:pPr>
            <w:r>
              <w:rPr>
                <w:rFonts w:ascii="Arial" w:cs="Arial" w:eastAsia="Arial" w:hAnsi="Arial"/>
                <w:sz w:val="13"/>
                <w:szCs w:val="13"/>
                <w:color w:val="auto"/>
              </w:rPr>
              <w:t>June 30,</w:t>
            </w:r>
          </w:p>
        </w:tc>
        <w:tc>
          <w:tcPr>
            <w:tcW w:w="1020" w:type="dxa"/>
            <w:vAlign w:val="bottom"/>
            <w:gridSpan w:val="2"/>
          </w:tcPr>
          <w:p>
            <w:pPr>
              <w:jc w:val="right"/>
              <w:ind w:right="29"/>
              <w:spacing w:after="0"/>
              <w:rPr>
                <w:sz w:val="20"/>
                <w:szCs w:val="20"/>
                <w:color w:val="auto"/>
              </w:rPr>
            </w:pPr>
            <w:r>
              <w:rPr>
                <w:rFonts w:ascii="Arial" w:cs="Arial" w:eastAsia="Arial" w:hAnsi="Arial"/>
                <w:sz w:val="13"/>
                <w:szCs w:val="13"/>
                <w:color w:val="auto"/>
              </w:rPr>
              <w:t>December 31,</w:t>
            </w:r>
          </w:p>
        </w:tc>
      </w:tr>
      <w:tr>
        <w:trPr>
          <w:trHeight w:val="157"/>
        </w:trPr>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color w:val="auto"/>
              </w:rPr>
              <w:t>2010</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2009</w:t>
            </w:r>
          </w:p>
        </w:tc>
      </w:tr>
      <w:tr>
        <w:trPr>
          <w:trHeight w:val="240"/>
        </w:trPr>
        <w:tc>
          <w:tcPr>
            <w:tcW w:w="2100" w:type="dxa"/>
            <w:vAlign w:val="bottom"/>
          </w:tcPr>
          <w:p>
            <w:pPr>
              <w:ind w:left="100"/>
              <w:spacing w:after="0"/>
              <w:rPr>
                <w:sz w:val="20"/>
                <w:szCs w:val="20"/>
                <w:color w:val="auto"/>
              </w:rPr>
            </w:pPr>
            <w:r>
              <w:rPr>
                <w:rFonts w:ascii="Arial" w:cs="Arial" w:eastAsia="Arial" w:hAnsi="Arial"/>
                <w:sz w:val="15"/>
                <w:szCs w:val="15"/>
                <w:color w:val="auto"/>
              </w:rPr>
              <w:t>Sempra Energy Consolidated</w:t>
            </w:r>
          </w:p>
        </w:tc>
        <w:tc>
          <w:tcPr>
            <w:tcW w:w="720" w:type="dxa"/>
            <w:vAlign w:val="bottom"/>
          </w:tcPr>
          <w:p>
            <w:pPr>
              <w:jc w:val="right"/>
              <w:ind w:right="45"/>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4"/>
                <w:szCs w:val="14"/>
                <w:color w:val="auto"/>
              </w:rPr>
              <w:t>30</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36</w:t>
            </w:r>
          </w:p>
        </w:tc>
      </w:tr>
      <w:tr>
        <w:trPr>
          <w:trHeight w:val="198"/>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24</w:t>
            </w:r>
          </w:p>
        </w:tc>
        <w:tc>
          <w:tcPr>
            <w:tcW w:w="320" w:type="dxa"/>
            <w:vAlign w:val="bottom"/>
          </w:tcPr>
          <w:p>
            <w:pPr>
              <w:spacing w:after="0"/>
              <w:rPr>
                <w:sz w:val="17"/>
                <w:szCs w:val="17"/>
                <w:color w:val="auto"/>
              </w:rPr>
            </w:pP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30</w:t>
            </w:r>
          </w:p>
        </w:tc>
      </w:tr>
      <w:tr>
        <w:trPr>
          <w:trHeight w:val="228"/>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720" w:type="dxa"/>
            <w:vAlign w:val="bottom"/>
            <w:tcBorders>
              <w:bottom w:val="single" w:sz="8" w:color="C0C0C0"/>
            </w:tcBorders>
          </w:tcPr>
          <w:p>
            <w:pPr>
              <w:jc w:val="right"/>
              <w:ind w:right="45"/>
              <w:spacing w:after="0"/>
              <w:rPr>
                <w:sz w:val="20"/>
                <w:szCs w:val="20"/>
                <w:color w:val="auto"/>
              </w:rPr>
            </w:pPr>
            <w:r>
              <w:rPr>
                <w:rFonts w:ascii="Arial" w:cs="Arial" w:eastAsia="Arial" w:hAnsi="Arial"/>
                <w:sz w:val="15"/>
                <w:szCs w:val="15"/>
                <w:color w:val="auto"/>
              </w:rPr>
              <w:t>5</w:t>
            </w:r>
          </w:p>
        </w:tc>
        <w:tc>
          <w:tcPr>
            <w:tcW w:w="320" w:type="dxa"/>
            <w:vAlign w:val="bottom"/>
            <w:tcBorders>
              <w:bottom w:val="single" w:sz="8" w:color="C0C0C0"/>
            </w:tcBorders>
          </w:tcPr>
          <w:p>
            <w:pPr>
              <w:spacing w:after="0"/>
              <w:rPr>
                <w:sz w:val="19"/>
                <w:szCs w:val="19"/>
                <w:color w:val="auto"/>
              </w:rPr>
            </w:pPr>
          </w:p>
        </w:tc>
        <w:tc>
          <w:tcPr>
            <w:tcW w:w="70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5</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Hierarchy</w:t>
      </w:r>
    </w:p>
    <w:p>
      <w:pPr>
        <w:spacing w:after="0" w:line="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six months ended June 30, 2010.</w:t>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three tables below, by level within the fair value hierarchy, set forth our financial assets and liabilities that were accounted for at fair value on a recurring basis as of June 30, 2010 and December 31, 2009.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76"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auto"/>
        </w:rPr>
        <w:t>The fair value of commodity derivative assets and liabilities is determined in accordance with our netting policy, as discussed above under "Derivative Positions Net of Cash Collateral."</w:t>
      </w:r>
    </w:p>
    <w:p>
      <w:pPr>
        <w:spacing w:after="0" w:line="64"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The determination of fair values, shown in the tables below, incorporates various factors, including but not limited to, the credit standin g of the counterparties involved and the impact of credit enhancements (such as cash deposits, letters of credit and priority interests).</w:t>
      </w:r>
    </w:p>
    <w:p>
      <w:pPr>
        <w:spacing w:after="0" w:line="64"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We discuss our financial assets and liabilities that were accounted for at fair value on a recurring basis further in Note 12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463550</wp:posOffset>
            </wp:positionV>
            <wp:extent cx="5397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97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602615</wp:posOffset>
            </wp:positionV>
            <wp:extent cx="5937885" cy="379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37885"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RECURRING FAIR VALUE MEASURES -- SEMPRA ENERGY CONSOLIDATED</w:t>
      </w:r>
    </w:p>
    <w:p>
      <w:pPr>
        <w:sectPr>
          <w:pgSz w:w="11900" w:h="16838" w:orient="portrait"/>
          <w:cols w:equalWidth="0" w:num="1">
            <w:col w:w="11420"/>
          </w:cols>
          <w:pgMar w:left="240" w:top="71" w:right="239" w:bottom="0" w:gutter="0" w:footer="0" w:header="0"/>
        </w:sectPr>
      </w:pPr>
    </w:p>
    <w:p>
      <w:pPr>
        <w:spacing w:after="0" w:line="19"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(Dollars in millions)</w:t>
      </w:r>
    </w:p>
    <w:p>
      <w:pPr>
        <w:sectPr>
          <w:pgSz w:w="11900" w:h="16838" w:orient="portrait"/>
          <w:cols w:equalWidth="0" w:num="1">
            <w:col w:w="11420"/>
          </w:cols>
          <w:pgMar w:left="240" w:top="71" w:right="239" w:bottom="0" w:gutter="0" w:footer="0" w:header="0"/>
          <w:type w:val="continuous"/>
        </w:sectPr>
      </w:pPr>
    </w:p>
    <w:bookmarkStart w:id="30" w:name="page31"/>
    <w:bookmarkEnd w:id="30"/>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color w:val="auto"/>
              </w:rPr>
              <w:t>At fair value as of June 30, 2010</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rPr>
              <w:t>Level</w:t>
            </w:r>
          </w:p>
        </w:tc>
        <w:tc>
          <w:tcPr>
            <w:tcW w:w="520" w:type="dxa"/>
            <w:vAlign w:val="bottom"/>
          </w:tcPr>
          <w:p>
            <w:pPr>
              <w:spacing w:after="0"/>
              <w:rPr>
                <w:sz w:val="19"/>
                <w:szCs w:val="19"/>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Level</w:t>
            </w: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3"/>
                <w:szCs w:val="13"/>
                <w:color w:val="auto"/>
              </w:rPr>
              <w:t>Collateral</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rPr>
              <w:t>1</w:t>
            </w: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ind w:right="1002"/>
              <w:spacing w:after="0" w:line="142" w:lineRule="exact"/>
              <w:rPr>
                <w:sz w:val="20"/>
                <w:szCs w:val="20"/>
                <w:color w:val="auto"/>
              </w:rPr>
            </w:pPr>
            <w:r>
              <w:rPr>
                <w:rFonts w:ascii="Arial" w:cs="Arial" w:eastAsia="Arial" w:hAnsi="Arial"/>
                <w:sz w:val="13"/>
                <w:szCs w:val="13"/>
                <w:color w:val="auto"/>
              </w:rPr>
              <w:t>Level 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3"/>
                <w:szCs w:val="13"/>
                <w:color w:val="auto"/>
              </w:rPr>
              <w:t>netted</w:t>
            </w: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9"/>
        </w:trPr>
        <w:tc>
          <w:tcPr>
            <w:tcW w:w="2780" w:type="dxa"/>
            <w:vAlign w:val="bottom"/>
          </w:tcPr>
          <w:p>
            <w:pPr>
              <w:ind w:left="100"/>
              <w:spacing w:after="0"/>
              <w:rPr>
                <w:sz w:val="20"/>
                <w:szCs w:val="20"/>
                <w:color w:val="auto"/>
              </w:rPr>
            </w:pPr>
            <w:r>
              <w:rPr>
                <w:rFonts w:ascii="Arial" w:cs="Arial" w:eastAsia="Arial" w:hAnsi="Arial"/>
                <w:sz w:val="15"/>
                <w:szCs w:val="15"/>
                <w:color w:val="auto"/>
              </w:rPr>
              <w:t>Assets: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Nuclear decommissioning trusts(1)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780" w:type="dxa"/>
            <w:vAlign w:val="bottom"/>
          </w:tcPr>
          <w:p>
            <w:pPr>
              <w:ind w:left="500"/>
              <w:spacing w:after="0"/>
              <w:rPr>
                <w:sz w:val="20"/>
                <w:szCs w:val="20"/>
                <w:color w:val="auto"/>
              </w:rPr>
            </w:pPr>
            <w:r>
              <w:rPr>
                <w:rFonts w:ascii="Arial" w:cs="Arial" w:eastAsia="Arial" w:hAnsi="Arial"/>
                <w:sz w:val="15"/>
                <w:szCs w:val="15"/>
                <w:color w:val="auto"/>
              </w:rPr>
              <w:t>Equity securities</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368</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13"/>
        </w:trPr>
        <w:tc>
          <w:tcPr>
            <w:tcW w:w="278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660"/>
              <w:spacing w:after="0" w:line="171" w:lineRule="exact"/>
              <w:rPr>
                <w:sz w:val="20"/>
                <w:szCs w:val="20"/>
                <w:color w:val="auto"/>
              </w:rPr>
            </w:pPr>
            <w:r>
              <w:rPr>
                <w:rFonts w:ascii="Arial" w:cs="Arial" w:eastAsia="Arial" w:hAnsi="Arial"/>
                <w:sz w:val="15"/>
                <w:szCs w:val="15"/>
                <w:color w:val="auto"/>
              </w:rPr>
              <w:t>Debt securities issued by the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00"/>
              <w:spacing w:after="0" w:line="171" w:lineRule="exact"/>
              <w:rPr>
                <w:sz w:val="20"/>
                <w:szCs w:val="20"/>
                <w:color w:val="auto"/>
              </w:rPr>
            </w:pPr>
            <w:r>
              <w:rPr>
                <w:rFonts w:ascii="Arial" w:cs="Arial" w:eastAsia="Arial" w:hAnsi="Arial"/>
                <w:sz w:val="15"/>
                <w:szCs w:val="15"/>
                <w:color w:val="auto"/>
              </w:rPr>
              <w:t>U.S. Treasury and other</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860"/>
              <w:spacing w:after="0" w:line="171" w:lineRule="exact"/>
              <w:rPr>
                <w:sz w:val="20"/>
                <w:szCs w:val="20"/>
                <w:color w:val="auto"/>
              </w:rPr>
            </w:pPr>
            <w:r>
              <w:rPr>
                <w:rFonts w:ascii="Arial" w:cs="Arial" w:eastAsia="Arial" w:hAnsi="Arial"/>
                <w:sz w:val="15"/>
                <w:szCs w:val="15"/>
                <w:color w:val="auto"/>
              </w:rPr>
              <w:t>U.S. government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00"/>
              <w:spacing w:after="0" w:line="171" w:lineRule="exact"/>
              <w:rPr>
                <w:sz w:val="20"/>
                <w:szCs w:val="20"/>
                <w:color w:val="auto"/>
              </w:rPr>
            </w:pPr>
            <w:r>
              <w:rPr>
                <w:rFonts w:ascii="Arial" w:cs="Arial" w:eastAsia="Arial" w:hAnsi="Arial"/>
                <w:sz w:val="15"/>
                <w:szCs w:val="15"/>
                <w:color w:val="auto"/>
              </w:rPr>
              <w:t>corporations and agencies</w:t>
            </w:r>
          </w:p>
        </w:tc>
        <w:tc>
          <w:tcPr>
            <w:tcW w:w="260" w:type="dxa"/>
            <w:vAlign w:val="bottom"/>
          </w:tcPr>
          <w:p>
            <w:pPr>
              <w:spacing w:after="0"/>
              <w:rPr>
                <w:sz w:val="14"/>
                <w:szCs w:val="14"/>
                <w:color w:val="auto"/>
              </w:rPr>
            </w:pPr>
          </w:p>
        </w:tc>
        <w:tc>
          <w:tcPr>
            <w:tcW w:w="520" w:type="dxa"/>
            <w:vAlign w:val="bottom"/>
          </w:tcPr>
          <w:p>
            <w:pPr>
              <w:jc w:val="right"/>
              <w:ind w:right="49"/>
              <w:spacing w:after="0" w:line="171" w:lineRule="exact"/>
              <w:rPr>
                <w:sz w:val="20"/>
                <w:szCs w:val="20"/>
                <w:color w:val="auto"/>
              </w:rPr>
            </w:pPr>
            <w:r>
              <w:rPr>
                <w:rFonts w:ascii="Arial" w:cs="Arial" w:eastAsia="Arial" w:hAnsi="Arial"/>
                <w:sz w:val="15"/>
                <w:szCs w:val="15"/>
                <w:color w:val="auto"/>
              </w:rPr>
              <w:t>148</w:t>
            </w:r>
          </w:p>
        </w:tc>
        <w:tc>
          <w:tcPr>
            <w:tcW w:w="520" w:type="dxa"/>
            <w:vAlign w:val="bottom"/>
          </w:tcPr>
          <w:p>
            <w:pPr>
              <w:spacing w:after="0"/>
              <w:rPr>
                <w:sz w:val="14"/>
                <w:szCs w:val="14"/>
                <w:color w:val="auto"/>
              </w:rPr>
            </w:pPr>
          </w:p>
        </w:tc>
        <w:tc>
          <w:tcPr>
            <w:tcW w:w="560" w:type="dxa"/>
            <w:vAlign w:val="bottom"/>
          </w:tcPr>
          <w:p>
            <w:pPr>
              <w:jc w:val="right"/>
              <w:ind w:right="66"/>
              <w:spacing w:after="0" w:line="171" w:lineRule="exact"/>
              <w:rPr>
                <w:sz w:val="20"/>
                <w:szCs w:val="20"/>
                <w:color w:val="auto"/>
              </w:rPr>
            </w:pPr>
            <w:r>
              <w:rPr>
                <w:rFonts w:ascii="Arial" w:cs="Arial" w:eastAsia="Arial" w:hAnsi="Arial"/>
                <w:sz w:val="15"/>
                <w:szCs w:val="15"/>
                <w:color w:val="auto"/>
              </w:rPr>
              <w:t>34</w:t>
            </w:r>
          </w:p>
        </w:tc>
        <w:tc>
          <w:tcPr>
            <w:tcW w:w="280" w:type="dxa"/>
            <w:vAlign w:val="bottom"/>
          </w:tcPr>
          <w:p>
            <w:pPr>
              <w:spacing w:after="0"/>
              <w:rPr>
                <w:sz w:val="14"/>
                <w:szCs w:val="14"/>
                <w:color w:val="auto"/>
              </w:rPr>
            </w:pPr>
          </w:p>
        </w:tc>
        <w:tc>
          <w:tcPr>
            <w:tcW w:w="2280" w:type="dxa"/>
            <w:vAlign w:val="bottom"/>
          </w:tcPr>
          <w:p>
            <w:pPr>
              <w:jc w:val="right"/>
              <w:ind w:right="402"/>
              <w:spacing w:after="0" w:line="171"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8"/>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48"/>
              <w:spacing w:after="0" w:line="171"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8"/>
              <w:spacing w:after="0" w:line="171" w:lineRule="exact"/>
              <w:rPr>
                <w:sz w:val="20"/>
                <w:szCs w:val="20"/>
                <w:color w:val="auto"/>
              </w:rPr>
            </w:pPr>
            <w:r>
              <w:rPr>
                <w:rFonts w:ascii="Arial" w:cs="Arial" w:eastAsia="Arial" w:hAnsi="Arial"/>
                <w:sz w:val="15"/>
                <w:szCs w:val="15"/>
                <w:color w:val="auto"/>
              </w:rPr>
              <w:t>&amp;nb</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660"/>
              <w:spacing w:after="0"/>
              <w:rPr>
                <w:sz w:val="20"/>
                <w:szCs w:val="20"/>
                <w:color w:val="auto"/>
              </w:rPr>
            </w:pPr>
            <w:r>
              <w:rPr>
                <w:rFonts w:ascii="Arial" w:cs="Arial" w:eastAsia="Arial" w:hAnsi="Arial"/>
                <w:sz w:val="15"/>
                <w:szCs w:val="15"/>
                <w:color w:val="auto"/>
              </w:rPr>
              <w:t>Municipal bonds</w:t>
            </w:r>
          </w:p>
        </w:tc>
        <w:tc>
          <w:tcPr>
            <w:tcW w:w="26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82</w:t>
            </w:r>
          </w:p>
        </w:tc>
        <w:tc>
          <w:tcPr>
            <w:tcW w:w="280" w:type="dxa"/>
            <w:vAlign w:val="bottom"/>
          </w:tcPr>
          <w:p>
            <w:pPr>
              <w:spacing w:after="0"/>
              <w:rPr>
                <w:sz w:val="15"/>
                <w:szCs w:val="15"/>
                <w:color w:val="auto"/>
              </w:rPr>
            </w:pPr>
          </w:p>
        </w:tc>
        <w:tc>
          <w:tcPr>
            <w:tcW w:w="2280" w:type="dxa"/>
            <w:vAlign w:val="bottom"/>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5"/>
                <w:szCs w:val="15"/>
                <w:color w:val="auto"/>
              </w:rPr>
              <w:t>sp;-</w:t>
            </w:r>
          </w:p>
        </w:tc>
        <w:tc>
          <w:tcPr>
            <w:tcW w:w="5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2"/>
        </w:trPr>
        <w:tc>
          <w:tcPr>
            <w:tcW w:w="2780" w:type="dxa"/>
            <w:vAlign w:val="bottom"/>
          </w:tcPr>
          <w:p>
            <w:pPr>
              <w:ind w:left="600"/>
              <w:spacing w:after="0"/>
              <w:rPr>
                <w:sz w:val="20"/>
                <w:szCs w:val="20"/>
                <w:color w:val="auto"/>
              </w:rPr>
            </w:pPr>
            <w:r>
              <w:rPr>
                <w:rFonts w:ascii="Arial" w:cs="Arial" w:eastAsia="Arial" w:hAnsi="Arial"/>
                <w:sz w:val="15"/>
                <w:szCs w:val="15"/>
                <w:color w:val="auto"/>
              </w:rPr>
              <w:t>Other securities</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29</w:t>
            </w: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1"/>
        </w:trPr>
        <w:tc>
          <w:tcPr>
            <w:tcW w:w="2780" w:type="dxa"/>
            <w:vAlign w:val="bottom"/>
          </w:tcPr>
          <w:p>
            <w:pPr>
              <w:ind w:left="500"/>
              <w:spacing w:after="0"/>
              <w:rPr>
                <w:sz w:val="20"/>
                <w:szCs w:val="20"/>
                <w:color w:val="auto"/>
              </w:rPr>
            </w:pPr>
            <w:r>
              <w:rPr>
                <w:rFonts w:ascii="Arial" w:cs="Arial" w:eastAsia="Arial" w:hAnsi="Arial"/>
                <w:sz w:val="15"/>
                <w:szCs w:val="15"/>
                <w:color w:val="auto"/>
              </w:rPr>
              <w:t>Total debt securities</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148</w:t>
            </w:r>
          </w:p>
        </w:tc>
        <w:tc>
          <w:tcPr>
            <w:tcW w:w="520" w:type="dxa"/>
            <w:vAlign w:val="bottom"/>
            <w:tcBorders>
              <w:bottom w:val="single" w:sz="8" w:color="auto"/>
            </w:tcBorders>
          </w:tcPr>
          <w:p>
            <w:pPr>
              <w:spacing w:after="0"/>
              <w:rPr>
                <w:sz w:val="18"/>
                <w:szCs w:val="18"/>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52"/>
        </w:trPr>
        <w:tc>
          <w:tcPr>
            <w:tcW w:w="2780" w:type="dxa"/>
            <w:vAlign w:val="bottom"/>
          </w:tcPr>
          <w:p>
            <w:pPr>
              <w:ind w:left="260"/>
              <w:spacing w:after="0" w:line="152" w:lineRule="exact"/>
              <w:rPr>
                <w:sz w:val="20"/>
                <w:szCs w:val="20"/>
                <w:color w:val="auto"/>
              </w:rPr>
            </w:pPr>
            <w:r>
              <w:rPr>
                <w:rFonts w:ascii="Arial" w:cs="Arial" w:eastAsia="Arial" w:hAnsi="Arial"/>
                <w:sz w:val="15"/>
                <w:szCs w:val="15"/>
                <w:color w:val="auto"/>
              </w:rPr>
              <w:t>Total nuclear decommissioning</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100"/>
              <w:spacing w:after="0" w:line="169" w:lineRule="exact"/>
              <w:rPr>
                <w:sz w:val="20"/>
                <w:szCs w:val="20"/>
                <w:color w:val="auto"/>
              </w:rPr>
            </w:pPr>
            <w:r>
              <w:rPr>
                <w:rFonts w:ascii="Arial" w:cs="Arial" w:eastAsia="Arial" w:hAnsi="Arial"/>
                <w:sz w:val="15"/>
                <w:szCs w:val="15"/>
                <w:color w:val="auto"/>
              </w:rPr>
              <w:t>trusts(1)</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9"/>
              <w:spacing w:after="0" w:line="169" w:lineRule="exact"/>
              <w:rPr>
                <w:sz w:val="20"/>
                <w:szCs w:val="20"/>
                <w:color w:val="auto"/>
              </w:rPr>
            </w:pPr>
            <w:r>
              <w:rPr>
                <w:rFonts w:ascii="Arial" w:cs="Arial" w:eastAsia="Arial" w:hAnsi="Arial"/>
                <w:sz w:val="15"/>
                <w:szCs w:val="15"/>
                <w:color w:val="auto"/>
              </w:rPr>
              <w:t>516</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402"/>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line="169" w:lineRule="exact"/>
              <w:rPr>
                <w:sz w:val="20"/>
                <w:szCs w:val="20"/>
                <w:color w:val="auto"/>
              </w:rPr>
            </w:pPr>
            <w:r>
              <w:rPr>
                <w:rFonts w:ascii="Arial" w:cs="Arial" w:eastAsia="Arial" w:hAnsi="Arial"/>
                <w:sz w:val="15"/>
                <w:szCs w:val="15"/>
                <w:color w:val="auto"/>
              </w:rPr>
              <w:t>661</w:t>
            </w:r>
          </w:p>
        </w:tc>
        <w:tc>
          <w:tcPr>
            <w:tcW w:w="0" w:type="dxa"/>
            <w:vAlign w:val="bottom"/>
          </w:tcPr>
          <w:p>
            <w:pPr>
              <w:spacing w:after="0"/>
              <w:rPr>
                <w:sz w:val="1"/>
                <w:szCs w:val="1"/>
                <w:color w:val="auto"/>
              </w:rPr>
            </w:pPr>
          </w:p>
        </w:tc>
      </w:tr>
      <w:tr>
        <w:trPr>
          <w:trHeight w:val="213"/>
        </w:trPr>
        <w:tc>
          <w:tcPr>
            <w:tcW w:w="2780" w:type="dxa"/>
            <w:vAlign w:val="bottom"/>
          </w:tcPr>
          <w:p>
            <w:pPr>
              <w:ind w:left="260"/>
              <w:spacing w:after="0"/>
              <w:rPr>
                <w:sz w:val="20"/>
                <w:szCs w:val="20"/>
                <w:color w:val="auto"/>
              </w:rPr>
            </w:pPr>
            <w:r>
              <w:rPr>
                <w:rFonts w:ascii="Arial" w:cs="Arial" w:eastAsia="Arial" w:hAnsi="Arial"/>
                <w:sz w:val="15"/>
                <w:szCs w:val="15"/>
                <w:color w:val="auto"/>
              </w:rPr>
              <w:t>Interest rate instruments</w:t>
            </w:r>
          </w:p>
        </w:tc>
        <w:tc>
          <w:tcPr>
            <w:tcW w:w="260" w:type="dxa"/>
            <w:vAlign w:val="bottom"/>
          </w:tcPr>
          <w:p>
            <w:pPr>
              <w:spacing w:after="0"/>
              <w:rPr>
                <w:sz w:val="18"/>
                <w:szCs w:val="18"/>
                <w:color w:val="auto"/>
              </w:rPr>
            </w:pPr>
          </w:p>
        </w:tc>
        <w:tc>
          <w:tcPr>
            <w:tcW w:w="52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8"/>
                <w:szCs w:val="18"/>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44</w:t>
            </w:r>
          </w:p>
        </w:tc>
        <w:tc>
          <w:tcPr>
            <w:tcW w:w="280" w:type="dxa"/>
            <w:vAlign w:val="bottom"/>
          </w:tcPr>
          <w:p>
            <w:pPr>
              <w:spacing w:after="0"/>
              <w:rPr>
                <w:sz w:val="18"/>
                <w:szCs w:val="18"/>
                <w:color w:val="auto"/>
              </w:rPr>
            </w:pPr>
          </w:p>
        </w:tc>
        <w:tc>
          <w:tcPr>
            <w:tcW w:w="2280" w:type="dxa"/>
            <w:vAlign w:val="bottom"/>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line="171" w:lineRule="exact"/>
              <w:rPr>
                <w:sz w:val="20"/>
                <w:szCs w:val="20"/>
                <w:color w:val="auto"/>
              </w:rPr>
            </w:pPr>
            <w:r>
              <w:rPr>
                <w:rFonts w:ascii="Arial" w:cs="Arial" w:eastAsia="Arial" w:hAnsi="Arial"/>
                <w:sz w:val="15"/>
                <w:szCs w:val="15"/>
                <w:color w:val="auto"/>
              </w:rPr>
              <w:t>Commodity contracts subject to rate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91"/>
        </w:trPr>
        <w:tc>
          <w:tcPr>
            <w:tcW w:w="2780" w:type="dxa"/>
            <w:vAlign w:val="bottom"/>
            <w:vMerge w:val="restart"/>
          </w:tcPr>
          <w:p>
            <w:pPr>
              <w:ind w:left="100"/>
              <w:spacing w:after="0" w:line="171" w:lineRule="exact"/>
              <w:rPr>
                <w:sz w:val="20"/>
                <w:szCs w:val="20"/>
                <w:color w:val="auto"/>
              </w:rPr>
            </w:pPr>
            <w:r>
              <w:rPr>
                <w:rFonts w:ascii="Arial" w:cs="Arial" w:eastAsia="Arial" w:hAnsi="Arial"/>
                <w:sz w:val="15"/>
                <w:szCs w:val="15"/>
                <w:color w:val="auto"/>
              </w:rPr>
              <w:t>recovery</w:t>
            </w:r>
          </w:p>
        </w:tc>
        <w:tc>
          <w:tcPr>
            <w:tcW w:w="260" w:type="dxa"/>
            <w:vAlign w:val="bottom"/>
          </w:tcPr>
          <w:p>
            <w:pPr>
              <w:spacing w:after="0"/>
              <w:rPr>
                <w:sz w:val="7"/>
                <w:szCs w:val="7"/>
                <w:color w:val="auto"/>
              </w:rPr>
            </w:pPr>
          </w:p>
        </w:tc>
        <w:tc>
          <w:tcPr>
            <w:tcW w:w="520" w:type="dxa"/>
            <w:vAlign w:val="bottom"/>
            <w:vMerge w:val="restart"/>
          </w:tcPr>
          <w:p>
            <w:pPr>
              <w:jc w:val="right"/>
              <w:ind w:right="49"/>
              <w:spacing w:after="0" w:line="171" w:lineRule="exact"/>
              <w:rPr>
                <w:sz w:val="20"/>
                <w:szCs w:val="20"/>
                <w:color w:val="auto"/>
              </w:rPr>
            </w:pPr>
            <w:r>
              <w:rPr>
                <w:rFonts w:ascii="Arial" w:cs="Arial" w:eastAsia="Arial" w:hAnsi="Arial"/>
                <w:sz w:val="15"/>
                <w:szCs w:val="15"/>
                <w:color w:val="auto"/>
              </w:rPr>
              <w:t>27</w:t>
            </w:r>
          </w:p>
        </w:tc>
        <w:tc>
          <w:tcPr>
            <w:tcW w:w="520" w:type="dxa"/>
            <w:vAlign w:val="bottom"/>
          </w:tcPr>
          <w:p>
            <w:pPr>
              <w:spacing w:after="0"/>
              <w:rPr>
                <w:sz w:val="7"/>
                <w:szCs w:val="7"/>
                <w:color w:val="auto"/>
              </w:rPr>
            </w:pPr>
          </w:p>
        </w:tc>
        <w:tc>
          <w:tcPr>
            <w:tcW w:w="560" w:type="dxa"/>
            <w:vAlign w:val="bottom"/>
            <w:vMerge w:val="restart"/>
          </w:tcPr>
          <w:p>
            <w:pPr>
              <w:jc w:val="right"/>
              <w:ind w:right="66"/>
              <w:spacing w:after="0" w:line="171" w:lineRule="exact"/>
              <w:rPr>
                <w:sz w:val="20"/>
                <w:szCs w:val="20"/>
                <w:color w:val="auto"/>
              </w:rPr>
            </w:pPr>
            <w:r>
              <w:rPr>
                <w:rFonts w:ascii="Arial" w:cs="Arial" w:eastAsia="Arial" w:hAnsi="Arial"/>
                <w:sz w:val="15"/>
                <w:szCs w:val="15"/>
                <w:color w:val="auto"/>
              </w:rPr>
              <w:t>1</w:t>
            </w:r>
          </w:p>
        </w:tc>
        <w:tc>
          <w:tcPr>
            <w:tcW w:w="280" w:type="dxa"/>
            <w:vAlign w:val="bottom"/>
          </w:tcPr>
          <w:p>
            <w:pPr>
              <w:spacing w:after="0"/>
              <w:rPr>
                <w:sz w:val="7"/>
                <w:szCs w:val="7"/>
                <w:color w:val="auto"/>
              </w:rPr>
            </w:pPr>
          </w:p>
        </w:tc>
        <w:tc>
          <w:tcPr>
            <w:tcW w:w="2280" w:type="dxa"/>
            <w:vAlign w:val="bottom"/>
            <w:vMerge w:val="restart"/>
          </w:tcPr>
          <w:p>
            <w:pPr>
              <w:jc w:val="right"/>
              <w:ind w:right="402"/>
              <w:spacing w:after="0" w:line="171" w:lineRule="exact"/>
              <w:rPr>
                <w:sz w:val="20"/>
                <w:szCs w:val="20"/>
                <w:color w:val="auto"/>
              </w:rPr>
            </w:pPr>
            <w:r>
              <w:rPr>
                <w:rFonts w:ascii="Arial" w:cs="Arial" w:eastAsia="Arial" w:hAnsi="Arial"/>
                <w:sz w:val="15"/>
                <w:szCs w:val="15"/>
                <w:color w:val="auto"/>
              </w:rPr>
              <w:t>7</w:t>
            </w:r>
          </w:p>
        </w:tc>
        <w:tc>
          <w:tcPr>
            <w:tcW w:w="220" w:type="dxa"/>
            <w:vAlign w:val="bottom"/>
          </w:tcPr>
          <w:p>
            <w:pPr>
              <w:spacing w:after="0"/>
              <w:rPr>
                <w:sz w:val="7"/>
                <w:szCs w:val="7"/>
                <w:color w:val="auto"/>
              </w:rPr>
            </w:pPr>
          </w:p>
        </w:tc>
        <w:tc>
          <w:tcPr>
            <w:tcW w:w="740" w:type="dxa"/>
            <w:vAlign w:val="bottom"/>
            <w:vMerge w:val="restart"/>
          </w:tcPr>
          <w:p>
            <w:pPr>
              <w:jc w:val="right"/>
              <w:ind w:right="68"/>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7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line="171" w:lineRule="exact"/>
              <w:rPr>
                <w:sz w:val="20"/>
                <w:szCs w:val="20"/>
                <w:color w:val="auto"/>
              </w:rPr>
            </w:pPr>
            <w:r>
              <w:rPr>
                <w:rFonts w:ascii="Arial" w:cs="Arial" w:eastAsia="Arial" w:hAnsi="Arial"/>
                <w:sz w:val="15"/>
                <w:szCs w:val="15"/>
                <w:color w:val="auto"/>
              </w:rPr>
              <w:t>Commodity contracts not subject to</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00"/>
              <w:spacing w:after="0"/>
              <w:rPr>
                <w:sz w:val="20"/>
                <w:szCs w:val="20"/>
                <w:color w:val="auto"/>
              </w:rPr>
            </w:pPr>
            <w:r>
              <w:rPr>
                <w:rFonts w:ascii="Arial" w:cs="Arial" w:eastAsia="Arial" w:hAnsi="Arial"/>
                <w:sz w:val="15"/>
                <w:szCs w:val="15"/>
                <w:color w:val="auto"/>
              </w:rPr>
              <w:t>rate recovery</w:t>
            </w:r>
          </w:p>
        </w:tc>
        <w:tc>
          <w:tcPr>
            <w:tcW w:w="26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Arial" w:cs="Arial" w:eastAsia="Arial" w:hAnsi="Arial"/>
                <w:sz w:val="15"/>
                <w:szCs w:val="15"/>
                <w:color w:val="auto"/>
              </w:rPr>
              <w:t>5</w:t>
            </w:r>
          </w:p>
        </w:tc>
        <w:tc>
          <w:tcPr>
            <w:tcW w:w="5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63</w:t>
            </w:r>
          </w:p>
        </w:tc>
        <w:tc>
          <w:tcPr>
            <w:tcW w:w="280" w:type="dxa"/>
            <w:vAlign w:val="bottom"/>
          </w:tcPr>
          <w:p>
            <w:pPr>
              <w:spacing w:after="0"/>
              <w:rPr>
                <w:sz w:val="15"/>
                <w:szCs w:val="15"/>
                <w:color w:val="auto"/>
              </w:rPr>
            </w:pPr>
          </w:p>
        </w:tc>
        <w:tc>
          <w:tcPr>
            <w:tcW w:w="2280" w:type="dxa"/>
            <w:vAlign w:val="bottom"/>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(21)</w:t>
            </w:r>
          </w:p>
        </w:tc>
        <w:tc>
          <w:tcPr>
            <w:tcW w:w="5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12"/>
        </w:trPr>
        <w:tc>
          <w:tcPr>
            <w:tcW w:w="2780" w:type="dxa"/>
            <w:vAlign w:val="bottom"/>
          </w:tcPr>
          <w:p>
            <w:pPr>
              <w:ind w:left="260"/>
              <w:spacing w:after="0"/>
              <w:rPr>
                <w:sz w:val="20"/>
                <w:szCs w:val="20"/>
                <w:color w:val="auto"/>
              </w:rPr>
            </w:pPr>
            <w:r>
              <w:rPr>
                <w:rFonts w:ascii="Arial" w:cs="Arial" w:eastAsia="Arial" w:hAnsi="Arial"/>
                <w:sz w:val="15"/>
                <w:szCs w:val="15"/>
                <w:color w:val="auto"/>
              </w:rPr>
              <w:t>Investments</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13</w:t>
            </w: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jc w:val="right"/>
              <w:ind w:right="362"/>
              <w:spacing w:after="0" w:line="193" w:lineRule="exact"/>
              <w:rPr>
                <w:sz w:val="20"/>
                <w:szCs w:val="20"/>
                <w:color w:val="auto"/>
              </w:rPr>
            </w:pPr>
            <w:r>
              <w:rPr>
                <w:rFonts w:ascii="Arial" w:cs="Arial" w:eastAsia="Arial" w:hAnsi="Arial"/>
                <w:sz w:val="19"/>
                <w:szCs w:val="19"/>
                <w:color w:val="auto"/>
              </w:rPr>
              <w:t>&lt; font style="FONT-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jc w:val="right"/>
              <w:ind w:right="362"/>
              <w:spacing w:after="0"/>
              <w:rPr>
                <w:sz w:val="20"/>
                <w:szCs w:val="20"/>
                <w:color w:val="auto"/>
              </w:rPr>
            </w:pPr>
            <w:r>
              <w:rPr>
                <w:rFonts w:ascii="Arial" w:cs="Arial" w:eastAsia="Arial" w:hAnsi="Arial"/>
                <w:sz w:val="19"/>
                <w:szCs w:val="19"/>
                <w:color w:val="auto"/>
              </w:rPr>
              <w:t>SIZE:9pt;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jc w:val="right"/>
              <w:ind w:right="362"/>
              <w:spacing w:after="0"/>
              <w:rPr>
                <w:sz w:val="20"/>
                <w:szCs w:val="20"/>
                <w:color w:val="auto"/>
              </w:rPr>
            </w:pPr>
            <w:r>
              <w:rPr>
                <w:rFonts w:ascii="Arial" w:cs="Arial" w:eastAsia="Arial" w:hAnsi="Arial"/>
                <w:sz w:val="19"/>
                <w:szCs w:val="19"/>
                <w:color w:val="auto"/>
              </w:rPr>
              <w:t>COLOR:black;</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jc w:val="right"/>
              <w:ind w:right="362"/>
              <w:spacing w:after="0"/>
              <w:rPr>
                <w:sz w:val="20"/>
                <w:szCs w:val="20"/>
                <w:color w:val="auto"/>
              </w:rPr>
            </w:pPr>
            <w:r>
              <w:rPr>
                <w:rFonts w:ascii="Arial" w:cs="Arial" w:eastAsia="Arial" w:hAnsi="Arial"/>
                <w:sz w:val="19"/>
                <w:szCs w:val="19"/>
                <w:color w:val="auto"/>
              </w:rPr>
              <w:t>FONT-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jc w:val="right"/>
              <w:ind w:right="362"/>
              <w:spacing w:after="0"/>
              <w:rPr>
                <w:sz w:val="20"/>
                <w:szCs w:val="20"/>
                <w:color w:val="auto"/>
              </w:rPr>
            </w:pPr>
            <w:r>
              <w:rPr>
                <w:rFonts w:ascii="Arial" w:cs="Arial" w:eastAsia="Arial" w:hAnsi="Arial"/>
                <w:sz w:val="19"/>
                <w:szCs w:val="19"/>
                <w:color w:val="auto"/>
              </w:rPr>
              <w:t>FAMILY:'Arial','sans-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780" w:type="dxa"/>
            <w:vAlign w:val="bottom"/>
          </w:tcPr>
          <w:p>
            <w:pPr>
              <w:ind w:left="1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561</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9"/>
                <w:szCs w:val="19"/>
                <w:color w:val="auto"/>
              </w:rPr>
              <w:t>serif'"&gt; 7</w:t>
            </w:r>
          </w:p>
        </w:tc>
        <w:tc>
          <w:tcPr>
            <w:tcW w:w="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(21)</w:t>
            </w: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jc w:val="right"/>
              <w:ind w:right="226"/>
              <w:spacing w:after="0" w:line="200" w:lineRule="exact"/>
              <w:rPr>
                <w:sz w:val="20"/>
                <w:szCs w:val="20"/>
                <w:color w:val="auto"/>
              </w:rPr>
            </w:pPr>
            <w:r>
              <w:rPr>
                <w:rFonts w:ascii="Arial" w:cs="Arial" w:eastAsia="Arial" w:hAnsi="Arial"/>
                <w:sz w:val="19"/>
                <w:szCs w:val="19"/>
                <w:color w:val="auto"/>
              </w:rPr>
              <w:t>&lt;</w:t>
            </w: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80" w:type="dxa"/>
            <w:vAlign w:val="bottom"/>
          </w:tcPr>
          <w:p>
            <w:pPr>
              <w:ind w:left="100"/>
              <w:spacing w:after="0"/>
              <w:rPr>
                <w:sz w:val="20"/>
                <w:szCs w:val="20"/>
                <w:color w:val="auto"/>
              </w:rPr>
            </w:pPr>
            <w:r>
              <w:rPr>
                <w:rFonts w:ascii="Arial" w:cs="Arial" w:eastAsia="Arial" w:hAnsi="Arial"/>
                <w:sz w:val="15"/>
                <w:szCs w:val="15"/>
                <w:color w:val="auto"/>
              </w:rPr>
              <w:t>Liabilities:</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26"/>
              <w:spacing w:after="0"/>
              <w:rPr>
                <w:sz w:val="20"/>
                <w:szCs w:val="20"/>
                <w:color w:val="auto"/>
              </w:rPr>
            </w:pPr>
            <w:r>
              <w:rPr>
                <w:rFonts w:ascii="Arial" w:cs="Arial" w:eastAsia="Arial" w:hAnsi="Arial"/>
                <w:sz w:val="19"/>
                <w:szCs w:val="19"/>
                <w:color w:val="auto"/>
              </w:rPr>
              <w:t>/p&gt;</w:t>
            </w:r>
          </w:p>
        </w:tc>
        <w:tc>
          <w:tcPr>
            <w:tcW w:w="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780" w:type="dxa"/>
            <w:vAlign w:val="bottom"/>
          </w:tcPr>
          <w:p>
            <w:pPr>
              <w:ind w:left="260"/>
              <w:spacing w:after="0"/>
              <w:rPr>
                <w:sz w:val="20"/>
                <w:szCs w:val="20"/>
                <w:color w:val="auto"/>
              </w:rPr>
            </w:pPr>
            <w:r>
              <w:rPr>
                <w:rFonts w:ascii="Arial" w:cs="Arial" w:eastAsia="Arial" w:hAnsi="Arial"/>
                <w:sz w:val="15"/>
                <w:szCs w:val="15"/>
                <w:color w:val="auto"/>
              </w:rPr>
              <w:t>Interest rate instruments</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20" w:type="dxa"/>
            <w:vAlign w:val="bottom"/>
            <w:vMerge w:val="continue"/>
          </w:tcPr>
          <w:p>
            <w:pPr>
              <w:spacing w:after="0"/>
              <w:rPr>
                <w:sz w:val="16"/>
                <w:szCs w:val="16"/>
                <w:color w:val="auto"/>
              </w:rPr>
            </w:pPr>
          </w:p>
        </w:tc>
        <w:tc>
          <w:tcPr>
            <w:tcW w:w="560" w:type="dxa"/>
            <w:vAlign w:val="bottom"/>
          </w:tcPr>
          <w:p>
            <w:pPr>
              <w:jc w:val="right"/>
              <w:ind w:right="66"/>
              <w:spacing w:after="0"/>
              <w:rPr>
                <w:sz w:val="20"/>
                <w:szCs w:val="20"/>
                <w:color w:val="auto"/>
              </w:rPr>
            </w:pPr>
            <w:r>
              <w:rPr>
                <w:rFonts w:ascii="Arial" w:cs="Arial" w:eastAsia="Arial" w:hAnsi="Arial"/>
                <w:sz w:val="15"/>
                <w:szCs w:val="15"/>
                <w:color w:val="auto"/>
              </w:rPr>
              <w:t>98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280" w:type="dxa"/>
            <w:vAlign w:val="bottom"/>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line="171" w:lineRule="exact"/>
              <w:rPr>
                <w:sz w:val="20"/>
                <w:szCs w:val="20"/>
                <w:color w:val="auto"/>
              </w:rPr>
            </w:pPr>
            <w:r>
              <w:rPr>
                <w:rFonts w:ascii="Arial" w:cs="Arial" w:eastAsia="Arial" w:hAnsi="Arial"/>
                <w:sz w:val="15"/>
                <w:szCs w:val="15"/>
                <w:color w:val="auto"/>
              </w:rPr>
              <w:t>Commodity contracts subject to rate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00"/>
              <w:spacing w:after="0" w:line="171" w:lineRule="exact"/>
              <w:rPr>
                <w:sz w:val="20"/>
                <w:szCs w:val="20"/>
                <w:color w:val="auto"/>
              </w:rPr>
            </w:pPr>
            <w:r>
              <w:rPr>
                <w:rFonts w:ascii="Arial" w:cs="Arial" w:eastAsia="Arial" w:hAnsi="Arial"/>
                <w:sz w:val="15"/>
                <w:szCs w:val="15"/>
                <w:color w:val="auto"/>
              </w:rPr>
              <w:t>recovery</w:t>
            </w:r>
          </w:p>
        </w:tc>
        <w:tc>
          <w:tcPr>
            <w:tcW w:w="260" w:type="dxa"/>
            <w:vAlign w:val="bottom"/>
          </w:tcPr>
          <w:p>
            <w:pPr>
              <w:spacing w:after="0"/>
              <w:rPr>
                <w:sz w:val="14"/>
                <w:szCs w:val="14"/>
                <w:color w:val="auto"/>
              </w:rPr>
            </w:pPr>
          </w:p>
        </w:tc>
        <w:tc>
          <w:tcPr>
            <w:tcW w:w="520" w:type="dxa"/>
            <w:vAlign w:val="bottom"/>
          </w:tcPr>
          <w:p>
            <w:pPr>
              <w:jc w:val="right"/>
              <w:ind w:right="49"/>
              <w:spacing w:after="0" w:line="171" w:lineRule="exact"/>
              <w:rPr>
                <w:sz w:val="20"/>
                <w:szCs w:val="20"/>
                <w:color w:val="auto"/>
              </w:rPr>
            </w:pPr>
            <w:r>
              <w:rPr>
                <w:rFonts w:ascii="Arial" w:cs="Arial" w:eastAsia="Arial" w:hAnsi="Arial"/>
                <w:sz w:val="15"/>
                <w:szCs w:val="15"/>
                <w:color w:val="auto"/>
              </w:rPr>
              <w:t>54</w:t>
            </w:r>
          </w:p>
        </w:tc>
        <w:tc>
          <w:tcPr>
            <w:tcW w:w="520" w:type="dxa"/>
            <w:vAlign w:val="bottom"/>
          </w:tcPr>
          <w:p>
            <w:pPr>
              <w:spacing w:after="0"/>
              <w:rPr>
                <w:sz w:val="14"/>
                <w:szCs w:val="14"/>
                <w:color w:val="auto"/>
              </w:rPr>
            </w:pPr>
          </w:p>
        </w:tc>
        <w:tc>
          <w:tcPr>
            <w:tcW w:w="560" w:type="dxa"/>
            <w:vAlign w:val="bottom"/>
          </w:tcPr>
          <w:p>
            <w:pPr>
              <w:jc w:val="right"/>
              <w:ind w:right="66"/>
              <w:spacing w:after="0" w:line="171" w:lineRule="exact"/>
              <w:rPr>
                <w:sz w:val="20"/>
                <w:szCs w:val="20"/>
                <w:color w:val="auto"/>
              </w:rPr>
            </w:pPr>
            <w:r>
              <w:rPr>
                <w:rFonts w:ascii="Arial" w:cs="Arial" w:eastAsia="Arial" w:hAnsi="Arial"/>
                <w:sz w:val="15"/>
                <w:szCs w:val="15"/>
                <w:color w:val="auto"/>
              </w:rPr>
              <w:t>9</w:t>
            </w:r>
          </w:p>
        </w:tc>
        <w:tc>
          <w:tcPr>
            <w:tcW w:w="280" w:type="dxa"/>
            <w:vAlign w:val="bottom"/>
          </w:tcPr>
          <w:p>
            <w:pPr>
              <w:spacing w:after="0"/>
              <w:rPr>
                <w:sz w:val="14"/>
                <w:szCs w:val="14"/>
                <w:color w:val="auto"/>
              </w:rPr>
            </w:pPr>
          </w:p>
        </w:tc>
        <w:tc>
          <w:tcPr>
            <w:tcW w:w="2280" w:type="dxa"/>
            <w:vAlign w:val="bottom"/>
          </w:tcPr>
          <w:p>
            <w:pPr>
              <w:jc w:val="right"/>
              <w:ind w:right="402"/>
              <w:spacing w:after="0" w:line="171"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8"/>
              <w:spacing w:after="0" w:line="171" w:lineRule="exact"/>
              <w:rPr>
                <w:sz w:val="20"/>
                <w:szCs w:val="20"/>
                <w:color w:val="auto"/>
              </w:rPr>
            </w:pPr>
            <w:r>
              <w:rPr>
                <w:rFonts w:ascii="Arial" w:cs="Arial" w:eastAsia="Arial" w:hAnsi="Arial"/>
                <w:sz w:val="15"/>
                <w:szCs w:val="15"/>
                <w:color w:val="auto"/>
              </w:rPr>
              <w:t>(54)</w:t>
            </w:r>
          </w:p>
        </w:tc>
        <w:tc>
          <w:tcPr>
            <w:tcW w:w="520" w:type="dxa"/>
            <w:vAlign w:val="bottom"/>
          </w:tcPr>
          <w:p>
            <w:pPr>
              <w:spacing w:after="0"/>
              <w:rPr>
                <w:sz w:val="14"/>
                <w:szCs w:val="14"/>
                <w:color w:val="auto"/>
              </w:rPr>
            </w:pPr>
          </w:p>
        </w:tc>
        <w:tc>
          <w:tcPr>
            <w:tcW w:w="660" w:type="dxa"/>
            <w:vAlign w:val="bottom"/>
          </w:tcPr>
          <w:p>
            <w:pPr>
              <w:jc w:val="right"/>
              <w:ind w:right="48"/>
              <w:spacing w:after="0" w:line="171"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line="171" w:lineRule="exact"/>
              <w:rPr>
                <w:sz w:val="20"/>
                <w:szCs w:val="20"/>
                <w:color w:val="auto"/>
              </w:rPr>
            </w:pPr>
            <w:r>
              <w:rPr>
                <w:rFonts w:ascii="Arial" w:cs="Arial" w:eastAsia="Arial" w:hAnsi="Arial"/>
                <w:sz w:val="15"/>
                <w:szCs w:val="15"/>
                <w:color w:val="auto"/>
              </w:rPr>
              <w:t>Commodity contracts not subject to</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100"/>
              <w:spacing w:after="0" w:line="169" w:lineRule="exact"/>
              <w:rPr>
                <w:sz w:val="20"/>
                <w:szCs w:val="20"/>
                <w:color w:val="auto"/>
              </w:rPr>
            </w:pPr>
            <w:r>
              <w:rPr>
                <w:rFonts w:ascii="Arial" w:cs="Arial" w:eastAsia="Arial" w:hAnsi="Arial"/>
                <w:sz w:val="15"/>
                <w:szCs w:val="15"/>
                <w:color w:val="auto"/>
              </w:rPr>
              <w:t>rate recovery</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9"/>
              <w:spacing w:after="0" w:line="169"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rPr>
              <w:t>62</w:t>
            </w: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402"/>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line="169"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54</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(54)</w:t>
            </w: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438"/>
        </w:trPr>
        <w:tc>
          <w:tcPr>
            <w:tcW w:w="2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At fair value as of December 31, 2009</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rPr>
              <w:t>Level</w:t>
            </w:r>
          </w:p>
        </w:tc>
        <w:tc>
          <w:tcPr>
            <w:tcW w:w="520" w:type="dxa"/>
            <w:vAlign w:val="bottom"/>
          </w:tcPr>
          <w:p>
            <w:pPr>
              <w:spacing w:after="0"/>
              <w:rPr>
                <w:sz w:val="19"/>
                <w:szCs w:val="19"/>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Level</w:t>
            </w: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3"/>
                <w:szCs w:val="13"/>
                <w:color w:val="auto"/>
              </w:rPr>
              <w:t>Collateral</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rPr>
              <w:t>1</w:t>
            </w:r>
          </w:p>
        </w:tc>
        <w:tc>
          <w:tcPr>
            <w:tcW w:w="52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ind w:right="1002"/>
              <w:spacing w:after="0" w:line="142" w:lineRule="exact"/>
              <w:rPr>
                <w:sz w:val="20"/>
                <w:szCs w:val="20"/>
                <w:color w:val="auto"/>
              </w:rPr>
            </w:pPr>
            <w:r>
              <w:rPr>
                <w:rFonts w:ascii="Arial" w:cs="Arial" w:eastAsia="Arial" w:hAnsi="Arial"/>
                <w:sz w:val="13"/>
                <w:szCs w:val="13"/>
                <w:color w:val="auto"/>
              </w:rPr>
              <w:t>Level 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3"/>
                <w:szCs w:val="13"/>
                <w:color w:val="auto"/>
              </w:rPr>
              <w:t>netted</w:t>
            </w: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9"/>
        </w:trPr>
        <w:tc>
          <w:tcPr>
            <w:tcW w:w="2780" w:type="dxa"/>
            <w:vAlign w:val="bottom"/>
          </w:tcPr>
          <w:p>
            <w:pPr>
              <w:ind w:left="100"/>
              <w:spacing w:after="0"/>
              <w:rPr>
                <w:sz w:val="20"/>
                <w:szCs w:val="20"/>
                <w:color w:val="auto"/>
              </w:rPr>
            </w:pPr>
            <w:r>
              <w:rPr>
                <w:rFonts w:ascii="Arial" w:cs="Arial" w:eastAsia="Arial" w:hAnsi="Arial"/>
                <w:sz w:val="15"/>
                <w:szCs w:val="15"/>
                <w:color w:val="auto"/>
              </w:rPr>
              <w:t>Assets: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Pr>
          <w:p>
            <w:pPr>
              <w:ind w:left="260"/>
              <w:spacing w:after="0"/>
              <w:rPr>
                <w:sz w:val="20"/>
                <w:szCs w:val="20"/>
                <w:color w:val="auto"/>
              </w:rPr>
            </w:pPr>
            <w:r>
              <w:rPr>
                <w:rFonts w:ascii="Arial" w:cs="Arial" w:eastAsia="Arial" w:hAnsi="Arial"/>
                <w:sz w:val="15"/>
                <w:szCs w:val="15"/>
                <w:color w:val="auto"/>
              </w:rPr>
              <w:t>Nuclear decommissioning trusts(1)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780" w:type="dxa"/>
            <w:vAlign w:val="bottom"/>
          </w:tcPr>
          <w:p>
            <w:pPr>
              <w:ind w:left="500"/>
              <w:spacing w:after="0"/>
              <w:rPr>
                <w:sz w:val="20"/>
                <w:szCs w:val="20"/>
                <w:color w:val="auto"/>
              </w:rPr>
            </w:pPr>
            <w:r>
              <w:rPr>
                <w:rFonts w:ascii="Arial" w:cs="Arial" w:eastAsia="Arial" w:hAnsi="Arial"/>
                <w:sz w:val="15"/>
                <w:szCs w:val="15"/>
                <w:color w:val="auto"/>
              </w:rPr>
              <w:t>Equity securities</w:t>
            </w:r>
          </w:p>
        </w:tc>
        <w:tc>
          <w:tcPr>
            <w:tcW w:w="2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421</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8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Debt securities:</w:t>
      </w:r>
    </w:p>
    <w:p>
      <w:pPr>
        <w:ind w:left="100" w:right="7619" w:firstLine="72"/>
        <w:spacing w:after="0" w:line="237" w:lineRule="auto"/>
        <w:tabs>
          <w:tab w:leader="none" w:pos="75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Debt securities issued by the U.S. Treasury and other</w:t>
      </w:r>
    </w:p>
    <w:p>
      <w:pPr>
        <w:ind w:left="860"/>
        <w:spacing w:after="0" w:line="237" w:lineRule="auto"/>
        <w:rPr>
          <w:rFonts w:ascii="Arial" w:cs="Arial" w:eastAsia="Arial" w:hAnsi="Arial"/>
          <w:sz w:val="15"/>
          <w:szCs w:val="15"/>
          <w:color w:val="auto"/>
        </w:rPr>
      </w:pPr>
      <w:r>
        <w:rPr>
          <w:rFonts w:ascii="Arial" w:cs="Arial" w:eastAsia="Arial" w:hAnsi="Arial"/>
          <w:sz w:val="15"/>
          <w:szCs w:val="15"/>
          <w:color w:val="auto"/>
        </w:rPr>
        <w:t>U.S. government</w:t>
      </w:r>
    </w:p>
    <w:tbl>
      <w:tblPr>
        <w:tblLayout w:type="fixed"/>
        <w:tblInd w:w="100" w:type="dxa"/>
        <w:tblCellMar>
          <w:top w:w="0" w:type="dxa"/>
          <w:left w:w="0" w:type="dxa"/>
          <w:bottom w:w="0" w:type="dxa"/>
          <w:right w:w="0" w:type="dxa"/>
        </w:tblCellMar>
      </w:tblPr>
      <w:tr>
        <w:trPr>
          <w:trHeight w:val="176"/>
        </w:trPr>
        <w:tc>
          <w:tcPr>
            <w:tcW w:w="2680" w:type="dxa"/>
            <w:vAlign w:val="bottom"/>
          </w:tcPr>
          <w:p>
            <w:pPr>
              <w:spacing w:after="0"/>
              <w:rPr>
                <w:sz w:val="20"/>
                <w:szCs w:val="20"/>
                <w:color w:val="auto"/>
              </w:rPr>
            </w:pPr>
            <w:r>
              <w:rPr>
                <w:rFonts w:ascii="Arial" w:cs="Arial" w:eastAsia="Arial" w:hAnsi="Arial"/>
                <w:sz w:val="15"/>
                <w:szCs w:val="15"/>
                <w:color w:val="auto"/>
              </w:rPr>
              <w:t>corporations and agencies</w:t>
            </w:r>
          </w:p>
        </w:tc>
        <w:tc>
          <w:tcPr>
            <w:tcW w:w="280" w:type="dxa"/>
            <w:vAlign w:val="bottom"/>
          </w:tcPr>
          <w:p>
            <w:pPr>
              <w:spacing w:after="0"/>
              <w:rPr>
                <w:sz w:val="15"/>
                <w:szCs w:val="15"/>
                <w:color w:val="auto"/>
              </w:rPr>
            </w:pPr>
          </w:p>
        </w:tc>
        <w:tc>
          <w:tcPr>
            <w:tcW w:w="520" w:type="dxa"/>
            <w:vAlign w:val="bottom"/>
          </w:tcPr>
          <w:p>
            <w:pPr>
              <w:jc w:val="right"/>
              <w:ind w:right="67"/>
              <w:spacing w:after="0"/>
              <w:rPr>
                <w:sz w:val="20"/>
                <w:szCs w:val="20"/>
                <w:color w:val="auto"/>
              </w:rPr>
            </w:pPr>
            <w:r>
              <w:rPr>
                <w:rFonts w:ascii="Arial" w:cs="Arial" w:eastAsia="Arial" w:hAnsi="Arial"/>
                <w:sz w:val="15"/>
                <w:szCs w:val="15"/>
                <w:color w:val="auto"/>
              </w:rPr>
              <w:t>111</w:t>
            </w:r>
          </w:p>
        </w:tc>
        <w:tc>
          <w:tcPr>
            <w:tcW w:w="540" w:type="dxa"/>
            <w:vAlign w:val="bottom"/>
          </w:tcPr>
          <w:p>
            <w:pPr>
              <w:spacing w:after="0"/>
              <w:rPr>
                <w:sz w:val="15"/>
                <w:szCs w:val="15"/>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39</w:t>
            </w:r>
          </w:p>
        </w:tc>
        <w:tc>
          <w:tcPr>
            <w:tcW w:w="104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9"/>
        </w:trPr>
        <w:tc>
          <w:tcPr>
            <w:tcW w:w="2680" w:type="dxa"/>
            <w:vAlign w:val="bottom"/>
          </w:tcPr>
          <w:p>
            <w:pPr>
              <w:ind w:left="560"/>
              <w:spacing w:after="0"/>
              <w:rPr>
                <w:sz w:val="20"/>
                <w:szCs w:val="20"/>
                <w:color w:val="auto"/>
              </w:rPr>
            </w:pPr>
            <w:r>
              <w:rPr>
                <w:rFonts w:ascii="Arial" w:cs="Arial" w:eastAsia="Arial" w:hAnsi="Arial"/>
                <w:sz w:val="15"/>
                <w:szCs w:val="15"/>
                <w:color w:val="auto"/>
              </w:rPr>
              <w:t>Municipal bonds</w:t>
            </w:r>
          </w:p>
        </w:tc>
        <w:tc>
          <w:tcPr>
            <w:tcW w:w="280" w:type="dxa"/>
            <w:vAlign w:val="bottom"/>
          </w:tcPr>
          <w:p>
            <w:pPr>
              <w:spacing w:after="0"/>
              <w:rPr>
                <w:sz w:val="19"/>
                <w:szCs w:val="19"/>
                <w:color w:val="auto"/>
              </w:rPr>
            </w:pPr>
          </w:p>
        </w:tc>
        <w:tc>
          <w:tcPr>
            <w:tcW w:w="5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9"/>
                <w:szCs w:val="19"/>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85</w:t>
            </w:r>
          </w:p>
        </w:tc>
        <w:tc>
          <w:tcPr>
            <w:tcW w:w="1040" w:type="dxa"/>
            <w:vAlign w:val="bottom"/>
          </w:tcPr>
          <w:p>
            <w:pPr>
              <w:spacing w:after="0"/>
              <w:rPr>
                <w:sz w:val="19"/>
                <w:szCs w:val="19"/>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12"/>
        </w:trPr>
        <w:tc>
          <w:tcPr>
            <w:tcW w:w="2680" w:type="dxa"/>
            <w:vAlign w:val="bottom"/>
          </w:tcPr>
          <w:p>
            <w:pPr>
              <w:ind w:left="560"/>
              <w:spacing w:after="0"/>
              <w:rPr>
                <w:sz w:val="20"/>
                <w:szCs w:val="20"/>
                <w:color w:val="auto"/>
              </w:rPr>
            </w:pPr>
            <w:r>
              <w:rPr>
                <w:rFonts w:ascii="Arial" w:cs="Arial" w:eastAsia="Arial" w:hAnsi="Arial"/>
                <w:sz w:val="15"/>
                <w:szCs w:val="15"/>
                <w:color w:val="auto"/>
              </w:rPr>
              <w:t>Other securities</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13</w:t>
            </w:r>
          </w:p>
        </w:tc>
        <w:tc>
          <w:tcPr>
            <w:tcW w:w="1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1"/>
        </w:trPr>
        <w:tc>
          <w:tcPr>
            <w:tcW w:w="2680" w:type="dxa"/>
            <w:vAlign w:val="bottom"/>
          </w:tcPr>
          <w:p>
            <w:pPr>
              <w:ind w:left="400"/>
              <w:spacing w:after="0"/>
              <w:rPr>
                <w:sz w:val="20"/>
                <w:szCs w:val="20"/>
                <w:color w:val="auto"/>
              </w:rPr>
            </w:pPr>
            <w:r>
              <w:rPr>
                <w:rFonts w:ascii="Arial" w:cs="Arial" w:eastAsia="Arial" w:hAnsi="Arial"/>
                <w:sz w:val="15"/>
                <w:szCs w:val="15"/>
                <w:color w:val="auto"/>
              </w:rPr>
              <w:t>Total debt securities</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111</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137</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line="152" w:lineRule="exact"/>
              <w:rPr>
                <w:sz w:val="20"/>
                <w:szCs w:val="20"/>
                <w:color w:val="auto"/>
              </w:rPr>
            </w:pPr>
            <w:r>
              <w:rPr>
                <w:rFonts w:ascii="Arial" w:cs="Arial" w:eastAsia="Arial" w:hAnsi="Arial"/>
                <w:sz w:val="15"/>
                <w:szCs w:val="15"/>
                <w:color w:val="auto"/>
              </w:rPr>
              <w:t>&amp; nbsp;  Total nuclear</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decommissioning trusts(1)</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532</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137</w:t>
            </w:r>
          </w:p>
        </w:tc>
        <w:tc>
          <w:tcPr>
            <w:tcW w:w="10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r>
        <w:trPr>
          <w:trHeight w:val="213"/>
        </w:trPr>
        <w:tc>
          <w:tcPr>
            <w:tcW w:w="2680" w:type="dxa"/>
            <w:vAlign w:val="bottom"/>
          </w:tcPr>
          <w:p>
            <w:pPr>
              <w:ind w:left="160"/>
              <w:spacing w:after="0"/>
              <w:rPr>
                <w:sz w:val="20"/>
                <w:szCs w:val="20"/>
                <w:color w:val="auto"/>
              </w:rPr>
            </w:pPr>
            <w:r>
              <w:rPr>
                <w:rFonts w:ascii="Arial" w:cs="Arial" w:eastAsia="Arial" w:hAnsi="Arial"/>
                <w:sz w:val="15"/>
                <w:szCs w:val="15"/>
                <w:color w:val="auto"/>
              </w:rPr>
              <w:t>Interest rate instruments</w:t>
            </w:r>
          </w:p>
        </w:tc>
        <w:tc>
          <w:tcPr>
            <w:tcW w:w="280" w:type="dxa"/>
            <w:vAlign w:val="bottom"/>
          </w:tcPr>
          <w:p>
            <w:pPr>
              <w:spacing w:after="0"/>
              <w:rPr>
                <w:sz w:val="18"/>
                <w:szCs w:val="18"/>
                <w:color w:val="auto"/>
              </w:rPr>
            </w:pPr>
          </w:p>
        </w:tc>
        <w:tc>
          <w:tcPr>
            <w:tcW w:w="5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8"/>
                <w:szCs w:val="18"/>
                <w:color w:val="auto"/>
              </w:rPr>
            </w:pPr>
          </w:p>
        </w:tc>
        <w:tc>
          <w:tcPr>
            <w:tcW w:w="540" w:type="dxa"/>
            <w:vAlign w:val="bottom"/>
          </w:tcPr>
          <w:p>
            <w:pPr>
              <w:jc w:val="right"/>
              <w:ind w:right="104"/>
              <w:spacing w:after="0" w:line="214" w:lineRule="exact"/>
              <w:rPr>
                <w:sz w:val="20"/>
                <w:szCs w:val="20"/>
                <w:color w:val="auto"/>
              </w:rPr>
            </w:pPr>
            <w:r>
              <w:rPr>
                <w:rFonts w:ascii="Arial" w:cs="Arial" w:eastAsia="Arial" w:hAnsi="Arial"/>
                <w:sz w:val="19"/>
                <w:szCs w:val="19"/>
                <w:color w:val="auto"/>
              </w:rPr>
              <w:t>38</w:t>
            </w:r>
          </w:p>
        </w:tc>
        <w:tc>
          <w:tcPr>
            <w:tcW w:w="104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70"/>
        </w:trPr>
        <w:tc>
          <w:tcPr>
            <w:tcW w:w="2680" w:type="dxa"/>
            <w:vAlign w:val="bottom"/>
          </w:tcPr>
          <w:p>
            <w:pPr>
              <w:ind w:left="160"/>
              <w:spacing w:after="0" w:line="171" w:lineRule="exact"/>
              <w:rPr>
                <w:sz w:val="20"/>
                <w:szCs w:val="20"/>
                <w:color w:val="auto"/>
              </w:rPr>
            </w:pPr>
            <w:r>
              <w:rPr>
                <w:rFonts w:ascii="Arial" w:cs="Arial" w:eastAsia="Arial" w:hAnsi="Arial"/>
                <w:sz w:val="15"/>
                <w:szCs w:val="15"/>
                <w:color w:val="auto"/>
              </w:rPr>
              <w:t>Commodity contracts subject to rate</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line="171" w:lineRule="exact"/>
              <w:rPr>
                <w:sz w:val="20"/>
                <w:szCs w:val="20"/>
                <w:color w:val="auto"/>
              </w:rPr>
            </w:pPr>
            <w:r>
              <w:rPr>
                <w:rFonts w:ascii="Arial" w:cs="Arial" w:eastAsia="Arial" w:hAnsi="Arial"/>
                <w:sz w:val="15"/>
                <w:szCs w:val="15"/>
                <w:color w:val="auto"/>
              </w:rPr>
              <w:t>recovery</w:t>
            </w:r>
          </w:p>
        </w:tc>
        <w:tc>
          <w:tcPr>
            <w:tcW w:w="280" w:type="dxa"/>
            <w:vAlign w:val="bottom"/>
          </w:tcPr>
          <w:p>
            <w:pPr>
              <w:spacing w:after="0"/>
              <w:rPr>
                <w:sz w:val="14"/>
                <w:szCs w:val="14"/>
                <w:color w:val="auto"/>
              </w:rPr>
            </w:pPr>
          </w:p>
        </w:tc>
        <w:tc>
          <w:tcPr>
            <w:tcW w:w="520" w:type="dxa"/>
            <w:vAlign w:val="bottom"/>
          </w:tcPr>
          <w:p>
            <w:pPr>
              <w:jc w:val="right"/>
              <w:ind w:right="67"/>
              <w:spacing w:after="0" w:line="171" w:lineRule="exact"/>
              <w:rPr>
                <w:sz w:val="20"/>
                <w:szCs w:val="20"/>
                <w:color w:val="auto"/>
              </w:rPr>
            </w:pPr>
            <w:r>
              <w:rPr>
                <w:rFonts w:ascii="Arial" w:cs="Arial" w:eastAsia="Arial" w:hAnsi="Arial"/>
                <w:sz w:val="15"/>
                <w:szCs w:val="15"/>
                <w:color w:val="auto"/>
              </w:rPr>
              <w:t>32</w:t>
            </w:r>
          </w:p>
        </w:tc>
        <w:tc>
          <w:tcPr>
            <w:tcW w:w="540" w:type="dxa"/>
            <w:vAlign w:val="bottom"/>
          </w:tcPr>
          <w:p>
            <w:pPr>
              <w:spacing w:after="0"/>
              <w:rPr>
                <w:sz w:val="14"/>
                <w:szCs w:val="14"/>
                <w:color w:val="auto"/>
              </w:rPr>
            </w:pPr>
          </w:p>
        </w:tc>
        <w:tc>
          <w:tcPr>
            <w:tcW w:w="540" w:type="dxa"/>
            <w:vAlign w:val="bottom"/>
          </w:tcPr>
          <w:p>
            <w:pPr>
              <w:jc w:val="right"/>
              <w:ind w:right="84"/>
              <w:spacing w:after="0" w:line="171" w:lineRule="exact"/>
              <w:rPr>
                <w:sz w:val="20"/>
                <w:szCs w:val="20"/>
                <w:color w:val="auto"/>
              </w:rPr>
            </w:pPr>
            <w:r>
              <w:rPr>
                <w:rFonts w:ascii="Arial" w:cs="Arial" w:eastAsia="Arial" w:hAnsi="Arial"/>
                <w:sz w:val="15"/>
                <w:szCs w:val="15"/>
                <w:color w:val="auto"/>
              </w:rPr>
              <w:t>3</w:t>
            </w:r>
          </w:p>
        </w:tc>
        <w:tc>
          <w:tcPr>
            <w:tcW w:w="1040" w:type="dxa"/>
            <w:vAlign w:val="bottom"/>
          </w:tcPr>
          <w:p>
            <w:pPr>
              <w:spacing w:after="0"/>
              <w:rPr>
                <w:sz w:val="14"/>
                <w:szCs w:val="14"/>
                <w:color w:val="auto"/>
              </w:rPr>
            </w:pPr>
          </w:p>
        </w:tc>
        <w:tc>
          <w:tcPr>
            <w:tcW w:w="1140" w:type="dxa"/>
            <w:vAlign w:val="bottom"/>
          </w:tcPr>
          <w:p>
            <w:pPr>
              <w:jc w:val="right"/>
              <w:ind w:right="47"/>
              <w:spacing w:after="0" w:line="171" w:lineRule="exact"/>
              <w:rPr>
                <w:sz w:val="20"/>
                <w:szCs w:val="20"/>
                <w:color w:val="auto"/>
              </w:rPr>
            </w:pPr>
            <w:r>
              <w:rPr>
                <w:rFonts w:ascii="Arial" w:cs="Arial" w:eastAsia="Arial" w:hAnsi="Arial"/>
                <w:sz w:val="15"/>
                <w:szCs w:val="15"/>
                <w:color w:val="auto"/>
              </w:rPr>
              <w:t>10</w:t>
            </w:r>
          </w:p>
        </w:tc>
        <w:tc>
          <w:tcPr>
            <w:tcW w:w="72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660" w:type="dxa"/>
            <w:vAlign w:val="bottom"/>
          </w:tcPr>
          <w:p>
            <w:pPr>
              <w:jc w:val="right"/>
              <w:ind w:right="47"/>
              <w:spacing w:after="0" w:line="171"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0"/>
        </w:trPr>
        <w:tc>
          <w:tcPr>
            <w:tcW w:w="2680" w:type="dxa"/>
            <w:vAlign w:val="bottom"/>
          </w:tcPr>
          <w:p>
            <w:pPr>
              <w:ind w:left="160"/>
              <w:spacing w:after="0" w:line="171" w:lineRule="exact"/>
              <w:rPr>
                <w:sz w:val="20"/>
                <w:szCs w:val="20"/>
                <w:color w:val="auto"/>
              </w:rPr>
            </w:pPr>
            <w:r>
              <w:rPr>
                <w:rFonts w:ascii="Arial" w:cs="Arial" w:eastAsia="Arial" w:hAnsi="Arial"/>
                <w:sz w:val="15"/>
                <w:szCs w:val="15"/>
                <w:color w:val="auto"/>
              </w:rPr>
              <w:t>Commodi ty contracts not subject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line="171" w:lineRule="exact"/>
              <w:rPr>
                <w:sz w:val="20"/>
                <w:szCs w:val="20"/>
                <w:color w:val="auto"/>
              </w:rPr>
            </w:pPr>
            <w:r>
              <w:rPr>
                <w:rFonts w:ascii="Arial" w:cs="Arial" w:eastAsia="Arial" w:hAnsi="Arial"/>
                <w:sz w:val="15"/>
                <w:szCs w:val="15"/>
                <w:color w:val="auto"/>
              </w:rPr>
              <w:t>rate recovery</w:t>
            </w:r>
          </w:p>
        </w:tc>
        <w:tc>
          <w:tcPr>
            <w:tcW w:w="280" w:type="dxa"/>
            <w:vAlign w:val="bottom"/>
          </w:tcPr>
          <w:p>
            <w:pPr>
              <w:spacing w:after="0"/>
              <w:rPr>
                <w:sz w:val="14"/>
                <w:szCs w:val="14"/>
                <w:color w:val="auto"/>
              </w:rPr>
            </w:pPr>
          </w:p>
        </w:tc>
        <w:tc>
          <w:tcPr>
            <w:tcW w:w="520" w:type="dxa"/>
            <w:vAlign w:val="bottom"/>
          </w:tcPr>
          <w:p>
            <w:pPr>
              <w:jc w:val="right"/>
              <w:ind w:right="67"/>
              <w:spacing w:after="0" w:line="171" w:lineRule="exact"/>
              <w:rPr>
                <w:sz w:val="20"/>
                <w:szCs w:val="20"/>
                <w:color w:val="auto"/>
              </w:rPr>
            </w:pPr>
            <w:r>
              <w:rPr>
                <w:rFonts w:ascii="Arial" w:cs="Arial" w:eastAsia="Arial" w:hAnsi="Arial"/>
                <w:sz w:val="15"/>
                <w:szCs w:val="15"/>
                <w:color w:val="auto"/>
              </w:rPr>
              <w:t>7</w:t>
            </w:r>
          </w:p>
        </w:tc>
        <w:tc>
          <w:tcPr>
            <w:tcW w:w="540" w:type="dxa"/>
            <w:vAlign w:val="bottom"/>
          </w:tcPr>
          <w:p>
            <w:pPr>
              <w:spacing w:after="0"/>
              <w:rPr>
                <w:sz w:val="14"/>
                <w:szCs w:val="14"/>
                <w:color w:val="auto"/>
              </w:rPr>
            </w:pPr>
          </w:p>
        </w:tc>
        <w:tc>
          <w:tcPr>
            <w:tcW w:w="540" w:type="dxa"/>
            <w:vAlign w:val="bottom"/>
          </w:tcPr>
          <w:p>
            <w:pPr>
              <w:jc w:val="right"/>
              <w:ind w:right="84"/>
              <w:spacing w:after="0" w:line="171" w:lineRule="exact"/>
              <w:rPr>
                <w:sz w:val="20"/>
                <w:szCs w:val="20"/>
                <w:color w:val="auto"/>
              </w:rPr>
            </w:pPr>
            <w:r>
              <w:rPr>
                <w:rFonts w:ascii="Arial" w:cs="Arial" w:eastAsia="Arial" w:hAnsi="Arial"/>
                <w:sz w:val="15"/>
                <w:szCs w:val="15"/>
                <w:color w:val="auto"/>
              </w:rPr>
              <w:t>62</w:t>
            </w:r>
          </w:p>
        </w:tc>
        <w:tc>
          <w:tcPr>
            <w:tcW w:w="1040" w:type="dxa"/>
            <w:vAlign w:val="bottom"/>
          </w:tcPr>
          <w:p>
            <w:pPr>
              <w:spacing w:after="0"/>
              <w:rPr>
                <w:sz w:val="14"/>
                <w:szCs w:val="14"/>
                <w:color w:val="auto"/>
              </w:rPr>
            </w:pPr>
          </w:p>
        </w:tc>
        <w:tc>
          <w:tcPr>
            <w:tcW w:w="1140" w:type="dxa"/>
            <w:vAlign w:val="bottom"/>
          </w:tcPr>
          <w:p>
            <w:pPr>
              <w:jc w:val="right"/>
              <w:ind w:right="47"/>
              <w:spacing w:after="0" w:line="171" w:lineRule="exact"/>
              <w:rPr>
                <w:sz w:val="20"/>
                <w:szCs w:val="20"/>
                <w:color w:val="auto"/>
              </w:rPr>
            </w:pPr>
            <w:r>
              <w:rPr>
                <w:rFonts w:ascii="Arial" w:cs="Arial" w:eastAsia="Arial" w:hAnsi="Arial"/>
                <w:sz w:val="15"/>
                <w:szCs w:val="15"/>
                <w:color w:val="auto"/>
              </w:rPr>
              <w:t>-</w:t>
            </w:r>
          </w:p>
        </w:tc>
        <w:tc>
          <w:tcPr>
            <w:tcW w:w="720" w:type="dxa"/>
            <w:vAlign w:val="bottom"/>
          </w:tcPr>
          <w:p>
            <w:pPr>
              <w:spacing w:after="0"/>
              <w:rPr>
                <w:sz w:val="14"/>
                <w:szCs w:val="14"/>
                <w:color w:val="auto"/>
              </w:rPr>
            </w:pPr>
          </w:p>
        </w:tc>
        <w:tc>
          <w:tcPr>
            <w:tcW w:w="6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(40)</w:t>
            </w:r>
          </w:p>
        </w:tc>
        <w:tc>
          <w:tcPr>
            <w:tcW w:w="500" w:type="dxa"/>
            <w:vAlign w:val="bottom"/>
          </w:tcPr>
          <w:p>
            <w:pPr>
              <w:spacing w:after="0"/>
              <w:rPr>
                <w:sz w:val="14"/>
                <w:szCs w:val="14"/>
                <w:color w:val="auto"/>
              </w:rPr>
            </w:pPr>
          </w:p>
        </w:tc>
        <w:tc>
          <w:tcPr>
            <w:tcW w:w="660" w:type="dxa"/>
            <w:vAlign w:val="bottom"/>
          </w:tcPr>
          <w:p>
            <w:pPr>
              <w:jc w:val="right"/>
              <w:ind w:right="47"/>
              <w:spacing w:after="0" w:line="171"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jc w:val="right"/>
              <w:ind w:right="44"/>
              <w:spacing w:after="0" w:line="171" w:lineRule="exact"/>
              <w:rPr>
                <w:sz w:val="20"/>
                <w:szCs w:val="20"/>
                <w:color w:val="auto"/>
              </w:rPr>
            </w:pPr>
            <w:r>
              <w:rPr>
                <w:rFonts w:ascii="Arial" w:cs="Arial" w:eastAsia="Arial" w:hAnsi="Arial"/>
                <w:sz w:val="15"/>
                <w:szCs w:val="15"/>
                <w:color w:val="auto"/>
              </w:rPr>
              <w:t>-&amp;nb</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ind w:right="7"/>
              <w:spacing w:after="0" w:line="171" w:lineRule="exact"/>
              <w:rPr>
                <w:sz w:val="20"/>
                <w:szCs w:val="20"/>
                <w:color w:val="auto"/>
              </w:rPr>
            </w:pPr>
            <w:r>
              <w:rPr>
                <w:rFonts w:ascii="Arial" w:cs="Arial" w:eastAsia="Arial" w:hAnsi="Arial"/>
                <w:sz w:val="15"/>
                <w:szCs w:val="15"/>
                <w:color w:val="auto"/>
              </w:rPr>
              <w:t>&amp;</w:t>
            </w:r>
          </w:p>
        </w:tc>
        <w:tc>
          <w:tcPr>
            <w:tcW w:w="0" w:type="dxa"/>
            <w:vAlign w:val="bottom"/>
          </w:tcPr>
          <w:p>
            <w:pPr>
              <w:spacing w:after="0"/>
              <w:rPr>
                <w:sz w:val="1"/>
                <w:szCs w:val="1"/>
                <w:color w:val="auto"/>
              </w:rPr>
            </w:pPr>
          </w:p>
        </w:tc>
      </w:tr>
      <w:tr>
        <w:trPr>
          <w:trHeight w:val="169"/>
        </w:trPr>
        <w:tc>
          <w:tcPr>
            <w:tcW w:w="2680" w:type="dxa"/>
            <w:vAlign w:val="bottom"/>
          </w:tcPr>
          <w:p>
            <w:pPr>
              <w:ind w:left="160"/>
              <w:spacing w:after="0" w:line="169" w:lineRule="exact"/>
              <w:rPr>
                <w:sz w:val="20"/>
                <w:szCs w:val="20"/>
                <w:color w:val="auto"/>
              </w:rPr>
            </w:pPr>
            <w:r>
              <w:rPr>
                <w:rFonts w:ascii="Arial" w:cs="Arial" w:eastAsia="Arial" w:hAnsi="Arial"/>
                <w:sz w:val="15"/>
                <w:szCs w:val="15"/>
                <w:color w:val="auto"/>
              </w:rPr>
              <w:t>Investments</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1</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sp;</w:t>
            </w:r>
          </w:p>
        </w:tc>
        <w:tc>
          <w:tcPr>
            <w:tcW w:w="10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nbsp;1</w:t>
            </w: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167"/>
              <w:spacing w:after="0" w:line="164" w:lineRule="exact"/>
              <w:rPr>
                <w:sz w:val="20"/>
                <w:szCs w:val="20"/>
                <w:color w:val="auto"/>
              </w:rPr>
            </w:pPr>
            <w:r>
              <w:rPr>
                <w:rFonts w:ascii="Arial" w:cs="Arial" w:eastAsia="Arial" w:hAnsi="Arial"/>
                <w:sz w:val="15"/>
                <w:szCs w:val="15"/>
                <w:color w:val="auto"/>
              </w:rPr>
              <w:t>$&lt;</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572</w:t>
            </w:r>
          </w:p>
        </w:tc>
        <w:tc>
          <w:tcPr>
            <w:tcW w:w="5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240</w:t>
            </w:r>
          </w:p>
        </w:tc>
        <w:tc>
          <w:tcPr>
            <w:tcW w:w="1040" w:type="dxa"/>
            <w:vAlign w:val="bottom"/>
            <w:tcBorders>
              <w:bottom w:val="single" w:sz="8" w:color="auto"/>
            </w:tcBorders>
          </w:tcPr>
          <w:p>
            <w:pPr>
              <w:ind w:left="120"/>
              <w:spacing w:after="0" w:line="169"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10</w:t>
            </w:r>
          </w:p>
        </w:tc>
        <w:tc>
          <w:tcPr>
            <w:tcW w:w="72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5"/>
                <w:szCs w:val="15"/>
                <w:color w:val="auto"/>
              </w:rPr>
              <w:t>/font&gt;</w:t>
            </w:r>
          </w:p>
        </w:tc>
        <w:tc>
          <w:tcPr>
            <w:tcW w:w="6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(40)</w:t>
            </w:r>
          </w:p>
        </w:tc>
        <w:tc>
          <w:tcPr>
            <w:tcW w:w="50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227"/>
        </w:trPr>
        <w:tc>
          <w:tcPr>
            <w:tcW w:w="2680" w:type="dxa"/>
            <w:vAlign w:val="bottom"/>
          </w:tcPr>
          <w:p>
            <w:pPr>
              <w:spacing w:after="0"/>
              <w:rPr>
                <w:sz w:val="20"/>
                <w:szCs w:val="20"/>
                <w:color w:val="auto"/>
              </w:rPr>
            </w:pPr>
            <w:r>
              <w:rPr>
                <w:rFonts w:ascii="Arial" w:cs="Arial" w:eastAsia="Arial" w:hAnsi="Arial"/>
                <w:sz w:val="15"/>
                <w:szCs w:val="15"/>
                <w:color w:val="auto"/>
              </w:rPr>
              <w:t>Liabilities:</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vMerge w:val="restart"/>
          </w:tcPr>
          <w:p>
            <w:pPr>
              <w:jc w:val="right"/>
              <w:ind w:right="44"/>
              <w:spacing w:after="0"/>
              <w:rPr>
                <w:sz w:val="20"/>
                <w:szCs w:val="20"/>
                <w:color w:val="auto"/>
              </w:rPr>
            </w:pPr>
            <w:r>
              <w:rPr>
                <w:rFonts w:ascii="Arial" w:cs="Arial" w:eastAsia="Arial" w:hAnsi="Arial"/>
                <w:sz w:val="15"/>
                <w:szCs w:val="15"/>
                <w:color w:val="auto"/>
              </w:rPr>
              <w:t xml:space="preserve">59 </w:t>
            </w:r>
            <w:r>
              <w:rPr>
                <w:rFonts w:ascii="Arial" w:cs="Arial" w:eastAsia="Arial" w:hAnsi="Arial"/>
                <w:sz w:val="19"/>
                <w:szCs w:val="19"/>
                <w:color w:val="auto"/>
              </w:rPr>
              <w:t>&lt;</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vMerge w:val="restart"/>
          </w:tcPr>
          <w:p>
            <w:pPr>
              <w:jc w:val="right"/>
              <w:ind w:right="47"/>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12"/>
        </w:trPr>
        <w:tc>
          <w:tcPr>
            <w:tcW w:w="2680" w:type="dxa"/>
            <w:vAlign w:val="bottom"/>
            <w:vMerge w:val="restart"/>
          </w:tcPr>
          <w:p>
            <w:pPr>
              <w:ind w:left="160"/>
              <w:spacing w:after="0"/>
              <w:rPr>
                <w:sz w:val="20"/>
                <w:szCs w:val="20"/>
                <w:color w:val="auto"/>
              </w:rPr>
            </w:pPr>
            <w:r>
              <w:rPr>
                <w:rFonts w:ascii="Arial" w:cs="Arial" w:eastAsia="Arial" w:hAnsi="Arial"/>
                <w:sz w:val="15"/>
                <w:szCs w:val="15"/>
                <w:color w:val="auto"/>
              </w:rPr>
              <w:t>Interest rate instruments</w:t>
            </w:r>
          </w:p>
        </w:tc>
        <w:tc>
          <w:tcPr>
            <w:tcW w:w="280" w:type="dxa"/>
            <w:vAlign w:val="bottom"/>
            <w:vMerge w:val="restart"/>
          </w:tcPr>
          <w:p>
            <w:pPr>
              <w:jc w:val="right"/>
              <w:ind w:right="47"/>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ind w:right="67"/>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ind w:right="44"/>
              <w:spacing w:after="0"/>
              <w:rPr>
                <w:sz w:val="20"/>
                <w:szCs w:val="20"/>
                <w:color w:val="auto"/>
              </w:rPr>
            </w:pPr>
            <w:r>
              <w:rPr>
                <w:rFonts w:ascii="Arial" w:cs="Arial" w:eastAsia="Arial" w:hAnsi="Arial"/>
                <w:sz w:val="19"/>
                <w:szCs w:val="19"/>
                <w:color w:val="auto"/>
              </w:rPr>
              <w:t>/p&gt;</w:t>
            </w:r>
          </w:p>
        </w:tc>
        <w:tc>
          <w:tcPr>
            <w:tcW w:w="104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67"/>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160"/>
              <w:spacing w:after="0" w:line="171" w:lineRule="exact"/>
              <w:rPr>
                <w:sz w:val="20"/>
                <w:szCs w:val="20"/>
                <w:color w:val="auto"/>
              </w:rPr>
            </w:pPr>
            <w:r>
              <w:rPr>
                <w:rFonts w:ascii="Arial" w:cs="Arial" w:eastAsia="Arial" w:hAnsi="Arial"/>
                <w:sz w:val="15"/>
                <w:szCs w:val="15"/>
                <w:color w:val="auto"/>
              </w:rPr>
              <w:t>Commodity contracts subject to rate</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line="171" w:lineRule="exact"/>
              <w:rPr>
                <w:sz w:val="20"/>
                <w:szCs w:val="20"/>
                <w:color w:val="auto"/>
              </w:rPr>
            </w:pPr>
            <w:r>
              <w:rPr>
                <w:rFonts w:ascii="Arial" w:cs="Arial" w:eastAsia="Arial" w:hAnsi="Arial"/>
                <w:sz w:val="15"/>
                <w:szCs w:val="15"/>
                <w:color w:val="auto"/>
              </w:rPr>
              <w:t>recovery</w:t>
            </w:r>
          </w:p>
        </w:tc>
        <w:tc>
          <w:tcPr>
            <w:tcW w:w="280" w:type="dxa"/>
            <w:vAlign w:val="bottom"/>
          </w:tcPr>
          <w:p>
            <w:pPr>
              <w:spacing w:after="0"/>
              <w:rPr>
                <w:sz w:val="14"/>
                <w:szCs w:val="14"/>
                <w:color w:val="auto"/>
              </w:rPr>
            </w:pPr>
          </w:p>
        </w:tc>
        <w:tc>
          <w:tcPr>
            <w:tcW w:w="520" w:type="dxa"/>
            <w:vAlign w:val="bottom"/>
          </w:tcPr>
          <w:p>
            <w:pPr>
              <w:jc w:val="right"/>
              <w:ind w:right="67"/>
              <w:spacing w:after="0" w:line="171" w:lineRule="exact"/>
              <w:rPr>
                <w:sz w:val="20"/>
                <w:szCs w:val="20"/>
                <w:color w:val="auto"/>
              </w:rPr>
            </w:pPr>
            <w:r>
              <w:rPr>
                <w:rFonts w:ascii="Arial" w:cs="Arial" w:eastAsia="Arial" w:hAnsi="Arial"/>
                <w:sz w:val="15"/>
                <w:szCs w:val="15"/>
                <w:color w:val="auto"/>
              </w:rPr>
              <w:t>9</w:t>
            </w:r>
          </w:p>
        </w:tc>
        <w:tc>
          <w:tcPr>
            <w:tcW w:w="540" w:type="dxa"/>
            <w:vAlign w:val="bottom"/>
          </w:tcPr>
          <w:p>
            <w:pPr>
              <w:spacing w:after="0"/>
              <w:rPr>
                <w:sz w:val="14"/>
                <w:szCs w:val="14"/>
                <w:color w:val="auto"/>
              </w:rPr>
            </w:pPr>
          </w:p>
        </w:tc>
        <w:tc>
          <w:tcPr>
            <w:tcW w:w="540" w:type="dxa"/>
            <w:vAlign w:val="bottom"/>
          </w:tcPr>
          <w:p>
            <w:pPr>
              <w:jc w:val="right"/>
              <w:ind w:right="84"/>
              <w:spacing w:after="0" w:line="171" w:lineRule="exact"/>
              <w:rPr>
                <w:sz w:val="20"/>
                <w:szCs w:val="20"/>
                <w:color w:val="auto"/>
              </w:rPr>
            </w:pPr>
            <w:r>
              <w:rPr>
                <w:rFonts w:ascii="Arial" w:cs="Arial" w:eastAsia="Arial" w:hAnsi="Arial"/>
                <w:sz w:val="15"/>
                <w:szCs w:val="15"/>
                <w:color w:val="auto"/>
              </w:rPr>
              <w:t>9</w:t>
            </w:r>
          </w:p>
        </w:tc>
        <w:tc>
          <w:tcPr>
            <w:tcW w:w="1040" w:type="dxa"/>
            <w:vAlign w:val="bottom"/>
          </w:tcPr>
          <w:p>
            <w:pPr>
              <w:spacing w:after="0"/>
              <w:rPr>
                <w:sz w:val="14"/>
                <w:szCs w:val="14"/>
                <w:color w:val="auto"/>
              </w:rPr>
            </w:pPr>
          </w:p>
        </w:tc>
        <w:tc>
          <w:tcPr>
            <w:tcW w:w="1140" w:type="dxa"/>
            <w:vAlign w:val="bottom"/>
          </w:tcPr>
          <w:p>
            <w:pPr>
              <w:jc w:val="right"/>
              <w:ind w:right="47"/>
              <w:spacing w:after="0" w:line="171" w:lineRule="exact"/>
              <w:rPr>
                <w:sz w:val="20"/>
                <w:szCs w:val="20"/>
                <w:color w:val="auto"/>
              </w:rPr>
            </w:pPr>
            <w:r>
              <w:rPr>
                <w:rFonts w:ascii="Arial" w:cs="Arial" w:eastAsia="Arial" w:hAnsi="Arial"/>
                <w:sz w:val="15"/>
                <w:szCs w:val="15"/>
                <w:color w:val="auto"/>
              </w:rPr>
              <w:t>-</w:t>
            </w:r>
          </w:p>
        </w:tc>
        <w:tc>
          <w:tcPr>
            <w:tcW w:w="720" w:type="dxa"/>
            <w:vAlign w:val="bottom"/>
          </w:tcPr>
          <w:p>
            <w:pPr>
              <w:spacing w:after="0"/>
              <w:rPr>
                <w:sz w:val="14"/>
                <w:szCs w:val="14"/>
                <w:color w:val="auto"/>
              </w:rPr>
            </w:pPr>
          </w:p>
        </w:tc>
        <w:tc>
          <w:tcPr>
            <w:tcW w:w="6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(9)</w:t>
            </w:r>
          </w:p>
        </w:tc>
        <w:tc>
          <w:tcPr>
            <w:tcW w:w="500" w:type="dxa"/>
            <w:vAlign w:val="bottom"/>
          </w:tcPr>
          <w:p>
            <w:pPr>
              <w:spacing w:after="0"/>
              <w:rPr>
                <w:sz w:val="14"/>
                <w:szCs w:val="14"/>
                <w:color w:val="auto"/>
              </w:rPr>
            </w:pPr>
          </w:p>
        </w:tc>
        <w:tc>
          <w:tcPr>
            <w:tcW w:w="660" w:type="dxa"/>
            <w:vAlign w:val="bottom"/>
          </w:tcPr>
          <w:p>
            <w:pPr>
              <w:jc w:val="right"/>
              <w:ind w:right="47"/>
              <w:spacing w:after="0" w:line="171"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0"/>
        </w:trPr>
        <w:tc>
          <w:tcPr>
            <w:tcW w:w="2680" w:type="dxa"/>
            <w:vAlign w:val="bottom"/>
          </w:tcPr>
          <w:p>
            <w:pPr>
              <w:ind w:left="160"/>
              <w:spacing w:after="0" w:line="171" w:lineRule="exact"/>
              <w:rPr>
                <w:sz w:val="20"/>
                <w:szCs w:val="20"/>
                <w:color w:val="auto"/>
              </w:rPr>
            </w:pPr>
            <w:r>
              <w:rPr>
                <w:rFonts w:ascii="Arial" w:cs="Arial" w:eastAsia="Arial" w:hAnsi="Arial"/>
                <w:sz w:val="15"/>
                <w:szCs w:val="15"/>
                <w:color w:val="auto"/>
              </w:rPr>
              <w:t>Commodity contracts not subject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rate recovery</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65</w:t>
            </w:r>
          </w:p>
        </w:tc>
        <w:tc>
          <w:tcPr>
            <w:tcW w:w="10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94"/>
        </w:trPr>
        <w:tc>
          <w:tcPr>
            <w:tcW w:w="2680" w:type="dxa"/>
            <w:vAlign w:val="bottom"/>
          </w:tcPr>
          <w:p>
            <w:pPr>
              <w:spacing w:after="0"/>
              <w:rPr>
                <w:sz w:val="20"/>
                <w:szCs w:val="20"/>
                <w:color w:val="auto"/>
              </w:rPr>
            </w:pPr>
            <w:r>
              <w:rPr>
                <w:rFonts w:ascii="Arial" w:cs="Arial" w:eastAsia="Arial" w:hAnsi="Arial"/>
                <w:sz w:val="15"/>
                <w:szCs w:val="15"/>
                <w:color w:val="auto"/>
              </w:rPr>
              <w:t>Total</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7"/>
              <w:spacing w:after="0"/>
              <w:rPr>
                <w:sz w:val="20"/>
                <w:szCs w:val="20"/>
                <w:color w:val="auto"/>
              </w:rPr>
            </w:pPr>
            <w:r>
              <w:rPr>
                <w:rFonts w:ascii="Arial" w:cs="Arial" w:eastAsia="Arial" w:hAnsi="Arial"/>
                <w:sz w:val="15"/>
                <w:szCs w:val="15"/>
                <w:color w:val="auto"/>
              </w:rPr>
              <w:t>9</w:t>
            </w: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133</w:t>
            </w:r>
          </w:p>
        </w:tc>
        <w:tc>
          <w:tcPr>
            <w:tcW w:w="1040" w:type="dxa"/>
            <w:vAlign w:val="bottom"/>
          </w:tcPr>
          <w:p>
            <w:pPr>
              <w:ind w:left="12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7"/>
              <w:spacing w:after="0"/>
              <w:rPr>
                <w:sz w:val="20"/>
                <w:szCs w:val="20"/>
                <w:color w:val="auto"/>
              </w:rPr>
            </w:pPr>
            <w:r>
              <w:rPr>
                <w:rFonts w:ascii="Arial" w:cs="Arial" w:eastAsia="Arial" w:hAnsi="Arial"/>
                <w:sz w:val="15"/>
                <w:szCs w:val="15"/>
                <w:color w:val="auto"/>
              </w:rPr>
              <w:t>(9)</w:t>
            </w:r>
          </w:p>
        </w:tc>
        <w:tc>
          <w:tcPr>
            <w:tcW w:w="5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5937885"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37885" cy="23495"/>
                    </a:xfrm>
                    <a:prstGeom prst="rect">
                      <a:avLst/>
                    </a:prstGeom>
                    <a:noFill/>
                  </pic:spPr>
                </pic:pic>
              </a:graphicData>
            </a:graphic>
          </wp:anchor>
        </w:drawing>
      </w:r>
    </w:p>
    <w:p>
      <w:pPr>
        <w:sectPr>
          <w:pgSz w:w="11900" w:h="16858" w:orient="portrait"/>
          <w:cols w:equalWidth="0" w:num="1">
            <w:col w:w="10219"/>
          </w:cols>
          <w:pgMar w:left="240" w:top="270" w:right="1440" w:bottom="0" w:gutter="0" w:footer="0" w:header="0"/>
        </w:sectPr>
      </w:pPr>
    </w:p>
    <w:p>
      <w:pPr>
        <w:spacing w:after="0" w:line="10" w:lineRule="exact"/>
        <w:rPr>
          <w:sz w:val="20"/>
          <w:szCs w:val="20"/>
          <w:color w:val="auto"/>
        </w:rPr>
      </w:pPr>
    </w:p>
    <w:p>
      <w:pPr>
        <w:ind w:left="100" w:hanging="9"/>
        <w:spacing w:after="0" w:line="263" w:lineRule="auto"/>
        <w:tabs>
          <w:tab w:leader="none" w:pos="2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font style="FONT-SIZE:8pt; COLOR:black; FONT-FAMILY:'Arial','sans-serif'"&gt;(1)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Excludes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w:t>
      </w:r>
    </w:p>
    <w:p>
      <w:pPr>
        <w:spacing w:after="0" w:line="234" w:lineRule="auto"/>
        <w:rPr>
          <w:sz w:val="20"/>
          <w:szCs w:val="20"/>
          <w:color w:val="auto"/>
        </w:rPr>
      </w:pPr>
      <w:r>
        <w:rPr>
          <w:rFonts w:ascii="Arial" w:cs="Arial" w:eastAsia="Arial" w:hAnsi="Arial"/>
          <w:sz w:val="13"/>
          <w:szCs w:val="13"/>
          <w:i w:val="1"/>
          <w:iCs w:val="1"/>
          <w:color w:val="auto"/>
        </w:rPr>
        <w:t>balances</w:t>
      </w:r>
    </w:p>
    <w:p>
      <w:pPr>
        <w:spacing w:after="0" w:line="235" w:lineRule="auto"/>
        <w:rPr>
          <w:sz w:val="20"/>
          <w:szCs w:val="20"/>
          <w:color w:val="auto"/>
        </w:rPr>
      </w:pPr>
      <w:r>
        <w:rPr>
          <w:rFonts w:ascii="Arial" w:cs="Arial" w:eastAsia="Arial" w:hAnsi="Arial"/>
          <w:sz w:val="13"/>
          <w:szCs w:val="13"/>
          <w:i w:val="1"/>
          <w:iCs w:val="1"/>
          <w:color w:val="auto"/>
        </w:rPr>
        <w:t>and cash</w:t>
      </w:r>
    </w:p>
    <w:p>
      <w:pPr>
        <w:spacing w:after="0"/>
        <w:rPr>
          <w:sz w:val="20"/>
          <w:szCs w:val="20"/>
          <w:color w:val="auto"/>
        </w:rPr>
      </w:pPr>
      <w:r>
        <w:rPr>
          <w:rFonts w:ascii="Arial" w:cs="Arial" w:eastAsia="Arial" w:hAnsi="Arial"/>
          <w:sz w:val="13"/>
          <w:szCs w:val="13"/>
          <w:i w:val="1"/>
          <w:iCs w:val="1"/>
          <w:color w:val="auto"/>
        </w:rPr>
        <w:t>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133985</wp:posOffset>
            </wp:positionV>
            <wp:extent cx="6092825" cy="294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92825" cy="294005"/>
                    </a:xfrm>
                    <a:prstGeom prst="rect">
                      <a:avLst/>
                    </a:prstGeom>
                    <a:noFill/>
                  </pic:spPr>
                </pic:pic>
              </a:graphicData>
            </a:graphic>
          </wp:anchor>
        </w:drawing>
      </w:r>
    </w:p>
    <w:p>
      <w:pPr>
        <w:spacing w:after="0" w:line="219" w:lineRule="exact"/>
        <w:rPr>
          <w:sz w:val="20"/>
          <w:szCs w:val="20"/>
          <w:color w:val="auto"/>
        </w:rPr>
      </w:pPr>
    </w:p>
    <w:p>
      <w:pPr>
        <w:sectPr>
          <w:pgSz w:w="11900" w:h="16858" w:orient="portrait"/>
          <w:cols w:equalWidth="0" w:num="2">
            <w:col w:w="1780" w:space="200"/>
            <w:col w:w="8239"/>
          </w:cols>
          <w:pgMar w:left="240" w:top="270" w:right="1440" w:bottom="0" w:gutter="0" w:footer="0" w:header="0"/>
          <w:type w:val="continuous"/>
        </w:sectPr>
      </w:pPr>
    </w:p>
    <w:p>
      <w:pPr>
        <w:spacing w:after="0" w:line="3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RECURRING FAIR VALUE MEASURES -- SDG&amp;E</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132" w:lineRule="exact"/>
        <w:rPr>
          <w:sz w:val="20"/>
          <w:szCs w:val="20"/>
          <w:color w:val="auto"/>
        </w:rPr>
      </w:pPr>
    </w:p>
    <w:p>
      <w:pPr>
        <w:jc w:val="right"/>
        <w:ind w:right="2379"/>
        <w:spacing w:after="0"/>
        <w:rPr>
          <w:sz w:val="20"/>
          <w:szCs w:val="20"/>
          <w:color w:val="auto"/>
        </w:rPr>
      </w:pPr>
      <w:r>
        <w:rPr>
          <w:rFonts w:ascii="Arial" w:cs="Arial" w:eastAsia="Arial" w:hAnsi="Arial"/>
          <w:sz w:val="13"/>
          <w:szCs w:val="13"/>
          <w:color w:val="auto"/>
        </w:rPr>
        <w:t>At fair value as of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-4445</wp:posOffset>
            </wp:positionV>
            <wp:extent cx="34099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9950" cy="7620"/>
                    </a:xfrm>
                    <a:prstGeom prst="rect">
                      <a:avLst/>
                    </a:prstGeom>
                    <a:noFill/>
                  </pic:spPr>
                </pic:pic>
              </a:graphicData>
            </a:graphic>
          </wp:anchor>
        </w:drawing>
      </w:r>
    </w:p>
    <w:p>
      <w:pPr>
        <w:sectPr>
          <w:pgSz w:w="11900" w:h="16858" w:orient="portrait"/>
          <w:cols w:equalWidth="0" w:num="1">
            <w:col w:w="10219"/>
          </w:cols>
          <w:pgMar w:left="240" w:top="270" w:right="1440" w:bottom="0" w:gutter="0" w:footer="0" w:header="0"/>
          <w:type w:val="continuous"/>
        </w:sectPr>
      </w:pPr>
    </w:p>
    <w:bookmarkStart w:id="31" w:name="page32"/>
    <w:bookmarkEnd w:id="31"/>
    <w:p>
      <w:pPr>
        <w:spacing w:after="0" w:line="56"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6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Collateral</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color w:val="auto"/>
              </w:rPr>
              <w:t>Level 1</w:t>
            </w: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Level 2</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Level 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netted</w:t>
            </w: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9"/>
        </w:trPr>
        <w:tc>
          <w:tcPr>
            <w:tcW w:w="620" w:type="dxa"/>
            <w:vAlign w:val="bottom"/>
          </w:tcPr>
          <w:p>
            <w:pPr>
              <w:ind w:left="100"/>
              <w:spacing w:after="0"/>
              <w:rPr>
                <w:sz w:val="20"/>
                <w:szCs w:val="20"/>
                <w:color w:val="auto"/>
              </w:rPr>
            </w:pPr>
            <w:r>
              <w:rPr>
                <w:rFonts w:ascii="Arial" w:cs="Arial" w:eastAsia="Arial" w:hAnsi="Arial"/>
                <w:sz w:val="15"/>
                <w:szCs w:val="15"/>
                <w:color w:val="auto"/>
              </w:rPr>
              <w:t>Assets: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vMerge w:val="restart"/>
          </w:tcPr>
          <w:p>
            <w:pPr>
              <w:jc w:val="right"/>
              <w:ind w:right="25"/>
              <w:spacing w:after="0"/>
              <w:rPr>
                <w:sz w:val="20"/>
                <w:szCs w:val="20"/>
                <w:color w:val="auto"/>
              </w:rPr>
            </w:pPr>
            <w:r>
              <w:rPr>
                <w:rFonts w:ascii="Arial" w:cs="Arial" w:eastAsia="Arial" w:hAnsi="Arial"/>
                <w:sz w:val="19"/>
                <w:szCs w:val="19"/>
                <w:color w:val="auto"/>
              </w:rPr>
              <w:t>&amp;nb sp;</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Nuclear decommissioning trusts(1)</w:t>
            </w:r>
          </w:p>
        </w:tc>
        <w:tc>
          <w:tcPr>
            <w:tcW w:w="280" w:type="dxa"/>
            <w:vAlign w:val="bottom"/>
          </w:tcPr>
          <w:p>
            <w:pPr>
              <w:spacing w:after="0"/>
              <w:rPr>
                <w:sz w:val="19"/>
                <w:szCs w:val="19"/>
                <w:color w:val="auto"/>
              </w:rPr>
            </w:pPr>
          </w:p>
        </w:tc>
        <w:tc>
          <w:tcPr>
            <w:tcW w:w="600" w:type="dxa"/>
            <w:vAlign w:val="bottom"/>
            <w:vMerge w:val="restart"/>
          </w:tcPr>
          <w:p>
            <w:pPr>
              <w:jc w:val="right"/>
              <w:ind w:right="67"/>
              <w:spacing w:after="0"/>
              <w:rPr>
                <w:sz w:val="20"/>
                <w:szCs w:val="20"/>
                <w:color w:val="auto"/>
              </w:rPr>
            </w:pPr>
            <w:r>
              <w:rPr>
                <w:rFonts w:ascii="Arial" w:cs="Arial" w:eastAsia="Arial" w:hAnsi="Arial"/>
                <w:sz w:val="15"/>
                <w:szCs w:val="15"/>
                <w:color w:val="auto"/>
              </w:rPr>
              <w:t>368</w:t>
            </w:r>
          </w:p>
        </w:tc>
        <w:tc>
          <w:tcPr>
            <w:tcW w:w="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Equity securities</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19"/>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Debt securities: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5"/>
                <w:szCs w:val="15"/>
                <w:color w:val="auto"/>
                <w:w w:val="99"/>
              </w:rPr>
              <w:t>Debt securities issued by the U.S. Treasury and other</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5"/>
                <w:szCs w:val="15"/>
                <w:color w:val="auto"/>
              </w:rPr>
              <w:t>U.S. government corporations and agencies</w:t>
            </w:r>
          </w:p>
        </w:tc>
        <w:tc>
          <w:tcPr>
            <w:tcW w:w="280" w:type="dxa"/>
            <w:vAlign w:val="bottom"/>
          </w:tcPr>
          <w:p>
            <w:pPr>
              <w:spacing w:after="0"/>
              <w:rPr>
                <w:sz w:val="18"/>
                <w:szCs w:val="18"/>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148</w:t>
            </w:r>
          </w:p>
        </w:tc>
        <w:tc>
          <w:tcPr>
            <w:tcW w:w="8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34</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5"/>
                <w:szCs w:val="15"/>
                <w:color w:val="auto"/>
              </w:rPr>
              <w:t>Municipal bonds</w:t>
            </w:r>
          </w:p>
        </w:tc>
        <w:tc>
          <w:tcPr>
            <w:tcW w:w="280" w:type="dxa"/>
            <w:vAlign w:val="bottom"/>
          </w:tcPr>
          <w:p>
            <w:pPr>
              <w:spacing w:after="0"/>
              <w:rPr>
                <w:sz w:val="19"/>
                <w:szCs w:val="19"/>
                <w:color w:val="auto"/>
              </w:rPr>
            </w:pPr>
          </w:p>
        </w:tc>
        <w:tc>
          <w:tcPr>
            <w:tcW w:w="600" w:type="dxa"/>
            <w:vAlign w:val="bottom"/>
          </w:tcPr>
          <w:p>
            <w:pPr>
              <w:jc w:val="right"/>
              <w:ind w:right="67"/>
              <w:spacing w:after="0"/>
              <w:rPr>
                <w:sz w:val="20"/>
                <w:szCs w:val="20"/>
                <w:color w:val="auto"/>
              </w:rPr>
            </w:pPr>
            <w:r>
              <w:rPr>
                <w:rFonts w:ascii="Arial" w:cs="Arial" w:eastAsia="Arial" w:hAnsi="Arial"/>
                <w:sz w:val="19"/>
                <w:szCs w:val="19"/>
                <w:color w:val="auto"/>
              </w:rPr>
              <w:t>-</w:t>
            </w:r>
          </w:p>
        </w:tc>
        <w:tc>
          <w:tcPr>
            <w:tcW w:w="820" w:type="dxa"/>
            <w:vAlign w:val="bottom"/>
          </w:tcPr>
          <w:p>
            <w:pPr>
              <w:spacing w:after="0"/>
              <w:rPr>
                <w:sz w:val="19"/>
                <w:szCs w:val="19"/>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82</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9"/>
                <w:szCs w:val="19"/>
                <w:color w:val="auto"/>
              </w:rPr>
              <w:t>&lt; /td&gt;</w:t>
            </w:r>
          </w:p>
        </w:tc>
        <w:tc>
          <w:tcPr>
            <w:tcW w:w="62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38"/>
        </w:trPr>
        <w:tc>
          <w:tcPr>
            <w:tcW w:w="620" w:type="dxa"/>
            <w:vAlign w:val="bottom"/>
          </w:tcPr>
          <w:p>
            <w:pPr>
              <w:ind w:left="100"/>
              <w:spacing w:after="0"/>
              <w:rPr>
                <w:sz w:val="20"/>
                <w:szCs w:val="20"/>
                <w:color w:val="auto"/>
              </w:rPr>
            </w:pPr>
            <w:r>
              <w:rPr>
                <w:rFonts w:ascii="Arial" w:cs="Arial" w:eastAsia="Arial" w:hAnsi="Arial"/>
                <w:sz w:val="15"/>
                <w:szCs w:val="15"/>
                <w:color w:val="auto"/>
                <w:w w:val="98"/>
              </w:rPr>
              <w:t>&amp;nb sp;</w:t>
            </w:r>
          </w:p>
        </w:tc>
        <w:tc>
          <w:tcPr>
            <w:tcW w:w="3600" w:type="dxa"/>
            <w:vAlign w:val="bottom"/>
          </w:tcPr>
          <w:p>
            <w:pPr>
              <w:ind w:left="500"/>
              <w:spacing w:after="0"/>
              <w:rPr>
                <w:sz w:val="20"/>
                <w:szCs w:val="20"/>
                <w:color w:val="auto"/>
              </w:rPr>
            </w:pPr>
            <w:r>
              <w:rPr>
                <w:rFonts w:ascii="Arial" w:cs="Arial" w:eastAsia="Arial" w:hAnsi="Arial"/>
                <w:sz w:val="15"/>
                <w:szCs w:val="15"/>
                <w:color w:val="auto"/>
              </w:rPr>
              <w:t>Other securities</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29</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1"/>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Total debt securities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148</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11"/>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Total nuclear decommissioning trusts(1)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516</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661</w:t>
            </w:r>
          </w:p>
        </w:tc>
        <w:tc>
          <w:tcPr>
            <w:tcW w:w="0" w:type="dxa"/>
            <w:vAlign w:val="bottom"/>
          </w:tcPr>
          <w:p>
            <w:pPr>
              <w:spacing w:after="0"/>
              <w:rPr>
                <w:sz w:val="1"/>
                <w:szCs w:val="1"/>
                <w:color w:val="auto"/>
              </w:rPr>
            </w:pPr>
          </w:p>
        </w:tc>
      </w:tr>
      <w:tr>
        <w:trPr>
          <w:trHeight w:val="219"/>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subject to rate recovery</w:t>
            </w:r>
          </w:p>
        </w:tc>
        <w:tc>
          <w:tcPr>
            <w:tcW w:w="280" w:type="dxa"/>
            <w:vAlign w:val="bottom"/>
          </w:tcPr>
          <w:p>
            <w:pPr>
              <w:spacing w:after="0"/>
              <w:rPr>
                <w:sz w:val="19"/>
                <w:szCs w:val="19"/>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23</w:t>
            </w:r>
          </w:p>
        </w:tc>
        <w:tc>
          <w:tcPr>
            <w:tcW w:w="8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not subject to rate recovery</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1"/>
        </w:trPr>
        <w:tc>
          <w:tcPr>
            <w:tcW w:w="620" w:type="dxa"/>
            <w:vAlign w:val="bottom"/>
          </w:tcPr>
          <w:p>
            <w:pPr>
              <w:ind w:left="100"/>
              <w:spacing w:after="0"/>
              <w:rPr>
                <w:sz w:val="20"/>
                <w:szCs w:val="20"/>
                <w:color w:val="auto"/>
              </w:rPr>
            </w:pPr>
            <w:r>
              <w:rPr>
                <w:rFonts w:ascii="Arial" w:cs="Arial" w:eastAsia="Arial" w:hAnsi="Arial"/>
                <w:sz w:val="15"/>
                <w:szCs w:val="15"/>
                <w:color w:val="auto"/>
              </w:rPr>
              <w:t>Total</w:t>
            </w:r>
          </w:p>
        </w:tc>
        <w:tc>
          <w:tcPr>
            <w:tcW w:w="3600" w:type="dxa"/>
            <w:vAlign w:val="bottom"/>
          </w:tcPr>
          <w:p>
            <w:pPr>
              <w:spacing w:after="0"/>
              <w:rPr>
                <w:sz w:val="16"/>
                <w:szCs w:val="16"/>
                <w:color w:val="auto"/>
              </w:rPr>
            </w:pP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540</w:t>
            </w: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145</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446"/>
        </w:trPr>
        <w:tc>
          <w:tcPr>
            <w:tcW w:w="4220" w:type="dxa"/>
            <w:vAlign w:val="bottom"/>
            <w:gridSpan w:val="2"/>
          </w:tcPr>
          <w:p>
            <w:pPr>
              <w:ind w:left="100"/>
              <w:spacing w:after="0"/>
              <w:rPr>
                <w:sz w:val="20"/>
                <w:szCs w:val="20"/>
                <w:color w:val="auto"/>
              </w:rPr>
            </w:pPr>
            <w:r>
              <w:rPr>
                <w:rFonts w:ascii="Arial" w:cs="Arial" w:eastAsia="Arial" w:hAnsi="Arial"/>
                <w:sz w:val="15"/>
                <w:szCs w:val="15"/>
                <w:color w:val="auto"/>
              </w:rPr>
              <w:t>Liabilities: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Interest rate instruments</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67</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subject to rate recovery</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54</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62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Total</w:t>
            </w:r>
          </w:p>
        </w:tc>
        <w:tc>
          <w:tcPr>
            <w:tcW w:w="3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54</w:t>
            </w:r>
          </w:p>
        </w:tc>
        <w:tc>
          <w:tcPr>
            <w:tcW w:w="820" w:type="dxa"/>
            <w:vAlign w:val="bottom"/>
            <w:tcBorders>
              <w:bottom w:val="single" w:sz="8" w:color="auto"/>
            </w:tcBorders>
          </w:tcPr>
          <w:p>
            <w:pPr>
              <w:jc w:val="right"/>
              <w:ind w:right="25"/>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68</w:t>
            </w:r>
          </w:p>
        </w:tc>
        <w:tc>
          <w:tcPr>
            <w:tcW w:w="28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gridSpan w:val="2"/>
          </w:tcPr>
          <w:p>
            <w:pPr>
              <w:jc w:val="right"/>
              <w:ind w:right="80"/>
              <w:spacing w:after="0" w:line="163"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6"/>
              <w:spacing w:after="0" w:line="163" w:lineRule="exact"/>
              <w:rPr>
                <w:sz w:val="20"/>
                <w:szCs w:val="20"/>
                <w:color w:val="auto"/>
              </w:rPr>
            </w:pPr>
            <w:r>
              <w:rPr>
                <w:rFonts w:ascii="Arial" w:cs="Arial" w:eastAsia="Arial" w:hAnsi="Arial"/>
                <w:sz w:val="15"/>
                <w:szCs w:val="15"/>
                <w:color w:val="auto"/>
              </w:rPr>
              <w:t>(54)</w:t>
            </w:r>
          </w:p>
        </w:tc>
        <w:tc>
          <w:tcPr>
            <w:tcW w:w="620" w:type="dxa"/>
            <w:vAlign w:val="bottom"/>
            <w:tcBorders>
              <w:bottom w:val="single" w:sz="8" w:color="auto"/>
            </w:tcBorders>
          </w:tcPr>
          <w:p>
            <w:pPr>
              <w:jc w:val="right"/>
              <w:ind w:right="4"/>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366"/>
              <w:spacing w:after="0"/>
              <w:rPr>
                <w:sz w:val="20"/>
                <w:szCs w:val="20"/>
                <w:color w:val="auto"/>
              </w:rPr>
            </w:pPr>
            <w:r>
              <w:rPr>
                <w:rFonts w:ascii="Arial" w:cs="Arial" w:eastAsia="Arial" w:hAnsi="Arial"/>
                <w:sz w:val="13"/>
                <w:szCs w:val="13"/>
                <w:color w:val="auto"/>
              </w:rPr>
              <w:t>At fair value as of December 31, 2009</w:t>
            </w: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Collateral</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color w:val="auto"/>
              </w:rPr>
              <w:t>Level 1</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Level 2</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Level 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color w:val="auto"/>
              </w:rPr>
              <w:t>netted</w:t>
            </w: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9"/>
        </w:trPr>
        <w:tc>
          <w:tcPr>
            <w:tcW w:w="620" w:type="dxa"/>
            <w:vAlign w:val="bottom"/>
          </w:tcPr>
          <w:p>
            <w:pPr>
              <w:ind w:left="100"/>
              <w:spacing w:after="0"/>
              <w:rPr>
                <w:sz w:val="20"/>
                <w:szCs w:val="20"/>
                <w:color w:val="auto"/>
              </w:rPr>
            </w:pPr>
            <w:r>
              <w:rPr>
                <w:rFonts w:ascii="Arial" w:cs="Arial" w:eastAsia="Arial" w:hAnsi="Arial"/>
                <w:sz w:val="15"/>
                <w:szCs w:val="15"/>
                <w:color w:val="auto"/>
              </w:rPr>
              <w:t>Assets: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Nuclear decommissioning trusts(1)</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Equity securities</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421</w:t>
            </w: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219"/>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Debt securities: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9"/>
                <w:szCs w:val="19"/>
                <w:color w:val="auto"/>
              </w:rPr>
              <w:t>&lt; /p&gt;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5"/>
                <w:szCs w:val="15"/>
                <w:color w:val="auto"/>
                <w:w w:val="99"/>
              </w:rPr>
              <w:t>Debt securities issued by the U.S. Treasury and other</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5"/>
                <w:szCs w:val="15"/>
                <w:color w:val="auto"/>
              </w:rPr>
              <w:t>U.S. government corporations and agencies</w:t>
            </w:r>
          </w:p>
        </w:tc>
        <w:tc>
          <w:tcPr>
            <w:tcW w:w="280" w:type="dxa"/>
            <w:vAlign w:val="bottom"/>
          </w:tcPr>
          <w:p>
            <w:pPr>
              <w:spacing w:after="0"/>
              <w:rPr>
                <w:sz w:val="18"/>
                <w:szCs w:val="18"/>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111</w:t>
            </w:r>
          </w:p>
        </w:tc>
        <w:tc>
          <w:tcPr>
            <w:tcW w:w="8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5"/>
                <w:szCs w:val="15"/>
                <w:color w:val="auto"/>
              </w:rPr>
              <w:t>39</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5"/>
                <w:szCs w:val="15"/>
                <w:color w:val="auto"/>
              </w:rPr>
              <w:t>Municipal bonds</w:t>
            </w:r>
          </w:p>
        </w:tc>
        <w:tc>
          <w:tcPr>
            <w:tcW w:w="280" w:type="dxa"/>
            <w:vAlign w:val="bottom"/>
          </w:tcPr>
          <w:p>
            <w:pPr>
              <w:spacing w:after="0"/>
              <w:rPr>
                <w:sz w:val="19"/>
                <w:szCs w:val="19"/>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9"/>
                <w:szCs w:val="19"/>
                <w:color w:val="auto"/>
              </w:rPr>
            </w:pP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85</w:t>
            </w:r>
          </w:p>
        </w:tc>
        <w:tc>
          <w:tcPr>
            <w:tcW w:w="28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5"/>
                <w:szCs w:val="15"/>
                <w:color w:val="auto"/>
              </w:rPr>
              <w:t>Other securities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13</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1"/>
        </w:trPr>
        <w:tc>
          <w:tcPr>
            <w:tcW w:w="4220" w:type="dxa"/>
            <w:vAlign w:val="bottom"/>
            <w:gridSpan w:val="2"/>
          </w:tcPr>
          <w:p>
            <w:pPr>
              <w:ind w:left="500"/>
              <w:spacing w:after="0"/>
              <w:rPr>
                <w:sz w:val="20"/>
                <w:szCs w:val="20"/>
                <w:color w:val="auto"/>
              </w:rPr>
            </w:pPr>
            <w:r>
              <w:rPr>
                <w:rFonts w:ascii="Arial" w:cs="Arial" w:eastAsia="Arial" w:hAnsi="Arial"/>
                <w:sz w:val="15"/>
                <w:szCs w:val="15"/>
                <w:color w:val="auto"/>
              </w:rPr>
              <w:t>Total debt securities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111</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137</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11"/>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Total nuclear decommissioning trusts(1)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532</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137</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r>
        <w:trPr>
          <w:trHeight w:val="219"/>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subject to rate recovery</w:t>
            </w:r>
          </w:p>
        </w:tc>
        <w:tc>
          <w:tcPr>
            <w:tcW w:w="280" w:type="dxa"/>
            <w:vAlign w:val="bottom"/>
          </w:tcPr>
          <w:p>
            <w:pPr>
              <w:spacing w:after="0"/>
              <w:rPr>
                <w:sz w:val="19"/>
                <w:szCs w:val="19"/>
                <w:color w:val="auto"/>
              </w:rPr>
            </w:pP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29</w:t>
            </w:r>
          </w:p>
        </w:tc>
        <w:tc>
          <w:tcPr>
            <w:tcW w:w="8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not subject to rate recovery</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620" w:type="dxa"/>
            <w:vAlign w:val="bottom"/>
          </w:tcPr>
          <w:p>
            <w:pPr>
              <w:ind w:left="100"/>
              <w:spacing w:after="0" w:line="163" w:lineRule="exact"/>
              <w:rPr>
                <w:sz w:val="20"/>
                <w:szCs w:val="20"/>
                <w:color w:val="auto"/>
              </w:rPr>
            </w:pPr>
            <w:r>
              <w:rPr>
                <w:rFonts w:ascii="Arial" w:cs="Arial" w:eastAsia="Arial" w:hAnsi="Arial"/>
                <w:sz w:val="15"/>
                <w:szCs w:val="15"/>
                <w:color w:val="auto"/>
              </w:rPr>
              <w:t>Total</w:t>
            </w:r>
          </w:p>
        </w:tc>
        <w:tc>
          <w:tcPr>
            <w:tcW w:w="3600" w:type="dxa"/>
            <w:vAlign w:val="bottom"/>
          </w:tcPr>
          <w:p>
            <w:pPr>
              <w:spacing w:after="0"/>
              <w:rPr>
                <w:sz w:val="15"/>
                <w:szCs w:val="15"/>
                <w:color w:val="auto"/>
              </w:rPr>
            </w:pPr>
          </w:p>
        </w:tc>
        <w:tc>
          <w:tcPr>
            <w:tcW w:w="28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562</w:t>
            </w:r>
          </w:p>
        </w:tc>
        <w:tc>
          <w:tcPr>
            <w:tcW w:w="820" w:type="dxa"/>
            <w:vAlign w:val="bottom"/>
            <w:tcBorders>
              <w:bottom w:val="single" w:sz="8" w:color="auto"/>
            </w:tcBorders>
          </w:tcPr>
          <w:p>
            <w:pPr>
              <w:jc w:val="right"/>
              <w:ind w:right="25"/>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8"/>
              <w:spacing w:after="0" w:line="163" w:lineRule="exact"/>
              <w:rPr>
                <w:sz w:val="20"/>
                <w:szCs w:val="20"/>
                <w:color w:val="auto"/>
              </w:rPr>
            </w:pPr>
            <w:r>
              <w:rPr>
                <w:rFonts w:ascii="Arial" w:cs="Arial" w:eastAsia="Arial" w:hAnsi="Arial"/>
                <w:sz w:val="15"/>
                <w:szCs w:val="15"/>
                <w:color w:val="auto"/>
              </w:rPr>
              <w:t>139</w:t>
            </w:r>
          </w:p>
        </w:tc>
        <w:tc>
          <w:tcPr>
            <w:tcW w:w="280" w:type="dxa"/>
            <w:vAlign w:val="bottom"/>
            <w:tcBorders>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10</w:t>
            </w:r>
          </w:p>
        </w:tc>
        <w:tc>
          <w:tcPr>
            <w:tcW w:w="360" w:type="dxa"/>
            <w:vAlign w:val="bottom"/>
            <w:tcBorders>
              <w:bottom w:val="single" w:sz="8" w:color="auto"/>
            </w:tcBorders>
            <w:gridSpan w:val="2"/>
          </w:tcPr>
          <w:p>
            <w:pPr>
              <w:jc w:val="right"/>
              <w:ind w:right="80"/>
              <w:spacing w:after="0" w:line="163"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86"/>
              <w:spacing w:after="0" w:line="163"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4"/>
              <w:spacing w:after="0" w:line="163"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5"/>
                <w:szCs w:val="15"/>
                <w:color w:val="auto"/>
              </w:rPr>
              <w:t>711</w:t>
            </w:r>
          </w:p>
        </w:tc>
        <w:tc>
          <w:tcPr>
            <w:tcW w:w="0" w:type="dxa"/>
            <w:vAlign w:val="bottom"/>
          </w:tcPr>
          <w:p>
            <w:pPr>
              <w:spacing w:after="0"/>
              <w:rPr>
                <w:sz w:val="1"/>
                <w:szCs w:val="1"/>
                <w:color w:val="auto"/>
              </w:rPr>
            </w:pPr>
          </w:p>
        </w:tc>
      </w:tr>
      <w:tr>
        <w:trPr>
          <w:trHeight w:val="446"/>
        </w:trPr>
        <w:tc>
          <w:tcPr>
            <w:tcW w:w="4220" w:type="dxa"/>
            <w:vAlign w:val="bottom"/>
            <w:gridSpan w:val="2"/>
          </w:tcPr>
          <w:p>
            <w:pPr>
              <w:ind w:left="100"/>
              <w:spacing w:after="0"/>
              <w:rPr>
                <w:sz w:val="20"/>
                <w:szCs w:val="20"/>
                <w:color w:val="auto"/>
              </w:rPr>
            </w:pPr>
            <w:r>
              <w:rPr>
                <w:rFonts w:ascii="Arial" w:cs="Arial" w:eastAsia="Arial" w:hAnsi="Arial"/>
                <w:sz w:val="15"/>
                <w:szCs w:val="15"/>
                <w:color w:val="auto"/>
              </w:rPr>
              <w:t>Liabilities: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Interest rate instruments</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8"/>
              <w:spacing w:after="0"/>
              <w:rPr>
                <w:sz w:val="20"/>
                <w:szCs w:val="20"/>
                <w:color w:val="auto"/>
              </w:rPr>
            </w:pPr>
            <w:r>
              <w:rPr>
                <w:rFonts w:ascii="Arial" w:cs="Arial" w:eastAsia="Arial" w:hAnsi="Arial"/>
                <w:sz w:val="15"/>
                <w:szCs w:val="15"/>
                <w:color w:val="auto"/>
              </w:rPr>
              <w:t>43</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8"/>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60"/>
              <w:spacing w:after="0"/>
              <w:rPr>
                <w:sz w:val="20"/>
                <w:szCs w:val="20"/>
                <w:color w:val="auto"/>
              </w:rPr>
            </w:pPr>
            <w:r>
              <w:rPr>
                <w:rFonts w:ascii="Arial" w:cs="Arial" w:eastAsia="Arial" w:hAnsi="Arial"/>
                <w:sz w:val="15"/>
                <w:szCs w:val="15"/>
                <w:color w:val="auto"/>
              </w:rPr>
              <w:t>Commodity contracts subject to rate recovery</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9</w:t>
            </w: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Total</w:t>
            </w:r>
          </w:p>
        </w:tc>
        <w:tc>
          <w:tcPr>
            <w:tcW w:w="3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9</w:t>
            </w: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43</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23" w:hanging="429"/>
        <w:spacing w:after="0"/>
        <w:tabs>
          <w:tab w:leader="none" w:pos="523" w:val="left"/>
        </w:tabs>
        <w:numPr>
          <w:ilvl w:val="1"/>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cash ba lances and cash equivalents.</w:t>
      </w:r>
    </w:p>
    <w:p>
      <w:pPr>
        <w:spacing w:after="0" w:line="206" w:lineRule="exact"/>
        <w:rPr>
          <w:rFonts w:ascii="Arial" w:cs="Arial" w:eastAsia="Arial" w:hAnsi="Arial"/>
          <w:sz w:val="13"/>
          <w:szCs w:val="13"/>
          <w:i w:val="1"/>
          <w:iCs w:val="1"/>
          <w:color w:val="auto"/>
        </w:rPr>
      </w:pPr>
    </w:p>
    <w:p>
      <w:pPr>
        <w:ind w:left="3" w:right="360" w:hanging="3"/>
        <w:spacing w:after="0" w:line="301" w:lineRule="auto"/>
        <w:tabs>
          <w:tab w:leader="none" w:pos="1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BORDER-BOTTOM:black 1pt solid;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59955" cy="294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182" w:lineRule="exact"/>
        <w:rPr>
          <w:sz w:val="20"/>
          <w:szCs w:val="20"/>
          <w:color w:val="auto"/>
        </w:rPr>
      </w:pPr>
    </w:p>
    <w:p>
      <w:pPr>
        <w:ind w:left="103"/>
        <w:spacing w:after="0"/>
        <w:rPr>
          <w:sz w:val="20"/>
          <w:szCs w:val="20"/>
          <w:color w:val="auto"/>
        </w:rPr>
      </w:pPr>
      <w:r>
        <w:rPr>
          <w:rFonts w:ascii="Arial" w:cs="Arial" w:eastAsia="Arial" w:hAnsi="Arial"/>
          <w:sz w:val="15"/>
          <w:szCs w:val="15"/>
          <w:b w:val="1"/>
          <w:bCs w:val="1"/>
          <w:color w:val="auto"/>
        </w:rPr>
        <w:t>RECURRING FAIR VALUE MEASURES -- SOCALGAS</w:t>
      </w:r>
    </w:p>
    <w:p>
      <w:pPr>
        <w:spacing w:after="0" w:line="90" w:lineRule="exact"/>
        <w:rPr>
          <w:sz w:val="20"/>
          <w:szCs w:val="20"/>
          <w:color w:val="auto"/>
        </w:rPr>
      </w:pPr>
    </w:p>
    <w:p>
      <w:pPr>
        <w:ind w:left="103"/>
        <w:spacing w:after="0"/>
        <w:rPr>
          <w:sz w:val="20"/>
          <w:szCs w:val="20"/>
          <w:color w:val="auto"/>
        </w:rPr>
      </w:pPr>
      <w:r>
        <w:rPr>
          <w:rFonts w:ascii="Arial" w:cs="Arial" w:eastAsia="Arial" w:hAnsi="Arial"/>
          <w:sz w:val="13"/>
          <w:szCs w:val="13"/>
          <w:i w:val="1"/>
          <w:iCs w:val="1"/>
          <w:color w:val="auto"/>
        </w:rPr>
        <w:t>(Dollars in millions)</w:t>
      </w:r>
    </w:p>
    <w:p>
      <w:pPr>
        <w:spacing w:after="0" w:line="84" w:lineRule="exact"/>
        <w:rPr>
          <w:sz w:val="20"/>
          <w:szCs w:val="20"/>
          <w:color w:val="auto"/>
        </w:rPr>
      </w:pPr>
    </w:p>
    <w:p>
      <w:pPr>
        <w:ind w:left="6063"/>
        <w:spacing w:after="0"/>
        <w:rPr>
          <w:sz w:val="20"/>
          <w:szCs w:val="20"/>
          <w:color w:val="auto"/>
        </w:rPr>
      </w:pPr>
      <w:r>
        <w:rPr>
          <w:rFonts w:ascii="Arial" w:cs="Arial" w:eastAsia="Arial" w:hAnsi="Arial"/>
          <w:sz w:val="13"/>
          <w:szCs w:val="13"/>
          <w:color w:val="auto"/>
        </w:rPr>
        <w:t>At fair value as of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-4445</wp:posOffset>
            </wp:positionV>
            <wp:extent cx="56286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28640" cy="7620"/>
                    </a:xfrm>
                    <a:prstGeom prst="rect">
                      <a:avLst/>
                    </a:prstGeom>
                    <a:noFill/>
                  </pic:spPr>
                </pic:pic>
              </a:graphicData>
            </a:graphic>
          </wp:anchor>
        </w:drawing>
      </w:r>
    </w:p>
    <w:p>
      <w:pPr>
        <w:sectPr>
          <w:pgSz w:w="11900" w:h="16895" w:orient="portrait"/>
          <w:cols w:equalWidth="0" w:num="1">
            <w:col w:w="11443"/>
          </w:cols>
          <w:pgMar w:left="237" w:top="144" w:right="219" w:bottom="0" w:gutter="0" w:footer="0" w:header="0"/>
        </w:sectPr>
      </w:pP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&amp;nbs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460" w:type="dxa"/>
            <w:vAlign w:val="bottom"/>
            <w:vMerge w:val="restart"/>
          </w:tcPr>
          <w:p>
            <w:pPr>
              <w:jc w:val="center"/>
              <w:ind w:right="2075"/>
              <w:spacing w:after="0"/>
              <w:rPr>
                <w:sz w:val="20"/>
                <w:szCs w:val="20"/>
                <w:color w:val="auto"/>
              </w:rPr>
            </w:pPr>
            <w:r>
              <w:rPr>
                <w:rFonts w:ascii="Arial" w:cs="Arial" w:eastAsia="Arial" w:hAnsi="Arial"/>
                <w:sz w:val="13"/>
                <w:szCs w:val="13"/>
                <w:color w:val="auto"/>
              </w:rPr>
              <w:t>Level</w:t>
            </w:r>
          </w:p>
        </w:tc>
        <w:tc>
          <w:tcPr>
            <w:tcW w:w="2820" w:type="dxa"/>
            <w:vAlign w:val="bottom"/>
            <w:vMerge w:val="restart"/>
          </w:tcPr>
          <w:p>
            <w:pPr>
              <w:jc w:val="center"/>
              <w:ind w:left="1735"/>
              <w:spacing w:after="0"/>
              <w:rPr>
                <w:sz w:val="20"/>
                <w:szCs w:val="20"/>
                <w:color w:val="auto"/>
              </w:rPr>
            </w:pPr>
            <w:r>
              <w:rPr>
                <w:rFonts w:ascii="Arial" w:cs="Arial" w:eastAsia="Arial" w:hAnsi="Arial"/>
                <w:sz w:val="13"/>
                <w:szCs w:val="13"/>
                <w:color w:val="auto"/>
                <w:w w:val="96"/>
              </w:rPr>
              <w:t>Level</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1200" w:type="dxa"/>
            <w:vAlign w:val="bottom"/>
          </w:tcPr>
          <w:p>
            <w:pPr>
              <w:jc w:val="center"/>
              <w:ind w:left="15"/>
              <w:spacing w:after="0"/>
              <w:rPr>
                <w:sz w:val="20"/>
                <w:szCs w:val="20"/>
                <w:color w:val="auto"/>
              </w:rPr>
            </w:pPr>
            <w:r>
              <w:rPr>
                <w:rFonts w:ascii="Arial" w:cs="Arial" w:eastAsia="Arial" w:hAnsi="Arial"/>
                <w:sz w:val="13"/>
                <w:szCs w:val="13"/>
                <w:color w:val="auto"/>
              </w:rPr>
              <w:t>Collateral</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46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tcPr>
          <w:p>
            <w:pPr>
              <w:jc w:val="right"/>
              <w:ind w:right="2195"/>
              <w:spacing w:after="0"/>
              <w:rPr>
                <w:sz w:val="20"/>
                <w:szCs w:val="20"/>
                <w:color w:val="auto"/>
              </w:rPr>
            </w:pPr>
            <w:r>
              <w:rPr>
                <w:rFonts w:ascii="Arial" w:cs="Arial" w:eastAsia="Arial" w:hAnsi="Arial"/>
                <w:sz w:val="13"/>
                <w:szCs w:val="13"/>
                <w:color w:val="auto"/>
              </w:rPr>
              <w:t>1</w:t>
            </w:r>
          </w:p>
        </w:tc>
        <w:tc>
          <w:tcPr>
            <w:tcW w:w="2820" w:type="dxa"/>
            <w:vAlign w:val="bottom"/>
          </w:tcPr>
          <w:p>
            <w:pPr>
              <w:jc w:val="right"/>
              <w:ind w:right="415"/>
              <w:spacing w:after="0"/>
              <w:rPr>
                <w:sz w:val="20"/>
                <w:szCs w:val="20"/>
                <w:color w:val="auto"/>
              </w:rPr>
            </w:pPr>
            <w:r>
              <w:rPr>
                <w:rFonts w:ascii="Arial" w:cs="Arial" w:eastAsia="Arial" w:hAnsi="Arial"/>
                <w:sz w:val="13"/>
                <w:szCs w:val="13"/>
                <w:color w:val="auto"/>
              </w:rPr>
              <w:t>2</w:t>
            </w: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3</w:t>
            </w:r>
          </w:p>
        </w:tc>
        <w:tc>
          <w:tcPr>
            <w:tcW w:w="1200" w:type="dxa"/>
            <w:vAlign w:val="bottom"/>
          </w:tcPr>
          <w:p>
            <w:pPr>
              <w:jc w:val="center"/>
              <w:ind w:left="15"/>
              <w:spacing w:after="0"/>
              <w:rPr>
                <w:sz w:val="20"/>
                <w:szCs w:val="20"/>
                <w:color w:val="auto"/>
              </w:rPr>
            </w:pPr>
            <w:r>
              <w:rPr>
                <w:rFonts w:ascii="Arial" w:cs="Arial" w:eastAsia="Arial" w:hAnsi="Arial"/>
                <w:sz w:val="13"/>
                <w:szCs w:val="13"/>
                <w:color w:val="auto"/>
                <w:w w:val="99"/>
              </w:rPr>
              <w:t>netted</w:t>
            </w:r>
          </w:p>
        </w:tc>
        <w:tc>
          <w:tcPr>
            <w:tcW w:w="560" w:type="dxa"/>
            <w:vAlign w:val="bottom"/>
          </w:tcPr>
          <w:p>
            <w:pPr>
              <w:ind w:left="280"/>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-8255</wp:posOffset>
            </wp:positionV>
            <wp:extent cx="562864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8640" cy="7620"/>
                    </a:xfrm>
                    <a:prstGeom prst="rect">
                      <a:avLst/>
                    </a:prstGeom>
                    <a:noFill/>
                  </pic:spPr>
                </pic:pic>
              </a:graphicData>
            </a:graphic>
          </wp:anchor>
        </w:drawing>
      </w:r>
    </w:p>
    <w:p>
      <w:pPr>
        <w:spacing w:after="0" w:line="47" w:lineRule="exact"/>
        <w:rPr>
          <w:sz w:val="20"/>
          <w:szCs w:val="20"/>
          <w:color w:val="auto"/>
        </w:rPr>
      </w:pPr>
    </w:p>
    <w:p>
      <w:pPr>
        <w:sectPr>
          <w:pgSz w:w="11900" w:h="16895" w:orient="portrait"/>
          <w:cols w:equalWidth="0" w:num="2">
            <w:col w:w="3103" w:space="180"/>
            <w:col w:w="8160"/>
          </w:cols>
          <w:pgMar w:left="237" w:top="144" w:right="219" w:bottom="0" w:gutter="0" w:footer="0" w:header="0"/>
          <w:type w:val="continuous"/>
        </w:sectPr>
      </w:pPr>
    </w:p>
    <w:tbl>
      <w:tblPr>
        <w:tblLayout w:type="fixed"/>
        <w:tblInd w:w="103" w:type="dxa"/>
        <w:tblCellMar>
          <w:top w:w="0" w:type="dxa"/>
          <w:left w:w="0" w:type="dxa"/>
          <w:bottom w:w="0" w:type="dxa"/>
          <w:right w:w="0" w:type="dxa"/>
        </w:tblCellMar>
      </w:tblPr>
      <w:tr>
        <w:trPr>
          <w:trHeight w:val="172"/>
        </w:trPr>
        <w:tc>
          <w:tcPr>
            <w:tcW w:w="2600" w:type="dxa"/>
            <w:vAlign w:val="bottom"/>
          </w:tcPr>
          <w:p>
            <w:pPr>
              <w:spacing w:after="0"/>
              <w:rPr>
                <w:sz w:val="20"/>
                <w:szCs w:val="20"/>
                <w:color w:val="auto"/>
              </w:rPr>
            </w:pPr>
            <w:r>
              <w:rPr>
                <w:rFonts w:ascii="Arial" w:cs="Arial" w:eastAsia="Arial" w:hAnsi="Arial"/>
                <w:sz w:val="15"/>
                <w:szCs w:val="15"/>
                <w:color w:val="auto"/>
              </w:rPr>
              <w:t>Assets:</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160"/>
              <w:spacing w:after="0" w:line="171" w:lineRule="exact"/>
              <w:rPr>
                <w:sz w:val="20"/>
                <w:szCs w:val="20"/>
                <w:color w:val="auto"/>
              </w:rPr>
            </w:pPr>
            <w:r>
              <w:rPr>
                <w:rFonts w:ascii="Arial" w:cs="Arial" w:eastAsia="Arial" w:hAnsi="Arial"/>
                <w:sz w:val="15"/>
                <w:szCs w:val="15"/>
                <w:color w:val="auto"/>
              </w:rPr>
              <w:t>Interest rate instruments</w:t>
            </w:r>
          </w:p>
        </w:tc>
        <w:tc>
          <w:tcPr>
            <w:tcW w:w="580" w:type="dxa"/>
            <w:vAlign w:val="bottom"/>
          </w:tcPr>
          <w:p>
            <w:pPr>
              <w:jc w:val="right"/>
              <w:ind w:right="107"/>
              <w:spacing w:after="0" w:line="171" w:lineRule="exact"/>
              <w:rPr>
                <w:sz w:val="20"/>
                <w:szCs w:val="20"/>
                <w:color w:val="auto"/>
              </w:rPr>
            </w:pPr>
            <w:r>
              <w:rPr>
                <w:rFonts w:ascii="Arial" w:cs="Arial" w:eastAsia="Arial" w:hAnsi="Arial"/>
                <w:sz w:val="15"/>
                <w:szCs w:val="15"/>
                <w:color w:val="auto"/>
              </w:rPr>
              <w:t>$</w:t>
            </w:r>
          </w:p>
        </w:tc>
        <w:tc>
          <w:tcPr>
            <w:tcW w:w="2320" w:type="dxa"/>
            <w:vAlign w:val="bottom"/>
          </w:tcPr>
          <w:p>
            <w:pPr>
              <w:jc w:val="right"/>
              <w:ind w:right="1967"/>
              <w:spacing w:after="0" w:line="171" w:lineRule="exact"/>
              <w:rPr>
                <w:sz w:val="20"/>
                <w:szCs w:val="20"/>
                <w:color w:val="auto"/>
              </w:rPr>
            </w:pPr>
            <w:r>
              <w:rPr>
                <w:rFonts w:ascii="Arial" w:cs="Arial" w:eastAsia="Arial" w:hAnsi="Arial"/>
                <w:sz w:val="15"/>
                <w:szCs w:val="15"/>
                <w:color w:val="auto"/>
              </w:rPr>
              <w:t>-</w:t>
            </w:r>
          </w:p>
        </w:tc>
        <w:tc>
          <w:tcPr>
            <w:tcW w:w="2300" w:type="dxa"/>
            <w:vAlign w:val="bottom"/>
          </w:tcPr>
          <w:p>
            <w:pPr>
              <w:jc w:val="right"/>
              <w:ind w:right="127"/>
              <w:spacing w:after="0" w:line="171"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167"/>
              <w:spacing w:after="0" w:line="171" w:lineRule="exact"/>
              <w:rPr>
                <w:sz w:val="20"/>
                <w:szCs w:val="20"/>
                <w:color w:val="auto"/>
              </w:rPr>
            </w:pPr>
            <w:r>
              <w:rPr>
                <w:rFonts w:ascii="Arial" w:cs="Arial" w:eastAsia="Arial" w:hAnsi="Arial"/>
                <w:sz w:val="15"/>
                <w:szCs w:val="15"/>
                <w:color w:val="auto"/>
              </w:rPr>
              <w:t>5</w:t>
            </w:r>
          </w:p>
        </w:tc>
        <w:tc>
          <w:tcPr>
            <w:tcW w:w="500" w:type="dxa"/>
            <w:vAlign w:val="bottom"/>
          </w:tcPr>
          <w:p>
            <w:pPr>
              <w:jc w:val="right"/>
              <w:ind w:right="127"/>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227"/>
              <w:spacing w:after="0" w:line="171"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247"/>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jc w:val="right"/>
              <w:ind w:right="87"/>
              <w:spacing w:after="0" w:line="171"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71"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0"/>
        </w:trPr>
        <w:tc>
          <w:tcPr>
            <w:tcW w:w="2600" w:type="dxa"/>
            <w:vAlign w:val="bottom"/>
          </w:tcPr>
          <w:p>
            <w:pPr>
              <w:ind w:left="160"/>
              <w:spacing w:after="0" w:line="171" w:lineRule="exact"/>
              <w:rPr>
                <w:sz w:val="20"/>
                <w:szCs w:val="20"/>
                <w:color w:val="auto"/>
              </w:rPr>
            </w:pPr>
            <w:r>
              <w:rPr>
                <w:rFonts w:ascii="Arial" w:cs="Arial" w:eastAsia="Arial" w:hAnsi="Arial"/>
                <w:sz w:val="15"/>
                <w:szCs w:val="15"/>
                <w:color w:val="auto"/>
              </w:rPr>
              <w:t>Commodity contracts subject to</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vMerge w:val="restart"/>
          </w:tcPr>
          <w:p>
            <w:pPr>
              <w:jc w:val="right"/>
              <w:ind w:right="167"/>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600" w:type="dxa"/>
            <w:vAlign w:val="bottom"/>
            <w:vMerge w:val="restart"/>
          </w:tcPr>
          <w:p>
            <w:pPr>
              <w:spacing w:after="0" w:line="171" w:lineRule="exact"/>
              <w:rPr>
                <w:sz w:val="20"/>
                <w:szCs w:val="20"/>
                <w:color w:val="auto"/>
              </w:rPr>
            </w:pPr>
            <w:r>
              <w:rPr>
                <w:rFonts w:ascii="Arial" w:cs="Arial" w:eastAsia="Arial" w:hAnsi="Arial"/>
                <w:sz w:val="15"/>
                <w:szCs w:val="15"/>
                <w:color w:val="auto"/>
              </w:rPr>
              <w:t>rate recovery</w:t>
            </w:r>
          </w:p>
        </w:tc>
        <w:tc>
          <w:tcPr>
            <w:tcW w:w="580" w:type="dxa"/>
            <w:vAlign w:val="bottom"/>
          </w:tcPr>
          <w:p>
            <w:pPr>
              <w:spacing w:after="0"/>
              <w:rPr>
                <w:sz w:val="7"/>
                <w:szCs w:val="7"/>
                <w:color w:val="auto"/>
              </w:rPr>
            </w:pPr>
          </w:p>
        </w:tc>
        <w:tc>
          <w:tcPr>
            <w:tcW w:w="2320" w:type="dxa"/>
            <w:vAlign w:val="bottom"/>
            <w:vMerge w:val="restart"/>
          </w:tcPr>
          <w:p>
            <w:pPr>
              <w:jc w:val="right"/>
              <w:ind w:right="1967"/>
              <w:spacing w:after="0" w:line="171" w:lineRule="exact"/>
              <w:rPr>
                <w:sz w:val="20"/>
                <w:szCs w:val="20"/>
                <w:color w:val="auto"/>
              </w:rPr>
            </w:pPr>
            <w:r>
              <w:rPr>
                <w:rFonts w:ascii="Arial" w:cs="Arial" w:eastAsia="Arial" w:hAnsi="Arial"/>
                <w:sz w:val="15"/>
                <w:szCs w:val="15"/>
                <w:color w:val="auto"/>
              </w:rPr>
              <w:t>4</w:t>
            </w:r>
          </w:p>
        </w:tc>
        <w:tc>
          <w:tcPr>
            <w:tcW w:w="23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vMerge w:val="restart"/>
          </w:tcPr>
          <w:p>
            <w:pPr>
              <w:jc w:val="right"/>
              <w:ind w:right="187"/>
              <w:spacing w:after="0" w:line="17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7"/>
                <w:szCs w:val="7"/>
                <w:color w:val="auto"/>
              </w:rPr>
            </w:pPr>
          </w:p>
        </w:tc>
        <w:tc>
          <w:tcPr>
            <w:tcW w:w="540" w:type="dxa"/>
            <w:vAlign w:val="bottom"/>
            <w:vMerge w:val="restart"/>
          </w:tcPr>
          <w:p>
            <w:pPr>
              <w:jc w:val="right"/>
              <w:ind w:right="87"/>
              <w:spacing w:after="0" w:line="171"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7"/>
                <w:szCs w:val="7"/>
                <w:color w:val="auto"/>
              </w:rPr>
            </w:pPr>
          </w:p>
        </w:tc>
        <w:tc>
          <w:tcPr>
            <w:tcW w:w="260" w:type="dxa"/>
            <w:vAlign w:val="bottom"/>
            <w:vMerge w:val="restart"/>
          </w:tcPr>
          <w:p>
            <w:pPr>
              <w:jc w:val="right"/>
              <w:spacing w:after="0" w:line="171"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79"/>
        </w:trPr>
        <w:tc>
          <w:tcPr>
            <w:tcW w:w="2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160"/>
              <w:spacing w:after="0" w:line="171" w:lineRule="exact"/>
              <w:rPr>
                <w:sz w:val="20"/>
                <w:szCs w:val="20"/>
                <w:color w:val="auto"/>
              </w:rPr>
            </w:pPr>
            <w:r>
              <w:rPr>
                <w:rFonts w:ascii="Arial" w:cs="Arial" w:eastAsia="Arial" w:hAnsi="Arial"/>
                <w:sz w:val="15"/>
                <w:szCs w:val="15"/>
                <w:color w:val="auto"/>
              </w:rPr>
              <w:t>Commodity contracts not subject</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5"/>
                <w:szCs w:val="15"/>
                <w:color w:val="auto"/>
              </w:rPr>
              <w:t>to rate recovery</w:t>
            </w:r>
          </w:p>
        </w:tc>
        <w:tc>
          <w:tcPr>
            <w:tcW w:w="580" w:type="dxa"/>
            <w:vAlign w:val="bottom"/>
          </w:tcPr>
          <w:p>
            <w:pPr>
              <w:spacing w:after="0"/>
              <w:rPr>
                <w:sz w:val="15"/>
                <w:szCs w:val="15"/>
                <w:color w:val="auto"/>
              </w:rPr>
            </w:pPr>
          </w:p>
        </w:tc>
        <w:tc>
          <w:tcPr>
            <w:tcW w:w="2320" w:type="dxa"/>
            <w:vAlign w:val="bottom"/>
          </w:tcPr>
          <w:p>
            <w:pPr>
              <w:jc w:val="right"/>
              <w:ind w:right="1967"/>
              <w:spacing w:after="0"/>
              <w:rPr>
                <w:sz w:val="20"/>
                <w:szCs w:val="20"/>
                <w:color w:val="auto"/>
              </w:rPr>
            </w:pPr>
            <w:r>
              <w:rPr>
                <w:rFonts w:ascii="Arial" w:cs="Arial" w:eastAsia="Arial" w:hAnsi="Arial"/>
                <w:sz w:val="15"/>
                <w:szCs w:val="15"/>
                <w:color w:val="auto"/>
              </w:rPr>
              <w:t>2</w:t>
            </w:r>
          </w:p>
        </w:tc>
        <w:tc>
          <w:tcPr>
            <w:tcW w:w="2300" w:type="dxa"/>
            <w:vAlign w:val="bottom"/>
          </w:tcPr>
          <w:p>
            <w:pPr>
              <w:spacing w:after="0"/>
              <w:rPr>
                <w:sz w:val="15"/>
                <w:szCs w:val="15"/>
                <w:color w:val="auto"/>
              </w:rPr>
            </w:pPr>
          </w:p>
        </w:tc>
        <w:tc>
          <w:tcPr>
            <w:tcW w:w="5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5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-3810</wp:posOffset>
            </wp:positionV>
            <wp:extent cx="56286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8640" cy="7620"/>
                    </a:xfrm>
                    <a:prstGeom prst="rect">
                      <a:avLst/>
                    </a:prstGeom>
                    <a:noFill/>
                  </pic:spPr>
                </pic:pic>
              </a:graphicData>
            </a:graphic>
          </wp:anchor>
        </w:drawing>
      </w:r>
    </w:p>
    <w:p>
      <w:pPr>
        <w:ind w:left="3783"/>
        <w:spacing w:after="0"/>
        <w:rPr>
          <w:sz w:val="20"/>
          <w:szCs w:val="20"/>
          <w:color w:val="auto"/>
        </w:rPr>
      </w:pPr>
      <w:r>
        <w:rPr>
          <w:rFonts w:ascii="Arial" w:cs="Arial" w:eastAsia="Arial" w:hAnsi="Arial"/>
          <w:sz w:val="19"/>
          <w:szCs w:val="19"/>
          <w:color w:val="auto"/>
        </w:rPr>
        <w:t>&lt; p style="MARGIN:0in 0in 0pt; TEXT-</w:t>
      </w:r>
    </w:p>
    <w:p>
      <w:pPr>
        <w:spacing w:after="0" w:line="2" w:lineRule="exact"/>
        <w:rPr>
          <w:sz w:val="20"/>
          <w:szCs w:val="20"/>
          <w:color w:val="auto"/>
        </w:rPr>
      </w:pPr>
    </w:p>
    <w:p>
      <w:pPr>
        <w:ind w:left="3783"/>
        <w:spacing w:after="0"/>
        <w:rPr>
          <w:sz w:val="20"/>
          <w:szCs w:val="20"/>
          <w:color w:val="auto"/>
        </w:rPr>
      </w:pPr>
      <w:r>
        <w:rPr>
          <w:rFonts w:ascii="Arial" w:cs="Arial" w:eastAsia="Arial" w:hAnsi="Arial"/>
          <w:sz w:val="19"/>
          <w:szCs w:val="19"/>
          <w:color w:val="auto"/>
        </w:rPr>
        <w:t>ALIGN:right" align=right&gt;</w:t>
      </w:r>
      <w:r>
        <w:rPr>
          <w:rFonts w:ascii="Arial" w:cs="Arial" w:eastAsia="Arial" w:hAnsi="Arial"/>
          <w:sz w:val="14"/>
          <w:szCs w:val="14"/>
          <w:color w:val="auto"/>
        </w:rPr>
        <w:t>$</w:t>
      </w:r>
    </w:p>
    <w:p>
      <w:pPr>
        <w:spacing w:after="0" w:line="2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2560" w:type="dxa"/>
            <w:vAlign w:val="bottom"/>
          </w:tcPr>
          <w:p>
            <w:pPr>
              <w:ind w:left="100"/>
              <w:spacing w:after="0"/>
              <w:rPr>
                <w:sz w:val="20"/>
                <w:szCs w:val="20"/>
                <w:color w:val="auto"/>
              </w:rPr>
            </w:pPr>
            <w:r>
              <w:rPr>
                <w:rFonts w:ascii="Arial" w:cs="Arial" w:eastAsia="Arial" w:hAnsi="Arial"/>
                <w:sz w:val="15"/>
                <w:szCs w:val="15"/>
                <w:color w:val="auto"/>
              </w:rPr>
              <w:t>Total</w:t>
            </w: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rPr>
              <w:t>6</w:t>
            </w:r>
          </w:p>
        </w:tc>
        <w:tc>
          <w:tcPr>
            <w:tcW w:w="3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6</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21"/>
        </w:trPr>
        <w:tc>
          <w:tcPr>
            <w:tcW w:w="2560" w:type="dxa"/>
            <w:vAlign w:val="bottom"/>
          </w:tcPr>
          <w:p>
            <w:pPr>
              <w:ind w:left="100"/>
              <w:spacing w:after="0"/>
              <w:rPr>
                <w:sz w:val="20"/>
                <w:szCs w:val="20"/>
                <w:color w:val="auto"/>
              </w:rPr>
            </w:pPr>
            <w:r>
              <w:rPr>
                <w:rFonts w:ascii="Arial" w:cs="Arial" w:eastAsia="Arial" w:hAnsi="Arial"/>
                <w:sz w:val="15"/>
                <w:szCs w:val="15"/>
                <w:color w:val="auto"/>
              </w:rPr>
              <w:t>Liabilities:</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60"/>
              <w:spacing w:after="0" w:line="171" w:lineRule="exact"/>
              <w:rPr>
                <w:sz w:val="20"/>
                <w:szCs w:val="20"/>
                <w:color w:val="auto"/>
              </w:rPr>
            </w:pPr>
            <w:r>
              <w:rPr>
                <w:rFonts w:ascii="Arial" w:cs="Arial" w:eastAsia="Arial" w:hAnsi="Arial"/>
                <w:sz w:val="15"/>
                <w:szCs w:val="15"/>
                <w:color w:val="auto"/>
              </w:rPr>
              <w:t>Commodity contracts subject to</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60" w:type="dxa"/>
            <w:vAlign w:val="bottom"/>
            <w:tcBorders>
              <w:bottom w:val="single" w:sz="8" w:color="C0C0C0"/>
            </w:tcBorders>
          </w:tcPr>
          <w:p>
            <w:pPr>
              <w:ind w:left="100"/>
              <w:spacing w:after="0" w:line="169" w:lineRule="exact"/>
              <w:rPr>
                <w:sz w:val="20"/>
                <w:szCs w:val="20"/>
                <w:color w:val="auto"/>
              </w:rPr>
            </w:pPr>
            <w:r>
              <w:rPr>
                <w:rFonts w:ascii="Arial" w:cs="Arial" w:eastAsia="Arial" w:hAnsi="Arial"/>
                <w:sz w:val="15"/>
                <w:szCs w:val="15"/>
                <w:color w:val="auto"/>
              </w:rPr>
              <w:t>rate recovery</w:t>
            </w:r>
          </w:p>
        </w:tc>
        <w:tc>
          <w:tcPr>
            <w:tcW w:w="720" w:type="dxa"/>
            <w:vAlign w:val="bottom"/>
            <w:tcBorders>
              <w:bottom w:val="single" w:sz="8" w:color="C0C0C0"/>
            </w:tcBorders>
          </w:tcPr>
          <w:p>
            <w:pPr>
              <w:jc w:val="right"/>
              <w:ind w:right="109"/>
              <w:spacing w:after="0" w:line="169"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C0C0C0"/>
            </w:tcBorders>
          </w:tcPr>
          <w:p>
            <w:pPr>
              <w:jc w:val="right"/>
              <w:ind w:right="907"/>
              <w:spacing w:after="0" w:line="169" w:lineRule="exact"/>
              <w:rPr>
                <w:sz w:val="20"/>
                <w:szCs w:val="20"/>
                <w:color w:val="auto"/>
              </w:rPr>
            </w:pPr>
            <w:r>
              <w:rPr>
                <w:rFonts w:ascii="Arial" w:cs="Arial" w:eastAsia="Arial" w:hAnsi="Arial"/>
                <w:sz w:val="15"/>
                <w:szCs w:val="15"/>
                <w:color w:val="auto"/>
              </w:rPr>
              <w:t>-</w:t>
            </w:r>
          </w:p>
        </w:tc>
        <w:tc>
          <w:tcPr>
            <w:tcW w:w="3340" w:type="dxa"/>
            <w:vAlign w:val="bottom"/>
            <w:tcBorders>
              <w:bottom w:val="single" w:sz="8" w:color="C0C0C0"/>
            </w:tcBorders>
          </w:tcPr>
          <w:p>
            <w:pPr>
              <w:jc w:val="right"/>
              <w:ind w:right="111"/>
              <w:spacing w:after="0" w:line="169"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C0C0C0"/>
            </w:tcBorders>
          </w:tcPr>
          <w:p>
            <w:pPr>
              <w:jc w:val="right"/>
              <w:ind w:right="42"/>
              <w:spacing w:after="0" w:line="169" w:lineRule="exact"/>
              <w:rPr>
                <w:sz w:val="20"/>
                <w:szCs w:val="20"/>
                <w:color w:val="auto"/>
              </w:rPr>
            </w:pPr>
            <w:r>
              <w:rPr>
                <w:rFonts w:ascii="Arial" w:cs="Arial" w:eastAsia="Arial" w:hAnsi="Arial"/>
                <w:sz w:val="15"/>
                <w:szCs w:val="15"/>
                <w:color w:val="auto"/>
              </w:rPr>
              <w:t>1</w:t>
            </w:r>
          </w:p>
        </w:tc>
        <w:tc>
          <w:tcPr>
            <w:tcW w:w="640" w:type="dxa"/>
            <w:vAlign w:val="bottom"/>
            <w:tcBorders>
              <w:bottom w:val="single" w:sz="8" w:color="C0C0C0"/>
            </w:tcBorders>
            <w:vMerge w:val="continue"/>
          </w:tcPr>
          <w:p>
            <w:pPr>
              <w:spacing w:after="0"/>
              <w:rPr>
                <w:sz w:val="16"/>
                <w:szCs w:val="16"/>
                <w:color w:val="auto"/>
              </w:rPr>
            </w:pPr>
          </w:p>
        </w:tc>
        <w:tc>
          <w:tcPr>
            <w:tcW w:w="360" w:type="dxa"/>
            <w:vAlign w:val="bottom"/>
            <w:tcBorders>
              <w:bottom w:val="single" w:sz="8" w:color="C0C0C0"/>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C0C0C0"/>
            </w:tcBorders>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C0C0C0"/>
            </w:tcBorders>
          </w:tcPr>
          <w:p>
            <w:pPr>
              <w:jc w:val="right"/>
              <w:ind w:right="9"/>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C0C0C0"/>
            </w:tcBorders>
          </w:tcPr>
          <w:p>
            <w:pPr>
              <w:jc w:val="right"/>
              <w:ind w:right="9"/>
              <w:spacing w:after="0" w:line="169"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C0C0C0"/>
            </w:tcBorders>
          </w:tcPr>
          <w:p>
            <w:pPr>
              <w:jc w:val="right"/>
              <w:ind w:right="63"/>
              <w:spacing w:after="0" w:line="16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8"/>
        </w:trPr>
        <w:tc>
          <w:tcPr>
            <w:tcW w:w="25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3"/>
                <w:szCs w:val="13"/>
                <w:color w:val="auto"/>
              </w:rPr>
              <w:t>At fair value as of December 31, 2009</w:t>
            </w: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3"/>
                <w:szCs w:val="13"/>
                <w:color w:val="auto"/>
              </w:rPr>
              <w:t>Level</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Collateral</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720" w:type="dxa"/>
            <w:vAlign w:val="bottom"/>
            <w:tcBorders>
              <w:bottom w:val="single" w:sz="8" w:color="auto"/>
            </w:tcBorders>
          </w:tcPr>
          <w:p>
            <w:pPr>
              <w:jc w:val="right"/>
              <w:ind w:right="129"/>
              <w:spacing w:after="0" w:line="142" w:lineRule="exact"/>
              <w:rPr>
                <w:sz w:val="20"/>
                <w:szCs w:val="20"/>
                <w:color w:val="auto"/>
              </w:rPr>
            </w:pPr>
            <w:r>
              <w:rPr>
                <w:rFonts w:ascii="Arial" w:cs="Arial" w:eastAsia="Arial" w:hAnsi="Arial"/>
                <w:sz w:val="13"/>
                <w:szCs w:val="13"/>
                <w:color w:val="auto"/>
              </w:rPr>
              <w:t>Level 1</w:t>
            </w:r>
          </w:p>
        </w:tc>
        <w:tc>
          <w:tcPr>
            <w:tcW w:w="126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jc w:val="right"/>
              <w:ind w:right="1851"/>
              <w:spacing w:after="0" w:line="142" w:lineRule="exact"/>
              <w:rPr>
                <w:sz w:val="20"/>
                <w:szCs w:val="20"/>
                <w:color w:val="auto"/>
              </w:rPr>
            </w:pPr>
            <w:r>
              <w:rPr>
                <w:rFonts w:ascii="Arial" w:cs="Arial" w:eastAsia="Arial" w:hAnsi="Arial"/>
                <w:sz w:val="13"/>
                <w:szCs w:val="13"/>
                <w:color w:val="auto"/>
              </w:rPr>
              <w:t>Level 2</w:t>
            </w: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3"/>
                <w:szCs w:val="13"/>
                <w:color w:val="auto"/>
              </w:rPr>
              <w:t>3</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netted</w:t>
            </w: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color w:val="auto"/>
              </w:rPr>
              <w:t>Total</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00"/>
              <w:spacing w:after="0"/>
              <w:rPr>
                <w:sz w:val="20"/>
                <w:szCs w:val="20"/>
                <w:color w:val="auto"/>
              </w:rPr>
            </w:pPr>
            <w:r>
              <w:rPr>
                <w:rFonts w:ascii="Arial" w:cs="Arial" w:eastAsia="Arial" w:hAnsi="Arial"/>
                <w:sz w:val="15"/>
                <w:szCs w:val="15"/>
                <w:color w:val="auto"/>
              </w:rPr>
              <w:t>Assets:</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vMerge w:val="restart"/>
          </w:tcPr>
          <w:p>
            <w:pPr>
              <w:jc w:val="right"/>
              <w:ind w:right="9"/>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60" w:type="dxa"/>
            <w:vAlign w:val="bottom"/>
          </w:tcPr>
          <w:p>
            <w:pPr>
              <w:ind w:left="260"/>
              <w:spacing w:after="0"/>
              <w:rPr>
                <w:sz w:val="20"/>
                <w:szCs w:val="20"/>
                <w:color w:val="auto"/>
              </w:rPr>
            </w:pPr>
            <w:r>
              <w:rPr>
                <w:rFonts w:ascii="Arial" w:cs="Arial" w:eastAsia="Arial" w:hAnsi="Arial"/>
                <w:sz w:val="15"/>
                <w:szCs w:val="15"/>
                <w:color w:val="auto"/>
              </w:rPr>
              <w:t>Interest rate instruments</w:t>
            </w:r>
          </w:p>
        </w:tc>
        <w:tc>
          <w:tcPr>
            <w:tcW w:w="72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907"/>
              <w:spacing w:after="0"/>
              <w:rPr>
                <w:sz w:val="20"/>
                <w:szCs w:val="20"/>
                <w:color w:val="auto"/>
              </w:rPr>
            </w:pPr>
            <w:r>
              <w:rPr>
                <w:rFonts w:ascii="Arial" w:cs="Arial" w:eastAsia="Arial" w:hAnsi="Arial"/>
                <w:sz w:val="15"/>
                <w:szCs w:val="15"/>
                <w:color w:val="auto"/>
              </w:rPr>
              <w:t>-</w:t>
            </w:r>
          </w:p>
        </w:tc>
        <w:tc>
          <w:tcPr>
            <w:tcW w:w="3340" w:type="dxa"/>
            <w:vAlign w:val="bottom"/>
          </w:tcPr>
          <w:p>
            <w:pPr>
              <w:jc w:val="right"/>
              <w:ind w:right="111"/>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2"/>
              <w:spacing w:after="0"/>
              <w:rPr>
                <w:sz w:val="20"/>
                <w:szCs w:val="20"/>
                <w:color w:val="auto"/>
              </w:rPr>
            </w:pPr>
            <w:r>
              <w:rPr>
                <w:rFonts w:ascii="Arial" w:cs="Arial" w:eastAsia="Arial" w:hAnsi="Arial"/>
                <w:sz w:val="15"/>
                <w:szCs w:val="15"/>
                <w:color w:val="auto"/>
              </w:rPr>
              <w:t>8</w:t>
            </w:r>
          </w:p>
        </w:tc>
        <w:tc>
          <w:tcPr>
            <w:tcW w:w="640" w:type="dxa"/>
            <w:vAlign w:val="bottom"/>
          </w:tcPr>
          <w:p>
            <w:pPr>
              <w:jc w:val="right"/>
              <w:ind w:right="15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420" w:type="dxa"/>
            <w:vAlign w:val="bottom"/>
            <w:vMerge w:val="continue"/>
          </w:tcPr>
          <w:p>
            <w:pPr>
              <w:spacing w:after="0"/>
              <w:rPr>
                <w:sz w:val="16"/>
                <w:szCs w:val="16"/>
                <w:color w:val="auto"/>
              </w:rPr>
            </w:pPr>
          </w:p>
        </w:tc>
        <w:tc>
          <w:tcPr>
            <w:tcW w:w="480" w:type="dxa"/>
            <w:vAlign w:val="bottom"/>
          </w:tcPr>
          <w:p>
            <w:pPr>
              <w:jc w:val="right"/>
              <w:ind w:right="6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412"/>
        </w:trPr>
        <w:tc>
          <w:tcPr>
            <w:tcW w:w="2560" w:type="dxa"/>
            <w:vAlign w:val="bottom"/>
            <w:vMerge w:val="restart"/>
          </w:tcPr>
          <w:p>
            <w:pPr>
              <w:ind w:left="260"/>
              <w:spacing w:after="0"/>
              <w:rPr>
                <w:sz w:val="20"/>
                <w:szCs w:val="20"/>
                <w:color w:val="auto"/>
              </w:rPr>
            </w:pPr>
            <w:r>
              <w:rPr>
                <w:rFonts w:ascii="Arial" w:cs="Arial" w:eastAsia="Arial" w:hAnsi="Arial"/>
                <w:sz w:val="15"/>
                <w:szCs w:val="15"/>
                <w:color w:val="auto"/>
              </w:rPr>
              <w:t>Commodity contracts subject to</w:t>
            </w: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&lt;</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ind w:right="23"/>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9"/>
                <w:szCs w:val="19"/>
                <w:color w:val="auto"/>
              </w:rPr>
              <w:t>&lt;</w:t>
            </w:r>
          </w:p>
        </w:tc>
        <w:tc>
          <w:tcPr>
            <w:tcW w:w="0" w:type="dxa"/>
            <w:vAlign w:val="bottom"/>
          </w:tcPr>
          <w:p>
            <w:pPr>
              <w:spacing w:after="0"/>
              <w:rPr>
                <w:sz w:val="1"/>
                <w:szCs w:val="1"/>
                <w:color w:val="auto"/>
              </w:rPr>
            </w:pPr>
          </w:p>
        </w:tc>
      </w:tr>
      <w:tr>
        <w:trPr>
          <w:trHeight w:val="70"/>
        </w:trPr>
        <w:tc>
          <w:tcPr>
            <w:tcW w:w="2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400" w:type="dxa"/>
            <w:vAlign w:val="bottom"/>
            <w:vMerge w:val="restart"/>
          </w:tcPr>
          <w:p>
            <w:pPr>
              <w:jc w:val="right"/>
              <w:ind w:right="42"/>
              <w:spacing w:after="0"/>
              <w:rPr>
                <w:sz w:val="20"/>
                <w:szCs w:val="20"/>
                <w:color w:val="auto"/>
              </w:rPr>
            </w:pPr>
            <w:r>
              <w:rPr>
                <w:rFonts w:ascii="Arial" w:cs="Arial" w:eastAsia="Arial" w:hAnsi="Arial"/>
                <w:sz w:val="19"/>
                <w:szCs w:val="19"/>
                <w:color w:val="auto"/>
              </w:rPr>
              <w:t>1</w:t>
            </w: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9"/>
                <w:szCs w:val="19"/>
                <w:color w:val="auto"/>
              </w:rPr>
              <w:t>/td&gt;</w:t>
            </w: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vMerge w:val="restart"/>
          </w:tcPr>
          <w:p>
            <w:pPr>
              <w:jc w:val="right"/>
              <w:ind w:right="23"/>
              <w:spacing w:after="0"/>
              <w:rPr>
                <w:sz w:val="20"/>
                <w:szCs w:val="20"/>
                <w:color w:val="auto"/>
              </w:rPr>
            </w:pPr>
            <w:r>
              <w:rPr>
                <w:rFonts w:ascii="Arial" w:cs="Arial" w:eastAsia="Arial" w:hAnsi="Arial"/>
                <w:sz w:val="19"/>
                <w:szCs w:val="19"/>
                <w:color w:val="auto"/>
              </w:rPr>
              <w:t>/p&gt;</w:t>
            </w:r>
          </w:p>
        </w:tc>
        <w:tc>
          <w:tcPr>
            <w:tcW w:w="0" w:type="dxa"/>
            <w:vAlign w:val="bottom"/>
          </w:tcPr>
          <w:p>
            <w:pPr>
              <w:spacing w:after="0"/>
              <w:rPr>
                <w:sz w:val="1"/>
                <w:szCs w:val="1"/>
                <w:color w:val="auto"/>
              </w:rPr>
            </w:pPr>
          </w:p>
        </w:tc>
      </w:tr>
      <w:tr>
        <w:trPr>
          <w:trHeight w:val="170"/>
        </w:trPr>
        <w:tc>
          <w:tcPr>
            <w:tcW w:w="2560" w:type="dxa"/>
            <w:vAlign w:val="bottom"/>
          </w:tcPr>
          <w:p>
            <w:pPr>
              <w:ind w:left="100"/>
              <w:spacing w:after="0" w:line="171" w:lineRule="exact"/>
              <w:rPr>
                <w:sz w:val="20"/>
                <w:szCs w:val="20"/>
                <w:color w:val="auto"/>
              </w:rPr>
            </w:pPr>
            <w:r>
              <w:rPr>
                <w:rFonts w:ascii="Arial" w:cs="Arial" w:eastAsia="Arial" w:hAnsi="Arial"/>
                <w:sz w:val="15"/>
                <w:szCs w:val="15"/>
                <w:color w:val="auto"/>
              </w:rPr>
              <w:t>rate recovery</w:t>
            </w:r>
          </w:p>
        </w:tc>
        <w:tc>
          <w:tcPr>
            <w:tcW w:w="720" w:type="dxa"/>
            <w:vAlign w:val="bottom"/>
          </w:tcPr>
          <w:p>
            <w:pPr>
              <w:spacing w:after="0"/>
              <w:rPr>
                <w:sz w:val="14"/>
                <w:szCs w:val="14"/>
                <w:color w:val="auto"/>
              </w:rPr>
            </w:pPr>
          </w:p>
        </w:tc>
        <w:tc>
          <w:tcPr>
            <w:tcW w:w="1260" w:type="dxa"/>
            <w:vAlign w:val="bottom"/>
          </w:tcPr>
          <w:p>
            <w:pPr>
              <w:jc w:val="right"/>
              <w:ind w:right="907"/>
              <w:spacing w:after="0" w:line="171" w:lineRule="exact"/>
              <w:rPr>
                <w:sz w:val="20"/>
                <w:szCs w:val="20"/>
                <w:color w:val="auto"/>
              </w:rPr>
            </w:pPr>
            <w:r>
              <w:rPr>
                <w:rFonts w:ascii="Arial" w:cs="Arial" w:eastAsia="Arial" w:hAnsi="Arial"/>
                <w:sz w:val="15"/>
                <w:szCs w:val="15"/>
                <w:color w:val="auto"/>
              </w:rPr>
              <w:t>3</w:t>
            </w:r>
          </w:p>
        </w:tc>
        <w:tc>
          <w:tcPr>
            <w:tcW w:w="33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jc w:val="right"/>
              <w:ind w:right="47"/>
              <w:spacing w:after="0" w:line="171" w:lineRule="exact"/>
              <w:rPr>
                <w:sz w:val="20"/>
                <w:szCs w:val="20"/>
                <w:color w:val="auto"/>
              </w:rPr>
            </w:pPr>
            <w:r>
              <w:rPr>
                <w:rFonts w:ascii="Arial" w:cs="Arial" w:eastAsia="Arial" w:hAnsi="Arial"/>
                <w:sz w:val="15"/>
                <w:szCs w:val="15"/>
                <w:color w:val="auto"/>
              </w:rPr>
              <w:t>-</w:t>
            </w:r>
          </w:p>
        </w:tc>
        <w:tc>
          <w:tcPr>
            <w:tcW w:w="620" w:type="dxa"/>
            <w:vAlign w:val="bottom"/>
            <w:vMerge w:val="continue"/>
          </w:tcPr>
          <w:p>
            <w:pPr>
              <w:spacing w:after="0"/>
              <w:rPr>
                <w:sz w:val="14"/>
                <w:szCs w:val="14"/>
                <w:color w:val="auto"/>
              </w:rPr>
            </w:pPr>
          </w:p>
        </w:tc>
        <w:tc>
          <w:tcPr>
            <w:tcW w:w="640" w:type="dxa"/>
            <w:vAlign w:val="bottom"/>
          </w:tcPr>
          <w:p>
            <w:pPr>
              <w:jc w:val="right"/>
              <w:ind w:right="9"/>
              <w:spacing w:after="0" w:line="171"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260"/>
              <w:spacing w:after="0"/>
              <w:rPr>
                <w:sz w:val="20"/>
                <w:szCs w:val="20"/>
                <w:color w:val="auto"/>
              </w:rPr>
            </w:pPr>
            <w:r>
              <w:rPr>
                <w:rFonts w:ascii="Arial" w:cs="Arial" w:eastAsia="Arial" w:hAnsi="Arial"/>
                <w:sz w:val="15"/>
                <w:szCs w:val="15"/>
                <w:color w:val="auto"/>
              </w:rPr>
              <w:t>Commodity contracts not subject</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ectPr>
          <w:pgSz w:w="11900" w:h="16895" w:orient="portrait"/>
          <w:cols w:equalWidth="0" w:num="1">
            <w:col w:w="11443"/>
          </w:cols>
          <w:pgMar w:left="237" w:top="144" w:right="219" w:bottom="0" w:gutter="0" w:footer="0" w:header="0"/>
          <w:type w:val="continuous"/>
        </w:sectPr>
      </w:pPr>
    </w:p>
    <w:bookmarkStart w:id="32" w:name="page33"/>
    <w:bookmarkEnd w:id="32"/>
    <w:p>
      <w:pPr>
        <w:spacing w:after="0" w:line="59" w:lineRule="exact"/>
        <w:rPr>
          <w:sz w:val="20"/>
          <w:szCs w:val="20"/>
          <w:color w:val="auto"/>
        </w:rPr>
      </w:pPr>
    </w:p>
    <w:tbl>
      <w:tblPr>
        <w:tblLayout w:type="fixed"/>
        <w:tblInd w:w="3" w:type="dxa"/>
        <w:tblCellMar>
          <w:top w:w="0" w:type="dxa"/>
          <w:left w:w="0" w:type="dxa"/>
          <w:bottom w:w="0" w:type="dxa"/>
          <w:right w:w="0" w:type="dxa"/>
        </w:tblCellMar>
      </w:tblPr>
      <w:tr>
        <w:trPr>
          <w:trHeight w:val="218"/>
        </w:trPr>
        <w:tc>
          <w:tcPr>
            <w:tcW w:w="2560" w:type="dxa"/>
            <w:vAlign w:val="bottom"/>
          </w:tcPr>
          <w:p>
            <w:pPr>
              <w:ind w:left="100"/>
              <w:spacing w:after="0"/>
              <w:rPr>
                <w:sz w:val="20"/>
                <w:szCs w:val="20"/>
                <w:color w:val="auto"/>
              </w:rPr>
            </w:pPr>
            <w:r>
              <w:rPr>
                <w:rFonts w:ascii="Arial" w:cs="Arial" w:eastAsia="Arial" w:hAnsi="Arial"/>
                <w:sz w:val="15"/>
                <w:szCs w:val="15"/>
                <w:color w:val="auto"/>
              </w:rPr>
              <w:t>to rate recovery</w:t>
            </w:r>
          </w:p>
        </w:tc>
        <w:tc>
          <w:tcPr>
            <w:tcW w:w="62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9"/>
                <w:szCs w:val="19"/>
                <w:color w:val="auto"/>
              </w:rPr>
              <w:t>3</w:t>
            </w:r>
          </w:p>
        </w:tc>
        <w:tc>
          <w:tcPr>
            <w:tcW w:w="4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ind w:right="95"/>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4"/>
        </w:trPr>
        <w:tc>
          <w:tcPr>
            <w:tcW w:w="2560" w:type="dxa"/>
            <w:vAlign w:val="bottom"/>
            <w:tcBorders>
              <w:bottom w:val="single" w:sz="8" w:color="auto"/>
            </w:tcBorders>
          </w:tcPr>
          <w:p>
            <w:pPr>
              <w:ind w:left="100"/>
              <w:spacing w:after="0" w:line="147" w:lineRule="exact"/>
              <w:rPr>
                <w:sz w:val="20"/>
                <w:szCs w:val="20"/>
                <w:color w:val="auto"/>
              </w:rPr>
            </w:pPr>
            <w:r>
              <w:rPr>
                <w:rFonts w:ascii="Arial" w:cs="Arial" w:eastAsia="Arial" w:hAnsi="Arial"/>
                <w:sz w:val="15"/>
                <w:szCs w:val="15"/>
                <w:color w:val="auto"/>
              </w:rPr>
              <w:t>Total</w:t>
            </w:r>
          </w:p>
        </w:tc>
        <w:tc>
          <w:tcPr>
            <w:tcW w:w="620" w:type="dxa"/>
            <w:vAlign w:val="bottom"/>
            <w:tcBorders>
              <w:bottom w:val="single" w:sz="8" w:color="auto"/>
            </w:tcBorders>
          </w:tcPr>
          <w:p>
            <w:pPr>
              <w:jc w:val="right"/>
              <w:ind w:right="7"/>
              <w:spacing w:after="0" w:line="14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35"/>
              <w:spacing w:after="0" w:line="147" w:lineRule="exact"/>
              <w:rPr>
                <w:sz w:val="20"/>
                <w:szCs w:val="20"/>
                <w:color w:val="auto"/>
              </w:rPr>
            </w:pPr>
            <w:r>
              <w:rPr>
                <w:rFonts w:ascii="Arial" w:cs="Arial" w:eastAsia="Arial" w:hAnsi="Arial"/>
                <w:sz w:val="15"/>
                <w:szCs w:val="15"/>
                <w:color w:val="auto"/>
              </w:rPr>
              <w:t>6</w:t>
            </w:r>
          </w:p>
        </w:tc>
        <w:tc>
          <w:tcPr>
            <w:tcW w:w="4120" w:type="dxa"/>
            <w:vAlign w:val="bottom"/>
            <w:tcBorders>
              <w:bottom w:val="single" w:sz="8" w:color="auto"/>
            </w:tcBorders>
          </w:tcPr>
          <w:p>
            <w:pPr>
              <w:jc w:val="right"/>
              <w:ind w:right="27"/>
              <w:spacing w:after="0" w:line="14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67"/>
              <w:spacing w:after="0" w:line="147" w:lineRule="exact"/>
              <w:rPr>
                <w:sz w:val="20"/>
                <w:szCs w:val="20"/>
                <w:color w:val="auto"/>
              </w:rPr>
            </w:pPr>
            <w:r>
              <w:rPr>
                <w:rFonts w:ascii="Arial" w:cs="Arial" w:eastAsia="Arial" w:hAnsi="Arial"/>
                <w:sz w:val="15"/>
                <w:szCs w:val="15"/>
                <w:color w:val="auto"/>
              </w:rPr>
              <w:t>9</w:t>
            </w:r>
          </w:p>
        </w:tc>
        <w:tc>
          <w:tcPr>
            <w:tcW w:w="500" w:type="dxa"/>
            <w:vAlign w:val="bottom"/>
            <w:tcBorders>
              <w:bottom w:val="single" w:sz="8" w:color="auto"/>
            </w:tcBorders>
          </w:tcPr>
          <w:p>
            <w:pPr>
              <w:jc w:val="right"/>
              <w:ind w:right="27"/>
              <w:spacing w:after="0" w:line="14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27"/>
              <w:spacing w:after="0" w:line="147"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75"/>
              <w:spacing w:after="0" w:line="14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7"/>
              <w:spacing w:after="0" w:line="14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67"/>
              <w:spacing w:after="0" w:line="147" w:lineRule="exact"/>
              <w:rPr>
                <w:sz w:val="20"/>
                <w:szCs w:val="20"/>
                <w:color w:val="auto"/>
              </w:rPr>
            </w:pPr>
            <w:r>
              <w:rPr>
                <w:rFonts w:ascii="Arial" w:cs="Arial" w:eastAsia="Arial" w:hAnsi="Arial"/>
                <w:sz w:val="15"/>
                <w:szCs w:val="15"/>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-60960</wp:posOffset>
            </wp:positionV>
            <wp:extent cx="169354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93545" cy="762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-60960</wp:posOffset>
            </wp:positionV>
            <wp:extent cx="31686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There were no transfers into or out of Level 1 or Level 2 during the periods presented.</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Level 3 Information</w:t>
      </w:r>
    </w:p>
    <w:p>
      <w:pPr>
        <w:spacing w:after="0" w:line="60" w:lineRule="exact"/>
        <w:rPr>
          <w:sz w:val="20"/>
          <w:szCs w:val="20"/>
          <w:color w:val="auto"/>
        </w:rPr>
      </w:pPr>
    </w:p>
    <w:p>
      <w:pPr>
        <w:ind w:left="3" w:right="340"/>
        <w:spacing w:after="0" w:line="276" w:lineRule="auto"/>
        <w:rPr>
          <w:sz w:val="20"/>
          <w:szCs w:val="20"/>
          <w:color w:val="auto"/>
        </w:rPr>
      </w:pPr>
      <w:r>
        <w:rPr>
          <w:rFonts w:ascii="Arial" w:cs="Arial" w:eastAsia="Arial" w:hAnsi="Arial"/>
          <w:sz w:val="16"/>
          <w:szCs w:val="16"/>
          <w:color w:val="auto"/>
        </w:rPr>
        <w:t>The following table sets forth reconciliations of changes in the fair value of net trading and other derivatives classified as Level 3 in the fair value hierarchy for Sempra Energy Consolidated and SDG&amp;E:</w:t>
      </w:r>
    </w:p>
    <w:p>
      <w:pPr>
        <w:spacing w:after="0" w:line="333"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1920" w:type="dxa"/>
            <w:vAlign w:val="bottom"/>
            <w:gridSpan w:val="6"/>
          </w:tcPr>
          <w:p>
            <w:pPr>
              <w:ind w:left="100"/>
              <w:spacing w:after="0"/>
              <w:rPr>
                <w:sz w:val="20"/>
                <w:szCs w:val="20"/>
                <w:color w:val="auto"/>
              </w:rPr>
            </w:pPr>
            <w:r>
              <w:rPr>
                <w:rFonts w:ascii="Arial" w:cs="Arial" w:eastAsia="Arial" w:hAnsi="Arial"/>
                <w:sz w:val="13"/>
                <w:szCs w:val="13"/>
                <w:color w:val="auto"/>
              </w:rPr>
              <w:t>Three months ended June 30,</w:t>
            </w:r>
          </w:p>
        </w:tc>
        <w:tc>
          <w:tcPr>
            <w:tcW w:w="0" w:type="dxa"/>
            <w:vAlign w:val="bottom"/>
          </w:tcPr>
          <w:p>
            <w:pPr>
              <w:spacing w:after="0"/>
              <w:rPr>
                <w:sz w:val="1"/>
                <w:szCs w:val="1"/>
                <w:color w:val="auto"/>
              </w:rPr>
            </w:pPr>
          </w:p>
        </w:tc>
      </w:tr>
      <w:tr>
        <w:trPr>
          <w:trHeight w:val="23"/>
        </w:trPr>
        <w:tc>
          <w:tcPr>
            <w:tcW w:w="2860" w:type="dxa"/>
            <w:vAlign w:val="bottom"/>
            <w:vMerge w:val="restart"/>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8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color w:val="auto"/>
              </w:rPr>
              <w:t>2010</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3"/>
                <w:szCs w:val="13"/>
                <w:color w:val="auto"/>
              </w:rPr>
              <w:t>2009</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60" w:type="dxa"/>
            <w:vAlign w:val="bottom"/>
          </w:tcPr>
          <w:p>
            <w:pPr>
              <w:ind w:left="100"/>
              <w:spacing w:after="0"/>
              <w:rPr>
                <w:sz w:val="20"/>
                <w:szCs w:val="20"/>
                <w:color w:val="auto"/>
              </w:rPr>
            </w:pPr>
            <w:r>
              <w:rPr>
                <w:rFonts w:ascii="Arial" w:cs="Arial" w:eastAsia="Arial" w:hAnsi="Arial"/>
                <w:sz w:val="15"/>
                <w:szCs w:val="15"/>
                <w:color w:val="auto"/>
              </w:rPr>
              <w:t>Balance as of April 1</w:t>
            </w:r>
          </w:p>
        </w:tc>
        <w:tc>
          <w:tcPr>
            <w:tcW w:w="280" w:type="dxa"/>
            <w:vAlign w:val="bottom"/>
          </w:tcPr>
          <w:p>
            <w:pPr>
              <w:ind w:left="180"/>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08"/>
              <w:spacing w:after="0"/>
              <w:rPr>
                <w:sz w:val="20"/>
                <w:szCs w:val="20"/>
                <w:color w:val="auto"/>
              </w:rPr>
            </w:pPr>
            <w:r>
              <w:rPr>
                <w:rFonts w:ascii="Arial" w:cs="Arial" w:eastAsia="Arial" w:hAnsi="Arial"/>
                <w:sz w:val="15"/>
                <w:szCs w:val="15"/>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60" w:type="dxa"/>
            <w:vAlign w:val="bottom"/>
          </w:tcPr>
          <w:p>
            <w:pPr>
              <w:ind w:left="260"/>
              <w:spacing w:after="0"/>
              <w:rPr>
                <w:sz w:val="20"/>
                <w:szCs w:val="20"/>
                <w:color w:val="auto"/>
              </w:rPr>
            </w:pPr>
            <w:r>
              <w:rPr>
                <w:rFonts w:ascii="Arial" w:cs="Arial" w:eastAsia="Arial" w:hAnsi="Arial"/>
                <w:sz w:val="15"/>
                <w:szCs w:val="15"/>
                <w:color w:val="auto"/>
              </w:rPr>
              <w:t>Realized and unrealized (losses) gains</w:t>
            </w:r>
          </w:p>
        </w:tc>
        <w:tc>
          <w:tcPr>
            <w:tcW w:w="280" w:type="dxa"/>
            <w:vAlign w:val="bottom"/>
          </w:tcPr>
          <w:p>
            <w:pPr>
              <w:spacing w:after="0"/>
              <w:rPr>
                <w:sz w:val="19"/>
                <w:szCs w:val="19"/>
                <w:color w:val="auto"/>
              </w:rPr>
            </w:pPr>
          </w:p>
        </w:tc>
        <w:tc>
          <w:tcPr>
            <w:tcW w:w="800" w:type="dxa"/>
            <w:vAlign w:val="bottom"/>
          </w:tcPr>
          <w:p>
            <w:pPr>
              <w:jc w:val="right"/>
              <w:ind w:right="168"/>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60"/>
              <w:spacing w:after="0"/>
              <w:rPr>
                <w:sz w:val="20"/>
                <w:szCs w:val="20"/>
                <w:color w:val="auto"/>
              </w:rPr>
            </w:pPr>
            <w:r>
              <w:rPr>
                <w:rFonts w:ascii="Arial" w:cs="Arial" w:eastAsia="Arial" w:hAnsi="Arial"/>
                <w:sz w:val="15"/>
                <w:szCs w:val="15"/>
                <w:color w:val="auto"/>
              </w:rPr>
              <w:t>Settlements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1"/>
        </w:trPr>
        <w:tc>
          <w:tcPr>
            <w:tcW w:w="2860" w:type="dxa"/>
            <w:vAlign w:val="bottom"/>
          </w:tcPr>
          <w:p>
            <w:pPr>
              <w:ind w:left="100"/>
              <w:spacing w:after="0"/>
              <w:rPr>
                <w:sz w:val="20"/>
                <w:szCs w:val="20"/>
                <w:color w:val="auto"/>
              </w:rPr>
            </w:pPr>
            <w:r>
              <w:rPr>
                <w:rFonts w:ascii="Arial" w:cs="Arial" w:eastAsia="Arial" w:hAnsi="Arial"/>
                <w:sz w:val="15"/>
                <w:szCs w:val="15"/>
                <w:color w:val="auto"/>
              </w:rPr>
              <w:t>Balance as of June 30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00"/>
              <w:spacing w:after="0"/>
              <w:rPr>
                <w:sz w:val="20"/>
                <w:szCs w:val="20"/>
                <w:color w:val="auto"/>
              </w:rPr>
            </w:pPr>
            <w:r>
              <w:rPr>
                <w:rFonts w:ascii="Arial" w:cs="Arial" w:eastAsia="Arial" w:hAnsi="Arial"/>
                <w:sz w:val="15"/>
                <w:szCs w:val="15"/>
                <w:color w:val="auto"/>
              </w:rPr>
              <w:t>Change in unrealized gains relating to</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0C0C0"/>
            </w:tcBorders>
          </w:tcPr>
          <w:p>
            <w:pPr>
              <w:ind w:left="260"/>
              <w:spacing w:after="0"/>
              <w:rPr>
                <w:sz w:val="20"/>
                <w:szCs w:val="20"/>
                <w:color w:val="auto"/>
              </w:rPr>
            </w:pPr>
            <w:r>
              <w:rPr>
                <w:rFonts w:ascii="Arial" w:cs="Arial" w:eastAsia="Arial" w:hAnsi="Arial"/>
                <w:sz w:val="15"/>
                <w:szCs w:val="15"/>
                <w:color w:val="auto"/>
              </w:rPr>
              <w:t>instruments still held at June 30</w:t>
            </w:r>
          </w:p>
        </w:tc>
        <w:tc>
          <w:tcPr>
            <w:tcW w:w="280" w:type="dxa"/>
            <w:vAlign w:val="bottom"/>
            <w:tcBorders>
              <w:bottom w:val="single" w:sz="8" w:color="C0C0C0"/>
            </w:tcBorders>
          </w:tcPr>
          <w:p>
            <w:pPr>
              <w:ind w:left="180"/>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0C0C0"/>
            </w:tcBorders>
          </w:tcPr>
          <w:p>
            <w:pPr>
              <w:jc w:val="right"/>
              <w:ind w:right="208"/>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0C0C0"/>
            </w:tcBorders>
          </w:tcPr>
          <w:p>
            <w:pPr>
              <w:spacing w:after="0"/>
              <w:rPr>
                <w:sz w:val="16"/>
                <w:szCs w:val="16"/>
                <w:color w:val="auto"/>
              </w:rPr>
            </w:pPr>
          </w:p>
        </w:tc>
        <w:tc>
          <w:tcPr>
            <w:tcW w:w="52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0C0C0"/>
            </w:tcBorders>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2860" w:type="dxa"/>
            <w:vAlign w:val="bottom"/>
          </w:tcPr>
          <w:p>
            <w:pPr>
              <w:spacing w:after="0"/>
              <w:rPr>
                <w:sz w:val="24"/>
                <w:szCs w:val="24"/>
                <w:color w:val="auto"/>
              </w:rPr>
            </w:pPr>
          </w:p>
        </w:tc>
        <w:tc>
          <w:tcPr>
            <w:tcW w:w="1920" w:type="dxa"/>
            <w:vAlign w:val="bottom"/>
            <w:gridSpan w:val="6"/>
          </w:tcPr>
          <w:p>
            <w:pPr>
              <w:ind w:left="120"/>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75"/>
        </w:trPr>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3"/>
                <w:szCs w:val="13"/>
                <w:color w:val="auto"/>
              </w:rPr>
              <w:t>2010</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3"/>
                <w:szCs w:val="13"/>
                <w:color w:val="auto"/>
                <w:w w:val="96"/>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ind w:left="100"/>
              <w:spacing w:after="0"/>
              <w:rPr>
                <w:sz w:val="20"/>
                <w:szCs w:val="20"/>
                <w:color w:val="auto"/>
              </w:rPr>
            </w:pPr>
            <w:r>
              <w:rPr>
                <w:rFonts w:ascii="Arial" w:cs="Arial" w:eastAsia="Arial" w:hAnsi="Arial"/>
                <w:sz w:val="15"/>
                <w:szCs w:val="15"/>
                <w:color w:val="auto"/>
              </w:rPr>
              <w:t>Balance as of January 1</w:t>
            </w:r>
          </w:p>
        </w:tc>
        <w:tc>
          <w:tcPr>
            <w:tcW w:w="280" w:type="dxa"/>
            <w:vAlign w:val="bottom"/>
          </w:tcPr>
          <w:p>
            <w:pPr>
              <w:ind w:left="10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60" w:type="dxa"/>
            <w:vAlign w:val="bottom"/>
          </w:tcPr>
          <w:p>
            <w:pPr>
              <w:ind w:left="260"/>
              <w:spacing w:after="0"/>
              <w:rPr>
                <w:sz w:val="20"/>
                <w:szCs w:val="20"/>
                <w:color w:val="auto"/>
              </w:rPr>
            </w:pPr>
            <w:r>
              <w:rPr>
                <w:rFonts w:ascii="Arial" w:cs="Arial" w:eastAsia="Arial" w:hAnsi="Arial"/>
                <w:sz w:val="15"/>
                <w:szCs w:val="15"/>
                <w:color w:val="auto"/>
              </w:rPr>
              <w:t>Realized and unrealized (losses) gains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60"/>
              <w:spacing w:after="0"/>
              <w:rPr>
                <w:sz w:val="20"/>
                <w:szCs w:val="20"/>
                <w:color w:val="auto"/>
              </w:rPr>
            </w:pPr>
            <w:r>
              <w:rPr>
                <w:rFonts w:ascii="Arial" w:cs="Arial" w:eastAsia="Arial" w:hAnsi="Arial"/>
                <w:sz w:val="15"/>
                <w:szCs w:val="15"/>
                <w:color w:val="auto"/>
              </w:rPr>
              <w:t>Settlements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860" w:type="dxa"/>
            <w:vAlign w:val="bottom"/>
          </w:tcPr>
          <w:p>
            <w:pPr>
              <w:spacing w:after="0" w:line="163" w:lineRule="exact"/>
              <w:rPr>
                <w:sz w:val="20"/>
                <w:szCs w:val="20"/>
                <w:color w:val="auto"/>
              </w:rPr>
            </w:pPr>
            <w:r>
              <w:rPr>
                <w:rFonts w:ascii="Arial" w:cs="Arial" w:eastAsia="Arial" w:hAnsi="Arial"/>
                <w:sz w:val="15"/>
                <w:szCs w:val="15"/>
                <w:color w:val="auto"/>
              </w:rPr>
              <w:t>Balance as of June 30</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7 &lt; /font&gt;</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48"/>
              <w:spacing w:after="0" w:line="163" w:lineRule="exact"/>
              <w:rPr>
                <w:sz w:val="20"/>
                <w:szCs w:val="20"/>
                <w:color w:val="auto"/>
              </w:rPr>
            </w:pPr>
            <w:r>
              <w:rPr>
                <w:rFonts w:ascii="Arial" w:cs="Arial" w:eastAsia="Arial" w:hAnsi="Arial"/>
                <w:sz w:val="15"/>
                <w:szCs w:val="15"/>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00"/>
              <w:spacing w:after="0"/>
              <w:rPr>
                <w:sz w:val="20"/>
                <w:szCs w:val="20"/>
                <w:color w:val="auto"/>
              </w:rPr>
            </w:pPr>
            <w:r>
              <w:rPr>
                <w:rFonts w:ascii="Arial" w:cs="Arial" w:eastAsia="Arial" w:hAnsi="Arial"/>
                <w:sz w:val="15"/>
                <w:szCs w:val="15"/>
                <w:color w:val="auto"/>
              </w:rPr>
              <w:t>Change in unrealized gains relating to</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0C0C0"/>
            </w:tcBorders>
          </w:tcPr>
          <w:p>
            <w:pPr>
              <w:ind w:left="260"/>
              <w:spacing w:after="0"/>
              <w:rPr>
                <w:sz w:val="20"/>
                <w:szCs w:val="20"/>
                <w:color w:val="auto"/>
              </w:rPr>
            </w:pPr>
            <w:r>
              <w:rPr>
                <w:rFonts w:ascii="Arial" w:cs="Arial" w:eastAsia="Arial" w:hAnsi="Arial"/>
                <w:sz w:val="15"/>
                <w:szCs w:val="15"/>
                <w:color w:val="auto"/>
              </w:rPr>
              <w:t>instruments still held at June 30</w:t>
            </w:r>
          </w:p>
        </w:tc>
        <w:tc>
          <w:tcPr>
            <w:tcW w:w="28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0C0C0"/>
            </w:tcBorders>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0C0C0"/>
            </w:tcBorders>
          </w:tcPr>
          <w:p>
            <w:pPr>
              <w:spacing w:after="0"/>
              <w:rPr>
                <w:sz w:val="18"/>
                <w:szCs w:val="18"/>
                <w:color w:val="auto"/>
              </w:rPr>
            </w:pPr>
          </w:p>
        </w:tc>
        <w:tc>
          <w:tcPr>
            <w:tcW w:w="80" w:type="dxa"/>
            <w:vAlign w:val="bottom"/>
            <w:tcBorders>
              <w:bottom w:val="single" w:sz="8" w:color="C0C0C0"/>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108" w:lineRule="exact"/>
        <w:rPr>
          <w:sz w:val="20"/>
          <w:szCs w:val="20"/>
          <w:color w:val="auto"/>
        </w:rPr>
      </w:pPr>
    </w:p>
    <w:p>
      <w:pPr>
        <w:ind w:left="3" w:right="220"/>
        <w:spacing w:after="0" w:line="310" w:lineRule="auto"/>
        <w:rPr>
          <w:sz w:val="20"/>
          <w:szCs w:val="20"/>
          <w:color w:val="auto"/>
        </w:rPr>
      </w:pPr>
      <w:r>
        <w:rPr>
          <w:rFonts w:ascii="Arial" w:cs="Arial" w:eastAsia="Arial" w:hAnsi="Arial"/>
          <w:sz w:val="15"/>
          <w:szCs w:val="15"/>
          <w:color w:val="auto"/>
        </w:rPr>
        <w:t>Gains and losses (realized and unrealized) for Level 3 recurring items are primarily related to SDG&amp;E's congestion revenue rights and were included in Cost of Electric Fuel and Purchased Power on the Condensed Consolidated Statements of Operations for the three months and six months ended June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2599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
        <w:spacing w:after="0"/>
        <w:rPr>
          <w:sz w:val="20"/>
          <w:szCs w:val="20"/>
          <w:color w:val="auto"/>
        </w:rPr>
      </w:pPr>
      <w:r>
        <w:rPr>
          <w:rFonts w:ascii="Arial" w:cs="Arial" w:eastAsia="Arial" w:hAnsi="Arial"/>
          <w:sz w:val="19"/>
          <w:szCs w:val="19"/>
          <w:color w:val="auto"/>
        </w:rPr>
        <w:t>NOTE 9. SEMPRA UTILITIES' REGULATORY MATTERS</w:t>
      </w:r>
    </w:p>
    <w:p>
      <w:pPr>
        <w:spacing w:after="0" w:line="322" w:lineRule="exact"/>
        <w:rPr>
          <w:sz w:val="20"/>
          <w:szCs w:val="20"/>
          <w:color w:val="auto"/>
        </w:rPr>
      </w:pPr>
    </w:p>
    <w:p>
      <w:pPr>
        <w:ind w:left="163" w:hanging="163"/>
        <w:spacing w:after="0"/>
        <w:tabs>
          <w:tab w:leader="none" w:pos="163"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font size=2 face=Arial&gt;</w:t>
      </w:r>
      <w:r>
        <w:rPr>
          <w:rFonts w:ascii="Arial" w:cs="Arial" w:eastAsia="Arial" w:hAnsi="Arial"/>
          <w:sz w:val="19"/>
          <w:szCs w:val="19"/>
          <w:b w:val="1"/>
          <w:bCs w:val="1"/>
          <w:color w:val="auto"/>
        </w:rPr>
        <w:t>POWER PROCUREMENT AND RESOURCE PLANNING</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Sunrise Powerlink Electric Transmission Line</w:t>
      </w:r>
    </w:p>
    <w:p>
      <w:pPr>
        <w:spacing w:after="0" w:line="60" w:lineRule="exact"/>
        <w:rPr>
          <w:sz w:val="20"/>
          <w:szCs w:val="20"/>
          <w:color w:val="auto"/>
        </w:rPr>
      </w:pPr>
    </w:p>
    <w:p>
      <w:pPr>
        <w:ind w:left="3" w:right="60"/>
        <w:spacing w:after="0" w:line="281" w:lineRule="auto"/>
        <w:rPr>
          <w:sz w:val="20"/>
          <w:szCs w:val="20"/>
          <w:color w:val="auto"/>
        </w:rPr>
      </w:pPr>
      <w:r>
        <w:rPr>
          <w:rFonts w:ascii="Arial" w:cs="Arial" w:eastAsia="Arial" w:hAnsi="Arial"/>
          <w:sz w:val="15"/>
          <w:szCs w:val="15"/>
          <w:color w:val="auto"/>
        </w:rPr>
        <w:t>In December 2008, the CPUC issued a final decision authorizing SDG&amp;E to construct a 500-kilovolt (kV) electric transmission line between the Imperial Valley and the San Diego region (Sunrise Powerlink). This line is designed to provide 1,000 MW of increased import capability into the San Diego area. This CPUC decision approved SDG&amp;E’s request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$1.9 billion, including approximately $190 million for environmental mitigation costs. In January 2009, the BLM issued its decision ap proving the project, route and environmental review.</w:t>
      </w:r>
    </w:p>
    <w:p>
      <w:pPr>
        <w:spacing w:after="0" w:line="62" w:lineRule="exact"/>
        <w:rPr>
          <w:sz w:val="20"/>
          <w:szCs w:val="20"/>
          <w:color w:val="auto"/>
        </w:rPr>
      </w:pPr>
    </w:p>
    <w:p>
      <w:pPr>
        <w:jc w:val="center"/>
        <w:ind w:right="3657"/>
        <w:spacing w:after="0"/>
        <w:rPr>
          <w:sz w:val="20"/>
          <w:szCs w:val="20"/>
          <w:color w:val="auto"/>
        </w:rPr>
      </w:pPr>
      <w:r>
        <w:rPr>
          <w:rFonts w:ascii="Arial" w:cs="Arial" w:eastAsia="Arial" w:hAnsi="Arial"/>
          <w:sz w:val="14"/>
          <w:szCs w:val="14"/>
          <w:color w:val="auto"/>
        </w:rPr>
        <w:t>The CPUC decision requires SDG&amp;E to adhere to certain commitments it made during the application process, as follows:</w:t>
      </w:r>
    </w:p>
    <w:p>
      <w:pPr>
        <w:spacing w:after="0" w:line="83" w:lineRule="exact"/>
        <w:rPr>
          <w:sz w:val="20"/>
          <w:szCs w:val="20"/>
          <w:color w:val="auto"/>
        </w:rPr>
      </w:pPr>
    </w:p>
    <w:p>
      <w:pPr>
        <w:jc w:val="center"/>
        <w:ind w:right="3657"/>
        <w:spacing w:after="0"/>
        <w:rPr>
          <w:sz w:val="20"/>
          <w:szCs w:val="20"/>
          <w:color w:val="auto"/>
        </w:rPr>
      </w:pPr>
      <w:r>
        <w:rPr>
          <w:rFonts w:ascii="Arial" w:cs="Arial" w:eastAsia="Arial" w:hAnsi="Arial"/>
          <w:sz w:val="15"/>
          <w:szCs w:val="15"/>
          <w:color w:val="auto"/>
        </w:rPr>
        <w:t>§not to contract, for any length of term, with conventional coal generators to deliver power via the Sunrise Powerlink;</w:t>
      </w:r>
    </w:p>
    <w:p>
      <w:pPr>
        <w:spacing w:after="0" w:line="71" w:lineRule="exact"/>
        <w:rPr>
          <w:sz w:val="20"/>
          <w:szCs w:val="20"/>
          <w:color w:val="auto"/>
        </w:rPr>
      </w:pPr>
    </w:p>
    <w:p>
      <w:pPr>
        <w:ind w:left="143" w:right="1400"/>
        <w:spacing w:after="0" w:line="276" w:lineRule="auto"/>
        <w:rPr>
          <w:sz w:val="20"/>
          <w:szCs w:val="20"/>
          <w:color w:val="auto"/>
        </w:rPr>
      </w:pPr>
      <w:r>
        <w:rPr>
          <w:rFonts w:ascii="Arial" w:cs="Arial" w:eastAsia="Arial" w:hAnsi="Arial"/>
          <w:sz w:val="16"/>
          <w:szCs w:val="16"/>
          <w:color w:val="auto"/>
        </w:rPr>
        <w:t>§if any currently approved renewable energy contract that is deliverable via the Sunrise Powerlink fails, to replace it with a viable contract with a renewable generator located in the Imperial Valley region; and</w:t>
      </w:r>
    </w:p>
    <w:p>
      <w:pPr>
        <w:spacing w:after="0" w:line="15" w:lineRule="exact"/>
        <w:rPr>
          <w:sz w:val="20"/>
          <w:szCs w:val="20"/>
          <w:color w:val="auto"/>
        </w:rPr>
      </w:pPr>
    </w:p>
    <w:p>
      <w:pPr>
        <w:ind w:left="43"/>
        <w:spacing w:after="0"/>
        <w:rPr>
          <w:sz w:val="20"/>
          <w:szCs w:val="20"/>
          <w:color w:val="auto"/>
        </w:rPr>
      </w:pPr>
      <w:r>
        <w:rPr>
          <w:rFonts w:ascii="Arial" w:cs="Arial" w:eastAsia="Arial" w:hAnsi="Arial"/>
          <w:sz w:val="16"/>
          <w:szCs w:val="16"/>
          <w:color w:val="auto"/>
        </w:rPr>
        <w:t>§voluntarily raise SDG&amp;E's Renewa bles Portfolio Standard Program goal (discussed below under "Renewable Energy") to 33 percent by 2020.</w:t>
      </w:r>
    </w:p>
    <w:p>
      <w:pPr>
        <w:spacing w:after="0" w:line="157" w:lineRule="exact"/>
        <w:rPr>
          <w:sz w:val="20"/>
          <w:szCs w:val="20"/>
          <w:color w:val="auto"/>
        </w:rPr>
      </w:pPr>
    </w:p>
    <w:p>
      <w:pPr>
        <w:ind w:left="3" w:right="60"/>
        <w:spacing w:after="0" w:line="259" w:lineRule="auto"/>
        <w:rPr>
          <w:sz w:val="20"/>
          <w:szCs w:val="20"/>
          <w:color w:val="auto"/>
        </w:rPr>
      </w:pPr>
      <w:r>
        <w:rPr>
          <w:rFonts w:ascii="Arial" w:cs="Arial" w:eastAsia="Arial" w:hAnsi="Arial"/>
          <w:sz w:val="16"/>
          <w:szCs w:val="16"/>
          <w:color w:val="auto"/>
        </w:rPr>
        <w:t>After the issuance by the CPUC of its final decision and denial of rehearing applications, in August 2009, the Utility Consumers Action Network (UCAN) and the Center for Biological Diversity/Sierra Club (CBD) jointly filed a petition with the California Supreme Court challenging the CPUC's decision with regard to implementation of the California Environmental Quality Act (CEQA). In March 2010, UCAN also filed a petition with the California Court of Appeal (Court of Appeal) challenging the decision on other legal grounds, and the Court of Appeal procedurally granted review of the petition. The UCAN/CBD appeal will be addressed by the California Supreme Court after the Court of Appeal rules on the first petition.</w:t>
      </w:r>
    </w:p>
    <w:p>
      <w:pPr>
        <w:spacing w:after="0" w:line="79" w:lineRule="exact"/>
        <w:rPr>
          <w:sz w:val="20"/>
          <w:szCs w:val="20"/>
          <w:color w:val="auto"/>
        </w:rPr>
      </w:pPr>
    </w:p>
    <w:p>
      <w:pPr>
        <w:ind w:left="3" w:right="40"/>
        <w:spacing w:after="0" w:line="276" w:lineRule="auto"/>
        <w:rPr>
          <w:sz w:val="20"/>
          <w:szCs w:val="20"/>
          <w:color w:val="auto"/>
        </w:rPr>
      </w:pPr>
      <w:r>
        <w:rPr>
          <w:rFonts w:ascii="Arial" w:cs="Arial" w:eastAsia="Arial" w:hAnsi="Arial"/>
          <w:sz w:val="16"/>
          <w:szCs w:val="16"/>
          <w:color w:val="auto"/>
        </w:rPr>
        <w:t>In addition, three appeals of the BLM decision wer e filed by individuals, a community organization, and the Viejas Indian tribe. The Viejas Indian tribe withdrew its appeal and the other two appeals were denied.</w:t>
      </w:r>
    </w:p>
    <w:p>
      <w:pPr>
        <w:spacing w:after="0" w:line="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Opponents who filed the BLM appeals also filed a lawsuit in Federal District Court for Declaratory and Injunctive Relief regarding Sunrise Powerlink. The complaint alleges that the BLM failed to properly assess the environmental impacts of the approved Sunrise Powerlink route and the related potential development of renewable resources in east San Diego County and Imperial County. The complaint requests a declaration that the BLM violated Federal law in approving Sunrise Powerlink and an injunction against any construction activities.</w:t>
      </w:r>
    </w:p>
    <w:p>
      <w:pPr>
        <w:spacing w:after="0" w:line="76" w:lineRule="exact"/>
        <w:rPr>
          <w:sz w:val="20"/>
          <w:szCs w:val="20"/>
          <w:color w:val="auto"/>
        </w:rPr>
      </w:pPr>
    </w:p>
    <w:p>
      <w:pPr>
        <w:ind w:left="3" w:right="40"/>
        <w:spacing w:after="0" w:line="276" w:lineRule="auto"/>
        <w:rPr>
          <w:sz w:val="20"/>
          <w:szCs w:val="20"/>
          <w:color w:val="auto"/>
        </w:rPr>
      </w:pPr>
      <w:r>
        <w:rPr>
          <w:rFonts w:ascii="Arial" w:cs="Arial" w:eastAsia="Arial" w:hAnsi="Arial"/>
          <w:sz w:val="16"/>
          <w:szCs w:val="16"/>
          <w:color w:val="auto"/>
        </w:rPr>
        <w:t>In July 2010, the United States Forest Service (USFS) issued a Record of Decision approving the segment of Sunrise Powerlink's route within its jurisdiction. The USFS decision is also subject to pot ential administrative appeals and judicial challenges.</w:t>
      </w:r>
    </w:p>
    <w:p>
      <w:pPr>
        <w:spacing w:after="0" w:line="64" w:lineRule="exact"/>
        <w:rPr>
          <w:sz w:val="20"/>
          <w:szCs w:val="20"/>
          <w:color w:val="auto"/>
        </w:rPr>
      </w:pPr>
    </w:p>
    <w:p>
      <w:pPr>
        <w:ind w:left="3" w:right="440"/>
        <w:spacing w:after="0" w:line="276" w:lineRule="auto"/>
        <w:rPr>
          <w:sz w:val="20"/>
          <w:szCs w:val="20"/>
          <w:color w:val="auto"/>
        </w:rPr>
      </w:pPr>
      <w:r>
        <w:rPr>
          <w:rFonts w:ascii="Arial" w:cs="Arial" w:eastAsia="Arial" w:hAnsi="Arial"/>
          <w:sz w:val="16"/>
          <w:szCs w:val="16"/>
          <w:color w:val="auto"/>
        </w:rPr>
        <w:t>Sunrise Powerlink costs will be recovered in SDG&amp;E's Electric Transmission Formula Rate, where SDG&amp;E must demonstrate to the Federal Energy Regulatory Commission (FERC) that such costs were prudently incurred.</w:t>
      </w:r>
    </w:p>
    <w:p>
      <w:pPr>
        <w:spacing w:after="0" w:line="64" w:lineRule="exact"/>
        <w:rPr>
          <w:sz w:val="20"/>
          <w:szCs w:val="20"/>
          <w:color w:val="auto"/>
        </w:rPr>
      </w:pPr>
    </w:p>
    <w:p>
      <w:pPr>
        <w:ind w:left="3" w:right="20"/>
        <w:spacing w:after="0" w:line="310" w:lineRule="auto"/>
        <w:rPr>
          <w:sz w:val="20"/>
          <w:szCs w:val="20"/>
          <w:color w:val="auto"/>
        </w:rPr>
      </w:pPr>
      <w:r>
        <w:rPr>
          <w:rFonts w:ascii="Arial" w:cs="Arial" w:eastAsia="Arial" w:hAnsi="Arial"/>
          <w:sz w:val="15"/>
          <w:szCs w:val="15"/>
          <w:color w:val="auto"/>
        </w:rPr>
        <w:t>The total amount invested by SDG&amp;E in the Sunrise Powerlink project as of June 30, 2010 was $366 million, which is included in Property, Plant and Equipment on the Condensed Consolidated Balance Sheets of Sempra Energy and SDG&amp;E. SDG&amp;E expects the Sunrise Powerlink to be in commercial operation in the second half of 2012.</w:t>
      </w:r>
    </w:p>
    <w:p>
      <w:pPr>
        <w:spacing w:after="0" w:line="41"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provide additional information concerning Sunrise Powerlink in Note 15 of the Notes to Consolidated Financial Statements in the Annual Report.</w:t>
      </w:r>
    </w:p>
    <w:p>
      <w:pPr>
        <w:spacing w:after="0" w:line="200" w:lineRule="exact"/>
        <w:rPr>
          <w:sz w:val="20"/>
          <w:szCs w:val="20"/>
          <w:color w:val="auto"/>
        </w:rPr>
      </w:pPr>
    </w:p>
    <w:p>
      <w:pPr>
        <w:spacing w:after="0" w:line="300"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Renewable Energy</w:t>
      </w:r>
    </w:p>
    <w:p>
      <w:pPr>
        <w:sectPr>
          <w:pgSz w:w="11900" w:h="16897" w:orient="portrait"/>
          <w:cols w:equalWidth="0" w:num="1">
            <w:col w:w="11443"/>
          </w:cols>
          <w:pgMar w:left="237" w:top="116" w:right="219" w:bottom="0" w:gutter="0" w:footer="0" w:header="0"/>
        </w:sectPr>
      </w:pPr>
    </w:p>
    <w:p>
      <w:pPr>
        <w:spacing w:after="0" w:line="60" w:lineRule="exact"/>
        <w:rPr>
          <w:sz w:val="20"/>
          <w:szCs w:val="20"/>
          <w:color w:val="auto"/>
        </w:rPr>
      </w:pPr>
    </w:p>
    <w:p>
      <w:pPr>
        <w:ind w:left="3" w:right="100"/>
        <w:spacing w:after="0" w:line="350" w:lineRule="auto"/>
        <w:rPr>
          <w:sz w:val="20"/>
          <w:szCs w:val="20"/>
          <w:color w:val="auto"/>
        </w:rPr>
      </w:pPr>
      <w:r>
        <w:rPr>
          <w:rFonts w:ascii="Arial" w:cs="Arial" w:eastAsia="Arial" w:hAnsi="Arial"/>
          <w:sz w:val="14"/>
          <w:szCs w:val="14"/>
          <w:color w:val="auto"/>
        </w:rPr>
        <w:t>Certain California electric retail sellers, including SDG&amp;E, are required to deliver 20 percent of their retail energy sales from renewable energy sources beginning in 2010. The rules governing this requirement, administered by both the CPUC and the California Energy Commission (CEC), are generally known as the Renewables Portfolio Standard (RPS)</w:t>
      </w:r>
    </w:p>
    <w:p>
      <w:pPr>
        <w:sectPr>
          <w:pgSz w:w="11900" w:h="16897" w:orient="portrait"/>
          <w:cols w:equalWidth="0" w:num="1">
            <w:col w:w="11443"/>
          </w:cols>
          <w:pgMar w:left="237" w:top="116" w:right="219" w:bottom="0" w:gutter="0" w:footer="0" w:header="0"/>
          <w:type w:val="continuous"/>
        </w:sectPr>
      </w:pPr>
    </w:p>
    <w:bookmarkStart w:id="33" w:name="page34"/>
    <w:bookmarkEnd w:id="33"/>
    <w:p>
      <w:pPr>
        <w:jc w:val="both"/>
        <w:ind w:left="3"/>
        <w:spacing w:after="0" w:line="265" w:lineRule="auto"/>
        <w:rPr>
          <w:sz w:val="20"/>
          <w:szCs w:val="20"/>
          <w:color w:val="auto"/>
        </w:rPr>
      </w:pPr>
      <w:r>
        <w:rPr>
          <w:rFonts w:ascii="Arial" w:cs="Arial" w:eastAsia="Arial" w:hAnsi="Arial"/>
          <w:sz w:val="16"/>
          <w:szCs w:val="16"/>
          <w:color w:val="auto"/>
        </w:rPr>
        <w:t>Program. In September 2009, the Governor of California issued an Executive Order which set a target for each California utility to procure 33 percent of their annual electric energy requirements from renewable energy sources starting no later than 2020. This Executive Order designates the California Air Resources Board (CARB) as the agency responsible for establishing the compliance rules and regulations.</w:t>
      </w:r>
    </w:p>
    <w:p>
      <w:pPr>
        <w:spacing w:after="0" w:line="72"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In 2008, the CPUC issued a decision defining flexible complian ce mechanisms that can be used to defer compliance with or meet the RPS Program mandates in 2010 and beyond. The decision established that a finding by the CPUC of insufficient transmission is a permissible reason to defer compliance with the RPS Program mandates. This decision also confirmed that any renewable energy procured in excess of the established targets for prior years, currently and in the future, could be applied to any procurement shortfalls in the years 2010 and beyond.</w:t>
      </w:r>
    </w:p>
    <w:p>
      <w:pPr>
        <w:spacing w:after="0" w:line="76" w:lineRule="exact"/>
        <w:rPr>
          <w:sz w:val="20"/>
          <w:szCs w:val="20"/>
          <w:color w:val="auto"/>
        </w:rPr>
      </w:pPr>
    </w:p>
    <w:p>
      <w:pPr>
        <w:ind w:left="3" w:right="120"/>
        <w:spacing w:after="0" w:line="276" w:lineRule="auto"/>
        <w:rPr>
          <w:sz w:val="20"/>
          <w:szCs w:val="20"/>
          <w:color w:val="auto"/>
        </w:rPr>
      </w:pPr>
      <w:r>
        <w:rPr>
          <w:rFonts w:ascii="Arial" w:cs="Arial" w:eastAsia="Arial" w:hAnsi="Arial"/>
          <w:sz w:val="16"/>
          <w:szCs w:val="16"/>
          <w:color w:val="auto"/>
        </w:rPr>
        <w:t>SDG&amp;E continues to procure renewable energy supplies to achieve the RPS Program goals and the Executive Order requirements. A substantial number of these supply contracts, however, are contingent upon many factors, including:</w:t>
      </w:r>
    </w:p>
    <w:p>
      <w:pPr>
        <w:spacing w:after="0" w:line="15" w:lineRule="exact"/>
        <w:rPr>
          <w:sz w:val="20"/>
          <w:szCs w:val="20"/>
          <w:color w:val="auto"/>
        </w:rPr>
      </w:pPr>
    </w:p>
    <w:p>
      <w:pPr>
        <w:ind w:left="143" w:right="4620"/>
        <w:spacing w:after="0" w:line="317" w:lineRule="auto"/>
        <w:rPr>
          <w:sz w:val="20"/>
          <w:szCs w:val="20"/>
          <w:color w:val="auto"/>
        </w:rPr>
      </w:pPr>
      <w:r>
        <w:rPr>
          <w:rFonts w:ascii="Arial" w:cs="Arial" w:eastAsia="Arial" w:hAnsi="Arial"/>
          <w:sz w:val="16"/>
          <w:szCs w:val="16"/>
          <w:color w:val="auto"/>
        </w:rPr>
        <w:t>§access to electric transmission infrastructure (including SDG&amp;E's Sunrise Powerlink transmission line); §timely regulatory approval of contracted renewable energy projects;</w:t>
      </w:r>
    </w:p>
    <w:p>
      <w:pPr>
        <w:spacing w:after="0" w:line="1" w:lineRule="exact"/>
        <w:rPr>
          <w:sz w:val="20"/>
          <w:szCs w:val="20"/>
          <w:color w:val="auto"/>
        </w:rPr>
      </w:pPr>
    </w:p>
    <w:p>
      <w:pPr>
        <w:ind w:left="43" w:right="5180" w:firstLine="112"/>
        <w:spacing w:after="0" w:line="378" w:lineRule="auto"/>
        <w:rPr>
          <w:sz w:val="20"/>
          <w:szCs w:val="20"/>
          <w:color w:val="auto"/>
        </w:rPr>
      </w:pPr>
      <w:r>
        <w:rPr>
          <w:rFonts w:ascii="Arial" w:cs="Arial" w:eastAsia="Arial" w:hAnsi="Arial"/>
          <w:sz w:val="15"/>
          <w:szCs w:val="15"/>
          <w:color w:val="auto"/>
        </w:rPr>
        <w:t>§the renewable energy project developers' ability to obtain project financing and permitting; and §successful development and implementation of the renewable energy technologies.</w:t>
      </w:r>
    </w:p>
    <w:p>
      <w:pPr>
        <w:spacing w:after="0" w:line="41" w:lineRule="exact"/>
        <w:rPr>
          <w:sz w:val="20"/>
          <w:szCs w:val="20"/>
          <w:color w:val="auto"/>
        </w:rPr>
      </w:pPr>
    </w:p>
    <w:p>
      <w:pPr>
        <w:ind w:left="3" w:right="140"/>
        <w:spacing w:after="0" w:line="265" w:lineRule="auto"/>
        <w:rPr>
          <w:sz w:val="20"/>
          <w:szCs w:val="20"/>
          <w:color w:val="auto"/>
        </w:rPr>
      </w:pPr>
      <w:r>
        <w:rPr>
          <w:rFonts w:ascii="Arial" w:cs="Arial" w:eastAsia="Arial" w:hAnsi="Arial"/>
          <w:sz w:val="16"/>
          <w:szCs w:val="16"/>
          <w:color w:val="auto"/>
        </w:rPr>
        <w:t>SDG&amp;E believes it will be able to comply with the RPS Program requirements based on its contracting activity and application of the flexible compliance mechanisms. SDG&amp;E's failure to comply with the RPS Program requirements in 2010, or in any subsequent years, could subject it to a CPUC-imposed penalty of 5 cents per kilowatt hour of renewable energy under-delivery up to a maximum penalty of $25 million per year.</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Solar Photovoltaic Program</w:t>
      </w:r>
    </w:p>
    <w:p>
      <w:pPr>
        <w:spacing w:after="0" w:line="60" w:lineRule="exact"/>
        <w:rPr>
          <w:sz w:val="20"/>
          <w:szCs w:val="20"/>
          <w:color w:val="auto"/>
        </w:rPr>
      </w:pPr>
    </w:p>
    <w:p>
      <w:pPr>
        <w:ind w:left="3" w:right="200"/>
        <w:spacing w:after="0" w:line="284" w:lineRule="auto"/>
        <w:rPr>
          <w:sz w:val="20"/>
          <w:szCs w:val="20"/>
          <w:color w:val="auto"/>
        </w:rPr>
      </w:pPr>
      <w:r>
        <w:rPr>
          <w:rFonts w:ascii="Arial" w:cs="Arial" w:eastAsia="Arial" w:hAnsi="Arial"/>
          <w:sz w:val="15"/>
          <w:szCs w:val="15"/>
          <w:color w:val="auto"/>
        </w:rPr>
        <w:t>In July 2008, SDG&amp;E filed an application with the CPUC proposing to invest up to $250 million to install solar photovoltaic panels in the San Diego area. These panels could generate approximately 50 MW of direct current power (approximately equivalent to 35 MW of power to the electric grid). In March 2009, SDG&amp;E, UCAN and other interested parties submitted a settlement agreement which, if approved by the CPUC, would, among other provisions, reduce SDG&amp;E's investment in the program to the lesser of $125 million or 26 MW (direct current). The CPUC issued a proposed decision in July 2010, with a final decision expected in the third quarter of 2010.</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East County Substation</w:t>
      </w:r>
    </w:p>
    <w:p>
      <w:pPr>
        <w:spacing w:after="0" w:line="49" w:lineRule="exact"/>
        <w:rPr>
          <w:sz w:val="20"/>
          <w:szCs w:val="20"/>
          <w:color w:val="auto"/>
        </w:rPr>
      </w:pPr>
    </w:p>
    <w:p>
      <w:pPr>
        <w:ind w:left="3" w:right="140" w:hanging="3"/>
        <w:spacing w:after="0" w:line="254" w:lineRule="auto"/>
        <w:tabs>
          <w:tab w:leader="none" w:pos="161" w:val="left"/>
        </w:tabs>
        <w:numPr>
          <w:ilvl w:val="0"/>
          <w:numId w:val="44"/>
        </w:numPr>
        <w:rPr>
          <w:rFonts w:ascii="Arial" w:cs="Arial" w:eastAsia="Arial" w:hAnsi="Arial"/>
          <w:sz w:val="19"/>
          <w:szCs w:val="19"/>
          <w:color w:val="auto"/>
        </w:rPr>
      </w:pPr>
      <w:r>
        <w:rPr>
          <w:rFonts w:ascii="Arial" w:cs="Arial" w:eastAsia="Arial" w:hAnsi="Arial"/>
          <w:sz w:val="19"/>
          <w:szCs w:val="19"/>
          <w:color w:val="auto"/>
        </w:rPr>
        <w:t>p style="MARGIN:0in 0in 6pt"&gt;</w:t>
      </w:r>
      <w:r>
        <w:rPr>
          <w:rFonts w:ascii="Arial" w:cs="Arial" w:eastAsia="Arial" w:hAnsi="Arial"/>
          <w:sz w:val="15"/>
          <w:szCs w:val="15"/>
          <w:color w:val="auto"/>
        </w:rPr>
        <w:t>In August 2009, SDG&amp;E filed an application with the CPUC for authorization to construct the East County Substation Project, which</w:t>
      </w:r>
      <w:r>
        <w:rPr>
          <w:rFonts w:ascii="Arial" w:cs="Arial" w:eastAsia="Arial" w:hAnsi="Arial"/>
          <w:sz w:val="19"/>
          <w:szCs w:val="19"/>
          <w:color w:val="auto"/>
        </w:rPr>
        <w:t xml:space="preserve"> </w:t>
      </w:r>
      <w:r>
        <w:rPr>
          <w:rFonts w:ascii="Arial" w:cs="Arial" w:eastAsia="Arial" w:hAnsi="Arial"/>
          <w:sz w:val="15"/>
          <w:szCs w:val="15"/>
          <w:color w:val="auto"/>
        </w:rPr>
        <w:t>will include construction of a new 500/230/138-kV substation, rebuilding of the existing Boulevard Substation and construction of a new 138-kV transmission line connecting the two substations. The project, estimated to cost approximately $270 million, would allow interconnections from new renewable-generation sources and enhance the reliability of electric service to a number of communities. A CPUC decision on this project is expected in 2011.</w:t>
      </w:r>
    </w:p>
    <w:p>
      <w:pPr>
        <w:spacing w:after="0" w:line="31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GENERAL RATE CASE (GRC)</w:t>
      </w:r>
    </w:p>
    <w:p>
      <w:pPr>
        <w:spacing w:after="0" w:line="104" w:lineRule="exact"/>
        <w:rPr>
          <w:sz w:val="20"/>
          <w:szCs w:val="20"/>
          <w:color w:val="auto"/>
        </w:rPr>
      </w:pPr>
    </w:p>
    <w:p>
      <w:pPr>
        <w:ind w:left="3"/>
        <w:spacing w:after="0" w:line="302" w:lineRule="auto"/>
        <w:rPr>
          <w:sz w:val="20"/>
          <w:szCs w:val="20"/>
          <w:color w:val="auto"/>
        </w:rPr>
      </w:pPr>
      <w:r>
        <w:rPr>
          <w:rFonts w:ascii="Arial" w:cs="Arial" w:eastAsia="Arial" w:hAnsi="Arial"/>
          <w:sz w:val="14"/>
          <w:szCs w:val="14"/>
          <w:color w:val="auto"/>
        </w:rPr>
        <w:t>The CPUC uses a general rate case proceeding to prospectively set rates sufficient to allow the Sempra Utilities to recover their reasonable cost of operations and to provide the opportunity to realize an acceptable rate of return on t heir investments. The Sempra Utilities will file their Notices of Intent (NOI) for the 2012 General Rate Case (2012 GRC) in early August 2010 with the CPUC. These NOIs are preliminary applications that will request revenue requirement increases of $246 million for SDG&amp;E and $282 million for SoCalGas over their respective 2011 authorized revenue. These increases equate to an increase in rates of 7% for SDG&amp;E and 7.4% for SoCalGas over 2010 rates. After the CPUC staff conducts a review of the NOIs, both SDG&amp;E and SoCalGas will file a final application in December 2010 to address any deficiencies identified by the CPUC staff. The CPUC is scheduled to issue a decision on each of the final applications in late 2011, with changes in rates to become effective on January 1, 2012.</w:t>
      </w:r>
    </w:p>
    <w:p>
      <w:pPr>
        <w:spacing w:after="0" w:line="51" w:lineRule="exact"/>
        <w:rPr>
          <w:sz w:val="20"/>
          <w:szCs w:val="20"/>
          <w:color w:val="auto"/>
        </w:rPr>
      </w:pPr>
    </w:p>
    <w:p>
      <w:pPr>
        <w:ind w:left="3" w:right="380"/>
        <w:spacing w:after="0" w:line="276" w:lineRule="auto"/>
        <w:rPr>
          <w:sz w:val="20"/>
          <w:szCs w:val="20"/>
          <w:color w:val="auto"/>
        </w:rPr>
      </w:pPr>
      <w:r>
        <w:rPr>
          <w:rFonts w:ascii="Arial" w:cs="Arial" w:eastAsia="Arial" w:hAnsi="Arial"/>
          <w:sz w:val="16"/>
          <w:szCs w:val="16"/>
          <w:color w:val="auto"/>
        </w:rPr>
        <w:t>A number of parties continue to ask the CPUC to delay the filing of SDG&amp;E's and SoCalGas' next GRC applications for at least a year. To date, the CPUC has denied all such requests and h as ordered SDG&amp;E and SoCalGas to follow their original GRC schedules.</w:t>
      </w:r>
    </w:p>
    <w:p>
      <w:pPr>
        <w:spacing w:after="0" w:line="2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UTILITY INCENTIVE MECHANISMS</w:t>
      </w:r>
    </w:p>
    <w:p>
      <w:pPr>
        <w:spacing w:after="0" w:line="104" w:lineRule="exact"/>
        <w:rPr>
          <w:sz w:val="20"/>
          <w:szCs w:val="20"/>
          <w:color w:val="auto"/>
        </w:rPr>
      </w:pPr>
    </w:p>
    <w:p>
      <w:pPr>
        <w:ind w:left="3" w:right="280"/>
        <w:spacing w:after="0" w:line="276" w:lineRule="auto"/>
        <w:rPr>
          <w:sz w:val="20"/>
          <w:szCs w:val="20"/>
          <w:color w:val="auto"/>
        </w:rPr>
      </w:pPr>
      <w:r>
        <w:rPr>
          <w:rFonts w:ascii="Arial" w:cs="Arial" w:eastAsia="Arial" w:hAnsi="Arial"/>
          <w:sz w:val="16"/>
          <w:szCs w:val="16"/>
          <w:color w:val="auto"/>
        </w:rPr>
        <w:t>The CPUC applies performance-based measures and incentive mechanisms to all California utilities, under which the Sempra Utilities have earnings potential above authorized base margins if they achieve or exceed specific performance and operating goals.</w:t>
      </w:r>
    </w:p>
    <w:p>
      <w:pPr>
        <w:spacing w:after="0" w:line="64" w:lineRule="exact"/>
        <w:rPr>
          <w:sz w:val="20"/>
          <w:szCs w:val="20"/>
          <w:color w:val="auto"/>
        </w:rPr>
      </w:pPr>
    </w:p>
    <w:p>
      <w:pPr>
        <w:ind w:left="3"/>
        <w:spacing w:after="0"/>
        <w:rPr>
          <w:sz w:val="20"/>
          <w:szCs w:val="20"/>
          <w:color w:val="auto"/>
        </w:rPr>
      </w:pPr>
      <w:r>
        <w:rPr>
          <w:rFonts w:ascii="Arial" w:cs="Arial" w:eastAsia="Arial" w:hAnsi="Arial"/>
          <w:sz w:val="14"/>
          <w:szCs w:val="14"/>
          <w:color w:val="auto"/>
        </w:rPr>
        <w:t>We provide additional information regarding these incentive mechanisms in Note 16 of the Notes to Consolidated Financial Statements in the Annual Report, and updates below.</w:t>
      </w:r>
    </w:p>
    <w:p>
      <w:pPr>
        <w:spacing w:after="0" w:line="218"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Natural Gas Procurement</w:t>
      </w:r>
    </w:p>
    <w:p>
      <w:pPr>
        <w:spacing w:after="0" w:line="60" w:lineRule="exact"/>
        <w:rPr>
          <w:sz w:val="20"/>
          <w:szCs w:val="20"/>
          <w:color w:val="auto"/>
        </w:rPr>
      </w:pPr>
    </w:p>
    <w:p>
      <w:pPr>
        <w:ind w:left="3" w:right="360"/>
        <w:spacing w:after="0" w:line="265" w:lineRule="auto"/>
        <w:rPr>
          <w:sz w:val="20"/>
          <w:szCs w:val="20"/>
          <w:color w:val="auto"/>
        </w:rPr>
      </w:pPr>
      <w:r>
        <w:rPr>
          <w:rFonts w:ascii="Arial" w:cs="Arial" w:eastAsia="Arial" w:hAnsi="Arial"/>
          <w:sz w:val="16"/>
          <w:szCs w:val="16"/>
          <w:color w:val="auto"/>
        </w:rPr>
        <w:t>In January 2010, the CPUC approved a Gas Cost Incentive Mechanism (GCIM) award of $12 million for SoCalGas' procurement activities during the 12-month period ending March 31, 2009. In June 2010, SoCalGas applied to the CPUC for approval of a GCIM award of $6 million for SoCalGas' procurement activities during the 12-month period ending March 31, 2010. SoCalGas expects a CPUC decision in 2011.</w:t>
      </w:r>
    </w:p>
    <w:p>
      <w:pPr>
        <w:spacing w:after="0" w:line="3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COST OF CAPITAL</w:t>
      </w:r>
    </w:p>
    <w:p>
      <w:pPr>
        <w:spacing w:after="0" w:line="104" w:lineRule="exact"/>
        <w:rPr>
          <w:sz w:val="20"/>
          <w:szCs w:val="20"/>
          <w:color w:val="auto"/>
        </w:rPr>
      </w:pPr>
    </w:p>
    <w:p>
      <w:pPr>
        <w:ind w:left="3" w:right="220"/>
        <w:spacing w:after="0" w:line="276" w:lineRule="auto"/>
        <w:rPr>
          <w:sz w:val="20"/>
          <w:szCs w:val="20"/>
          <w:color w:val="auto"/>
        </w:rPr>
      </w:pPr>
      <w:r>
        <w:rPr>
          <w:rFonts w:ascii="Arial" w:cs="Arial" w:eastAsia="Arial" w:hAnsi="Arial"/>
          <w:sz w:val="16"/>
          <w:szCs w:val="16"/>
          <w:color w:val="auto"/>
        </w:rPr>
        <w:t>A cost of capital proceeding determines the Sempra Utilities' authorized capital structure and the authorized rate of return that the Sempra Utilities may earn on their electric and natural gas distribution and electric generation assets.</w:t>
      </w:r>
    </w:p>
    <w:p>
      <w:pPr>
        <w:spacing w:after="0" w:line="64" w:lineRule="exact"/>
        <w:rPr>
          <w:sz w:val="20"/>
          <w:szCs w:val="20"/>
          <w:color w:val="auto"/>
        </w:rPr>
      </w:pPr>
    </w:p>
    <w:p>
      <w:pPr>
        <w:jc w:val="both"/>
        <w:ind w:left="3" w:right="540"/>
        <w:spacing w:after="0" w:line="265" w:lineRule="auto"/>
        <w:rPr>
          <w:sz w:val="20"/>
          <w:szCs w:val="20"/>
          <w:color w:val="auto"/>
        </w:rPr>
      </w:pPr>
      <w:r>
        <w:rPr>
          <w:rFonts w:ascii="Arial" w:cs="Arial" w:eastAsia="Arial" w:hAnsi="Arial"/>
          <w:sz w:val="16"/>
          <w:szCs w:val="16"/>
          <w:color w:val="auto"/>
        </w:rPr>
        <w:t>In January 2010, the CPUC approved SDG&amp;E's and the DRA's joint petition to delay SDG&amp;E's next scheduled cost of capital proceeding for two years. With this approval, SDG&amp;E's next cost of capital application is scheduled to be filed in April 2012 for a 2013 test year, consistent with the schedule for cost of capital applicat ions for each of Southern California Edison (Edison) and Pacific Gas and Electric (PG&amp;E).</w:t>
      </w:r>
    </w:p>
    <w:p>
      <w:pPr>
        <w:spacing w:after="0" w:line="3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ADVANCED METERING INFRASTRUCTURE</w:t>
      </w:r>
    </w:p>
    <w:p>
      <w:pPr>
        <w:spacing w:after="0" w:line="104"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In April 2010, the CPUC issued a decision approving SoCalGas' application to upgrade approximately six million natural gas meters with an advanced metering infrastructure (AMI), subject to certain safeguards to better ensure its cost effectiveness for ratepayers. The approved cost of the project is $1.05 billion (including approximately $900 million in capital investment), with SoCalGas being subject to risk/reward sharing for costs above or below this amount. Installation of the meters is expected to begin in 2012 and continue through 2017.</w:t>
      </w:r>
    </w:p>
    <w:p>
      <w:pPr>
        <w:spacing w:after="0" w:line="76" w:lineRule="exact"/>
        <w:rPr>
          <w:sz w:val="20"/>
          <w:szCs w:val="20"/>
          <w:color w:val="auto"/>
        </w:rPr>
      </w:pPr>
    </w:p>
    <w:p>
      <w:pPr>
        <w:ind w:left="3" w:right="600"/>
        <w:spacing w:after="0" w:line="276" w:lineRule="auto"/>
        <w:rPr>
          <w:sz w:val="20"/>
          <w:szCs w:val="20"/>
          <w:color w:val="auto"/>
        </w:rPr>
      </w:pPr>
      <w:r>
        <w:rPr>
          <w:rFonts w:ascii="Arial" w:cs="Arial" w:eastAsia="Arial" w:hAnsi="Arial"/>
          <w:sz w:val="16"/>
          <w:szCs w:val="16"/>
          <w:color w:val="auto"/>
        </w:rPr>
        <w:t>In May 2010, The Utility Reform Network (TURN) and the Utility Workers Union of America (UWUA) Local 132, parties opposing SoCalGas' AMI application, fi led an application for rehearing of the CPUC's decision.</w:t>
      </w:r>
    </w:p>
    <w:p>
      <w:pPr>
        <w:spacing w:after="0" w:line="2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SDG&amp;E REQUEST FOR AUTHORITY TO INVEST IN WIND FARM</w:t>
      </w:r>
    </w:p>
    <w:p>
      <w:pPr>
        <w:spacing w:after="0" w:line="104" w:lineRule="exact"/>
        <w:rPr>
          <w:sz w:val="20"/>
          <w:szCs w:val="20"/>
          <w:color w:val="auto"/>
        </w:rPr>
      </w:pPr>
    </w:p>
    <w:p>
      <w:pPr>
        <w:ind w:left="3" w:right="140"/>
        <w:spacing w:after="0" w:line="350" w:lineRule="auto"/>
        <w:rPr>
          <w:sz w:val="20"/>
          <w:szCs w:val="20"/>
          <w:color w:val="auto"/>
        </w:rPr>
      </w:pPr>
      <w:r>
        <w:rPr>
          <w:rFonts w:ascii="Arial" w:cs="Arial" w:eastAsia="Arial" w:hAnsi="Arial"/>
          <w:sz w:val="14"/>
          <w:szCs w:val="14"/>
          <w:color w:val="auto"/>
        </w:rPr>
        <w:t>In July 2010, SDG&amp;E filed a request with the CPUC seeking authority to make a tax equity investment in the holding company of a wind farm project in an amount not to exceed $600 million. SDG&amp;E is seeking to treat the investment as a regulatory asset for which it would earn its authorized rate of return. A CPUC decision is expected in 2011.</w:t>
      </w:r>
    </w:p>
    <w:p>
      <w:pPr>
        <w:spacing w:after="0" w:line="17" w:lineRule="exact"/>
        <w:rPr>
          <w:sz w:val="20"/>
          <w:szCs w:val="20"/>
          <w:color w:val="auto"/>
        </w:rPr>
      </w:pPr>
    </w:p>
    <w:p>
      <w:pPr>
        <w:ind w:left="3" w:right="40"/>
        <w:spacing w:after="0" w:line="265" w:lineRule="auto"/>
        <w:rPr>
          <w:sz w:val="20"/>
          <w:szCs w:val="20"/>
          <w:color w:val="auto"/>
        </w:rPr>
      </w:pPr>
      <w:r>
        <w:rPr>
          <w:rFonts w:ascii="Arial" w:cs="Arial" w:eastAsia="Arial" w:hAnsi="Arial"/>
          <w:sz w:val="16"/>
          <w:szCs w:val="16"/>
          <w:color w:val="auto"/>
        </w:rPr>
        <w:t>If approved by the CPUC, and after the wind farm project has met all of the conditions precedent set forth in the definitive documents, SDG&amp;E would invest in one or more project holding companies in an amount not to exceed 80% of the project costs (not to exceed an aggregate amount of $600 mil lion) upon the initiation of commercial operation of the project. SDG&amp;E expects the project to be in commercial operation in the second half of 2012.</w:t>
      </w:r>
    </w:p>
    <w:p>
      <w:pPr>
        <w:sectPr>
          <w:pgSz w:w="11900" w:h="16838" w:orient="portrait"/>
          <w:cols w:equalWidth="0" w:num="1">
            <w:col w:w="11423"/>
          </w:cols>
          <w:pgMar w:left="237" w:top="131" w:right="239" w:bottom="58" w:gutter="0" w:footer="0" w:header="0"/>
        </w:sectPr>
      </w:pPr>
    </w:p>
    <w:bookmarkStart w:id="34" w:name="page35"/>
    <w:bookmarkEnd w:id="34"/>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2007 WILDFIRES COST RECOVERY FOR COMPANY FACILITIES</w:t>
      </w:r>
    </w:p>
    <w:p>
      <w:pPr>
        <w:spacing w:after="0" w:line="104"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SDG&amp;E filed an application with the CPUC in March 2009 seeking to recover the incremental cost incurred to replace and repair company facilities under CPUC jurisdiction damaged by the October 2007 wildfires. This application was filed in accordance with the CPUC rules governing incremental costs incurred as a result of a declared emergency or catastrophic event. The DRA filed a protest to SDG&amp;E's request for recovery of the incremental costs, requesting that the CPUC stay the proceeding until completion of the fire investigations, which we describe in Note 10. SDG&amp;E and the DRA have reached an agreement regarding the cost recovery request which, if approved by the CPU C, would result in SDG&amp;E recovering $43 million. The settlement agreement was filed with the CPUC in June 2010.</w:t>
      </w:r>
    </w:p>
    <w:p>
      <w:pPr>
        <w:spacing w:after="0" w:line="62"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SDG&amp;E also incurred $30.1 million of incremental costs for the replacement and repair of company facilities under FERC jurisdiction, which are currently being recovered in SDG&amp;E's electric transmission rates.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We discuss recovery of 2007 wildfire litigation costs in Note 10.</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COST RECOVERY</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SDG&amp;E filed an application with the CPUC in August 2009 seeking authorization to recover higher liability insurance premiums, which SDG&amp;E began incurring commencing July 1, 2009, and any losses realized due to higher deductibles associated with the new policies. Evidentiary hearings were held in April 2010 and a final CPUC decision is expected by the end of 2010. SDG&amp;E made the filing under the CPUC’s rules allowing utilities to seek recovery of significant cost increases incurred between GRC filings resulting from unforeseen circumstances. SDG&amp;E is requesting a $29 million revenue requirement for the 2009/2010 policy period for the incremental increase in its liability and wildfire insurance premium costs above what is currently authorized in rates and proposes a mechanism for recovery of future liability insurance costs incurred in the 2010/2011 policy period and the first six months of the 2011/2012 policy period. The CPUC's rules allow a utility to recover costs that meet certain criteria, subject to a $5 million deductible per event. SDG&amp;E has asked that the increase in liability insurance costs for the 2009/2010, 2010/2011 and the first six months of the 2011/2012 policy periods be deemed a single event subject to one $5 million deductible. In the six months ended June 30, 2010, SDG&amp;E's pretax earnings were adversely impacted by $18.5 million due to the incremental insurance premiums associated with its wildfire coverage.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EXCESS WILDFIRE CLAIMS COST RECOVERY</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In connection with these filings, SDG&amp;E is seeking the recovery of costs incurred by SDG&amp;E for the 2007 wildfire losses that are in excess of amounts recovered from its insurance coverage and other potentially responsible third parties, as well as similar costs for future wildfires, if and when incurred. The application for a new mechanism for recovery of costs incurred for future wildfires was made jointly with Edison and PG&amp;E. In July 2 010, the CPUC approved the utilities' requests for separate regulatory accounts to record the subject expenses while the joint utility application is pending before the CPUC. Several parties protested the original application and, in response, the utilities submitted an amended application in July 2010. A proceeding schedule has not yet been established.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about 2007 wildfire litigation costs and their recovery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399415</wp:posOffset>
            </wp:positionV>
            <wp:extent cx="72599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NOTE 10. COMMITMENTS AND CONTINGENCIES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record loss reserves for legal proceedin 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reserved amounts, may exceed applicable insurance coverages and could materially adversely affect our business, cash flows, results of operations, and financial condition.</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At June 30, 2010, Sempra Energy’s reserves for material legal proceedings, on a consolidated basis, were $527 million, of which $150 million is offset by an insurance receivable for wildfire litigation and $117 million is for previously resolved matters. At June 30, 2010, these reserves for SDG&amp;E and SoCalGas were $242 million (also offset by the $150 million insurance receivable) and $13 million, respectively. We provide additional information about pr eviously resolved matters in Note 17 of the Notes to Consolidated Financial Statements in the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2007 Wildfire Litigation</w:t>
      </w:r>
    </w:p>
    <w:p>
      <w:pPr>
        <w:spacing w:after="0" w:line="6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79" w:lineRule="exact"/>
        <w:rPr>
          <w:sz w:val="20"/>
          <w:szCs w:val="20"/>
          <w:color w:val="auto"/>
        </w:rPr>
      </w:pPr>
    </w:p>
    <w:p>
      <w:pPr>
        <w:ind w:right="280"/>
        <w:spacing w:after="0" w:line="310" w:lineRule="auto"/>
        <w:rPr>
          <w:sz w:val="20"/>
          <w:szCs w:val="20"/>
          <w:color w:val="auto"/>
        </w:rPr>
      </w:pPr>
      <w:r>
        <w:rPr>
          <w:rFonts w:ascii="Arial" w:cs="Arial" w:eastAsia="Arial" w:hAnsi="Arial"/>
          <w:sz w:val="14"/>
          <w:szCs w:val="14"/>
          <w:color w:val="auto"/>
        </w:rPr>
        <w:t>A September 2008 staff report issued by the CPUC's Consumer Protection and Safety Division reached substantially the same conclusions as the Cal Fire reports, but also contended that the power lines involved in the Witch and Rice fires and the lashing wire involved in the Guejito fire were not properly designed, constructed and maintained. In November 2008, the CPUC initiated proceedings to determine if any of its rules were violated and in October 2009, SDG&amp;E and the Consumer Protection and Safety Division entered into a settlement agreement, approved by the CPUC in April 2010, that resolves these proceedings by SDG&amp;E's payment of $14.75 million.</w:t>
      </w:r>
    </w:p>
    <w:p>
      <w:pPr>
        <w:spacing w:after="0" w:line="45"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In June 2009, the trial court ruled that these claims must be pursued in individual lawsuits (rather than as class actions on behalf of all persons who incurred wildfire damages), and the plaintiffs have appealed that ruling. SDG&amp;E has filed cross-complaints against Cox Communications seeking indemnification for any liability that SDG&amp;E may incur that relates to the Guejito fire, as well as cross-complaints against two SDG&amp;E contractors seeking indemnification in connection with the Witch fire. The court has scheduled a Guejito fire trial for three individu al plaintiffs and Cal Fire to begin in March 2011.</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SDG&amp;E has settled substantially all of the 19,000 claims of homeowner insurers relating to the three fires, including claims for payment by the insurers to their policyholders for approximately 1,000 of the 1,300 houses, mobile homes, and apartment units identified in public records as having been destroyed. Under the settlement agreements, SDG&amp;E has paid or will pay 57.5 percent of the approximately $1.6 billion paid or reserved for payment by the insurers to their policyholders and received an assignment of the insurers’ claims against Cox Communications and other parties potentially responsible for the fires.</w:t>
      </w:r>
    </w:p>
    <w:p>
      <w:pPr>
        <w:spacing w:after="0" w:line="76" w:lineRule="exact"/>
        <w:rPr>
          <w:sz w:val="20"/>
          <w:szCs w:val="20"/>
          <w:color w:val="auto"/>
        </w:rPr>
      </w:pPr>
    </w:p>
    <w:p>
      <w:pPr>
        <w:ind w:right="200"/>
        <w:spacing w:after="0" w:line="310" w:lineRule="auto"/>
        <w:rPr>
          <w:sz w:val="20"/>
          <w:szCs w:val="20"/>
          <w:color w:val="auto"/>
        </w:rPr>
      </w:pPr>
      <w:r>
        <w:rPr>
          <w:rFonts w:ascii="Arial" w:cs="Arial" w:eastAsia="Arial" w:hAnsi="Arial"/>
          <w:sz w:val="14"/>
          <w:szCs w:val="14"/>
          <w:color w:val="auto"/>
        </w:rPr>
        <w:t>The wildfire litigation also includes claims of non-insurer plaintiffs for damage to uninsured and underinsured structures, business interruption, evacuation expenses, agricultural damage, emotional harm, personal injuries and other losse s. SDG&amp;E has settled the claims of approximately 350 of these plaintiffs. Of the approximately 2,100 remaining plaintiffs, approximately 1,050 have thus far submitted settlement demands or damage information. Individual and business claims total approximately $570 million and government entity claims total approximately $170 million. SDG&amp;E expects to receive additional settlement demands and damage estimates as settlement negotiations continue.</w:t>
      </w:r>
    </w:p>
    <w:p>
      <w:pPr>
        <w:spacing w:after="0" w:line="45" w:lineRule="exact"/>
        <w:rPr>
          <w:sz w:val="20"/>
          <w:szCs w:val="20"/>
          <w:color w:val="auto"/>
        </w:rPr>
      </w:pPr>
    </w:p>
    <w:p>
      <w:pPr>
        <w:ind w:right="160"/>
        <w:spacing w:after="0" w:line="350" w:lineRule="auto"/>
        <w:rPr>
          <w:sz w:val="20"/>
          <w:szCs w:val="20"/>
          <w:color w:val="auto"/>
        </w:rPr>
      </w:pPr>
      <w:r>
        <w:rPr>
          <w:rFonts w:ascii="Arial" w:cs="Arial" w:eastAsia="Arial" w:hAnsi="Arial"/>
          <w:sz w:val="14"/>
          <w:szCs w:val="14"/>
          <w:color w:val="auto"/>
        </w:rPr>
        <w:t>SDG&amp;E has established reserves for its estimated cost of resolving the claims for economic damages of approximately 1,300 plaintiffs. It expects that its wildfire reserves and amounts paid to resolve wildfire claims will continue to increase as it obtains additional information. SDG&amp;E is unable to reasonably estimate the amount or timing of recoveries</w:t>
      </w:r>
    </w:p>
    <w:p>
      <w:pPr>
        <w:sectPr>
          <w:pgSz w:w="11900" w:h="16909" w:orient="portrait"/>
          <w:cols w:equalWidth="0" w:num="1">
            <w:col w:w="11420"/>
          </w:cols>
          <w:pgMar w:left="240" w:top="122" w:right="239" w:bottom="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from other potentially responsible parties.</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SDG&amp;E has concluded that it is probable that it will be permitted to recover from its utility customers substantially all reasonably incurred costs of resolving wildfire claims in excess of its $1.1 billion of liability insurance coverage and any amounts recovered from other potentially responsible parties. Accordingly, although recovery from utility customers will require future regulatory actions as we discuss in Note 9, SDG&amp;E has recorded a regulatory asset in an amount substantially equal to the aggregate amount it has paid or reserved for payment for the resolution of wildfire claims and related costs in excess of its liability insurance coverage. SDG&amp;E will increase the amount of the regulatory asset as additional amounts are paid or reserves are recorded and reduce it by any amounts recovered from other potentially responsible parties. As of June 30, 2010, the amount of the regulatory asset was $191 million.</w:t>
      </w:r>
    </w:p>
    <w:p>
      <w:pPr>
        <w:spacing w:after="0" w:line="80"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Consequently, Sempra Energy and SDG&amp;E expect no significant earnings impact from the resolution of the remai ning wildfire claims. However, SDG&amp;E’s cash flow will be adversely affected by timing differences between the resolution of claims and recoveries from other potentially responsible parties and utility customers, which may extend over a number of years. Also,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60" w:lineRule="exact"/>
        <w:rPr>
          <w:sz w:val="20"/>
          <w:szCs w:val="20"/>
          <w:color w:val="auto"/>
        </w:rPr>
      </w:pPr>
    </w:p>
    <w:p>
      <w:pPr>
        <w:ind w:right="60"/>
        <w:spacing w:after="0" w:line="350" w:lineRule="auto"/>
        <w:rPr>
          <w:sz w:val="20"/>
          <w:szCs w:val="20"/>
          <w:color w:val="auto"/>
        </w:rPr>
      </w:pPr>
      <w:r>
        <w:rPr>
          <w:rFonts w:ascii="Arial" w:cs="Arial" w:eastAsia="Arial" w:hAnsi="Arial"/>
          <w:sz w:val="14"/>
          <w:szCs w:val="14"/>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LNG &lt; /em&gt;</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Sempra LNG has been engaged in a long-running land dispute relating to property adjacent to its Energía Costa Azul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No terminal permits were affected as a result of these proceedings and the terminal has continued to operate normally. The Mexican district court is expected to conduct additional proceedings regarding the claimant’s assertions and whether the terminal’s permits should be modified or revoked.</w:t>
      </w:r>
    </w:p>
    <w:p>
      <w:pPr>
        <w:spacing w:after="0" w:line="80" w:lineRule="exact"/>
        <w:rPr>
          <w:sz w:val="20"/>
          <w:szCs w:val="20"/>
          <w:color w:val="auto"/>
        </w:rPr>
      </w:pPr>
    </w:p>
    <w:p>
      <w:pPr>
        <w:ind w:right="360"/>
        <w:spacing w:after="0" w:line="350" w:lineRule="auto"/>
        <w:rPr>
          <w:sz w:val="20"/>
          <w:szCs w:val="20"/>
          <w:color w:val="auto"/>
        </w:rPr>
      </w:pPr>
      <w:r>
        <w:rPr>
          <w:rFonts w:ascii="Arial" w:cs="Arial" w:eastAsia="Arial" w:hAnsi="Arial"/>
          <w:sz w:val="14"/>
          <w:szCs w:val="14"/>
          <w:i w:val="1"/>
          <w:iCs w:val="1"/>
          <w:color w:val="auto"/>
        </w:rPr>
        <w:t>The property claimant has also filed a lawsuit in U.S. district court in San Diego seeking compensatory and punitive damages and earnings from the Energía Costa Azul LNG terminal based on his allegations that he was wrongfully evicted from the adjacent property and that he has been harmed by other allegedly improper actions.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 Crisis Litigation</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5"/>
          <w:szCs w:val="15"/>
          <w:i w:val="1"/>
          <w:iCs w:val="1"/>
          <w:color w:val="auto"/>
        </w:rPr>
        <w:t>Sempra Energy, RBS Sempra Commodities and Sempra Generation have reached an agreement in principle for a comprehensive settlement to resolve substantially all of the energy crisis litigation described below for a total payment of $410 million. The matters to be resolved by the settlement would include the multiple actions brought by the California Department of Water Resources (DWR) and other parties with respect to the validity, pricing and operation of Sempra Gene ration’s contract with the DWR and the FERC refund and manipulation proceedings against RBS Sempra Commodities. Any settlement agreements would be subject to the approval of the FERC.</w:t>
      </w:r>
    </w:p>
    <w:p>
      <w:pPr>
        <w:spacing w:after="0" w:line="60"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i w:val="1"/>
          <w:iCs w:val="1"/>
          <w:color w:val="auto"/>
        </w:rPr>
        <w:t>We describe the matters to be resolved below under "DWR Contract," "FERC Refund Proceedings," and "FERC Manipulation Investigation." We expect the settlement of $410 million to be funded largely from previously recorded reserves and receivables at RBS Sempra Commodities. Sempra Energy has also recorded an additional pretax charge of $159 million in the first quarter of 2010 to provide for the remainder of the settlement, including $139 million at Sempra Generation and $20 million at Sempra Commodities.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DWR Contract</w:t>
      </w:r>
    </w:p>
    <w:p>
      <w:pPr>
        <w:spacing w:after="0" w:line="108"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i w:val="1"/>
          <w:iCs w:val="1"/>
          <w:color w:val="auto"/>
        </w:rPr>
        <w:t>In February 2002, the California Energy Oversight Board (CEOB) and the CPUC filed challenges at the FERC to the DWR's contracts with Sempra Generation and other p ower suppliers. After the FERC upheld the contracts in 2003, the CEOB and CPUC appealed to the U.S. Court of Appeals for the Ninth Circuit (Ninth Circuit Court of Appeals) and challenged the FERC's application of the Mobile-Sierra doctrine's "public interest" standard of review to the contracts. In June 2008, the United States Supreme Court (Supreme Court) ruled that the FERC was correct to apply the Mobile-Sierra doctrine (which presumes that contract rates are just and reasonable) absent a demonstration that one of the contracting parties engaged in unlawful market manipulation that directly affected contract rates. The Supreme Court ruled that the FERC should clarify its findings on this issue and consider whether the contract rates seriously harm the public interest. The FERC has not yet acted.</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At various times since the contract's inception, Sempra Generation and the DWR have also had disputes regarding the meaning of terms and performance of the agr eement under which Sempra Generation sells electricity to the DWR. In 2002, in a state civil action, the DWR sought to terminate its contract with Sempra Generation claiming misrepresentation and breach of contract, and seeking rescission, damages, injunctive and declaratory relief, and $100 million in punitive damages. After various procedural decisions and appeals, on November 30, 2009, a San Diego jury returned a verdict denying all of the DWR's claims and requested relief, and granting all of Sempra Generation's requested relief. The DWR has appealed the judgment.</w:t>
      </w:r>
    </w:p>
    <w:p>
      <w:pPr>
        <w:spacing w:after="0" w:line="79" w:lineRule="exact"/>
        <w:rPr>
          <w:sz w:val="20"/>
          <w:szCs w:val="20"/>
          <w:color w:val="auto"/>
        </w:rPr>
      </w:pPr>
    </w:p>
    <w:p>
      <w:pPr>
        <w:ind w:right="320"/>
        <w:spacing w:after="0" w:line="320" w:lineRule="auto"/>
        <w:rPr>
          <w:sz w:val="20"/>
          <w:szCs w:val="20"/>
          <w:color w:val="auto"/>
        </w:rPr>
      </w:pPr>
      <w:r>
        <w:rPr>
          <w:rFonts w:ascii="Arial" w:cs="Arial" w:eastAsia="Arial" w:hAnsi="Arial"/>
          <w:sz w:val="14"/>
          <w:szCs w:val="14"/>
          <w:i w:val="1"/>
          <w:iCs w:val="1"/>
          <w:color w:val="auto"/>
        </w:rPr>
        <w:t>In September 2008, the DWR initiated an arbitration proceeding against Sempra Generation, alleging that Sempra Generation had breached the parties' agreement in various operational respects, and violated the order issued by an earlier arbitration panel relating to the amount refunded to the DWR and the manner in which Sempra Generation operates. The DWR seeks approximately $80 million in dam ages and an order terminating the contract. Arbitration hearings are scheduled for January 2011.</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FERC Refund Proceedings</w:t>
      </w:r>
    </w:p>
    <w:p>
      <w:pPr>
        <w:spacing w:after="0" w:line="108" w:lineRule="exact"/>
        <w:rPr>
          <w:sz w:val="20"/>
          <w:szCs w:val="20"/>
          <w:color w:val="auto"/>
        </w:rPr>
      </w:pPr>
    </w:p>
    <w:p>
      <w:pPr>
        <w:ind w:right="380"/>
        <w:spacing w:after="0" w:line="310" w:lineRule="auto"/>
        <w:rPr>
          <w:sz w:val="20"/>
          <w:szCs w:val="20"/>
          <w:color w:val="auto"/>
        </w:rPr>
      </w:pPr>
      <w:r>
        <w:rPr>
          <w:rFonts w:ascii="Arial" w:cs="Arial" w:eastAsia="Arial" w:hAnsi="Arial"/>
          <w:sz w:val="15"/>
          <w:szCs w:val="15"/>
          <w:i w:val="1"/>
          <w:iCs w:val="1"/>
          <w:color w:val="auto"/>
        </w:rPr>
        <w:t>The FERC is investigating prices charged by various electric suppliers to buyers in the California Power Exchange (PX) and Independent System Operator (ISO) markets. In March 2003, the FERC ordered suppliers to pay refunds on certain sales made during the October 2, 2000 through June 20, 2001 time period.</w:t>
      </w:r>
    </w:p>
    <w:p>
      <w:pPr>
        <w:spacing w:after="0" w:line="41"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i w:val="1"/>
          <w:iCs w:val="1"/>
          <w:color w:val="auto"/>
        </w:rPr>
        <w:t>Various parties, including Sempra Commodities, appealed the FERC's order to the Ninth Circuit Court of Appeals. In August 2006, the Ninth Circuit Court of Appeals held that the FERC had properly established October 2, 2000 through June 20, 2001 as the refund period and had properly excluded certain short-term bilat 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The FERC is in the process of addressing these issues on remand.</w:t>
      </w:r>
    </w:p>
    <w:p>
      <w:pPr>
        <w:spacing w:after="0" w:line="4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i w:val="1"/>
          <w:iCs w:val="1"/>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 ales in the ISO and PX markets in California were within the scope of the Pacific Northwest refund proceeding. The FERC has not yet acted on the court's order.</w:t>
      </w:r>
    </w:p>
    <w:p>
      <w:pPr>
        <w:spacing w:after="0" w:line="76"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i w:val="1"/>
          <w:iCs w:val="1"/>
          <w:color w:val="auto"/>
        </w:rPr>
        <w:t>In a separate complaint filed with the FERC in 2002, the California Attorney General contended that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stated that failure to file transaction-specific quarterly reports gave the FERC authority to order refunds with respect to jurisdictional sellers. The FERC is in the process of addressing these issues on remand.</w:t>
      </w:r>
    </w:p>
    <w:p>
      <w:pPr>
        <w:spacing w:after="0" w:line="60" w:lineRule="exact"/>
        <w:rPr>
          <w:sz w:val="20"/>
          <w:szCs w:val="20"/>
          <w:color w:val="auto"/>
        </w:rPr>
      </w:pPr>
    </w:p>
    <w:p>
      <w:pPr>
        <w:ind w:right="280"/>
        <w:spacing w:after="0" w:line="320" w:lineRule="auto"/>
        <w:rPr>
          <w:sz w:val="20"/>
          <w:szCs w:val="20"/>
          <w:color w:val="auto"/>
        </w:rPr>
      </w:pPr>
      <w:r>
        <w:rPr>
          <w:rFonts w:ascii="Arial" w:cs="Arial" w:eastAsia="Arial" w:hAnsi="Arial"/>
          <w:sz w:val="14"/>
          <w:szCs w:val="14"/>
          <w:i w:val="1"/>
          <w:iCs w:val="1"/>
          <w:color w:val="auto"/>
        </w:rPr>
        <w:t>In May 2009, the California Attorney General filed another complaint at the FERC against various selle rs, including Sempra Commodities. In this complaint, the Attorney General seeks to collect for alleged overcharges related to short-term bilateral transactions between sellers and the DWR from January 18, 2001 through June 20, 2001. These transactions also have been the subject of the Ninth Circuit Court of Appeals' orders in the proceedings described above. The FERC has not yet acted on the complaint.</w:t>
      </w:r>
    </w:p>
    <w:p>
      <w:pPr>
        <w:spacing w:after="0" w:line="38" w:lineRule="exact"/>
        <w:rPr>
          <w:sz w:val="20"/>
          <w:szCs w:val="20"/>
          <w:color w:val="auto"/>
        </w:rPr>
      </w:pPr>
    </w:p>
    <w:p>
      <w:pPr>
        <w:ind w:right="260"/>
        <w:spacing w:after="0" w:line="320" w:lineRule="auto"/>
        <w:rPr>
          <w:sz w:val="20"/>
          <w:szCs w:val="20"/>
          <w:color w:val="auto"/>
        </w:rPr>
      </w:pPr>
      <w:r>
        <w:rPr>
          <w:rFonts w:ascii="Arial" w:cs="Arial" w:eastAsia="Arial" w:hAnsi="Arial"/>
          <w:sz w:val="14"/>
          <w:szCs w:val="14"/>
          <w:i w:val="1"/>
          <w:iCs w:val="1"/>
          <w:color w:val="auto"/>
        </w:rPr>
        <w:t>In the cases described above, the FERC could order additional refunds or the disgorgement of profits. RBS Sempra Commodities has reserves for its estimate of the effect of the FERC's revision of the benchmark prices it will use to calculate refunds and other related developments. Pursuant to the agreements related to the formation of RBS Sempra Commodities, we have indemnified RBS related to these proceedings should the liability from the final resolution be greater than the reserves.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FERC Manipulation Investigat ion</w:t>
      </w:r>
    </w:p>
    <w:p>
      <w:pPr>
        <w:sectPr>
          <w:pgSz w:w="11900" w:h="16838" w:orient="portrait"/>
          <w:cols w:equalWidth="0" w:num="1">
            <w:col w:w="11400"/>
          </w:cols>
          <w:pgMar w:left="240" w:top="131" w:right="259" w:bottom="0" w:gutter="0" w:footer="0" w:header="0"/>
        </w:sectPr>
      </w:pPr>
    </w:p>
    <w:p>
      <w:pPr>
        <w:spacing w:after="0" w:line="108"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i w:val="1"/>
          <w:iCs w:val="1"/>
          <w:color w:val="auto"/>
        </w:rPr>
        <w:t>The FERC has separately investigated whether there was manipulation of short-term energy markets in the western United States that would constitute violations of applicable tariffs and warrant disgorgement of associated profits.</w:t>
      </w:r>
    </w:p>
    <w:p>
      <w:pPr>
        <w:sectPr>
          <w:pgSz w:w="11900" w:h="16838" w:orient="portrait"/>
          <w:cols w:equalWidth="0" w:num="1">
            <w:col w:w="11400"/>
          </w:cols>
          <w:pgMar w:left="240" w:top="131" w:right="259" w:bottom="0" w:gutter="0" w:footer="0" w:header="0"/>
          <w:type w:val="continuous"/>
        </w:sectPr>
      </w:pPr>
    </w:p>
    <w:bookmarkStart w:id="36" w:name="page37"/>
    <w:bookmarkEnd w:id="36"/>
    <w:p>
      <w:pPr>
        <w:ind w:right="180"/>
        <w:spacing w:after="0" w:line="310" w:lineRule="auto"/>
        <w:rPr>
          <w:sz w:val="20"/>
          <w:szCs w:val="20"/>
          <w:color w:val="auto"/>
        </w:rPr>
      </w:pPr>
      <w:r>
        <w:rPr>
          <w:rFonts w:ascii="Arial" w:cs="Arial" w:eastAsia="Arial" w:hAnsi="Arial"/>
          <w:sz w:val="14"/>
          <w:szCs w:val="14"/>
          <w:i w:val="1"/>
          <w:iCs w:val="1"/>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and reaffirmed in November 2008. The California parties have appealed the FERC's orders to the Ninth Circuit Court of Appeals.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Litigation</w:t>
      </w:r>
    </w:p>
    <w:p>
      <w:pPr>
        <w:spacing w:after="0" w:line="60"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i w:val="1"/>
          <w:iCs w:val="1"/>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 A mediation occurred in June 2010, after which the plaintiffs&amp; #146; counsel agreed to recommend a settlement of the lawsuits as to Sempra Energy and its subsidiaries for an amount that is not significant. Any such settlement will require approval by each of the plaintiffs. If approval is obtained, finalization of the settlement is expected to occur within six months.</w:t>
      </w:r>
    </w:p>
    <w:p>
      <w:pPr>
        <w:spacing w:after="0" w:line="6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i w:val="1"/>
          <w:iCs w:val="1"/>
          <w:color w:val="auto"/>
        </w:rPr>
        <w:t>RBS Sempra Commodities assumed litigation reserves related to Sempra Commodities, however, we have indemnified RBS should the liabilities from the final resolution of these matters be greater than the reserves.</w:t>
      </w:r>
    </w:p>
    <w:p>
      <w:pPr>
        <w:spacing w:after="0" w:line="64"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i w:val="1"/>
          <w:iCs w:val="1"/>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Wildfire Reserves and Insurance Receivables</w:t>
      </w:r>
    </w:p>
    <w:p>
      <w:pPr>
        <w:spacing w:after="0" w:line="60" w:lineRule="exact"/>
        <w:rPr>
          <w:sz w:val="20"/>
          <w:szCs w:val="20"/>
          <w:color w:val="auto"/>
        </w:rPr>
      </w:pPr>
    </w:p>
    <w:p>
      <w:pPr>
        <w:jc w:val="both"/>
        <w:ind w:right="40"/>
        <w:spacing w:after="0" w:line="284" w:lineRule="auto"/>
        <w:rPr>
          <w:sz w:val="20"/>
          <w:szCs w:val="20"/>
          <w:color w:val="auto"/>
        </w:rPr>
      </w:pPr>
      <w:r>
        <w:rPr>
          <w:rFonts w:ascii="Arial" w:cs="Arial" w:eastAsia="Arial" w:hAnsi="Arial"/>
          <w:sz w:val="15"/>
          <w:szCs w:val="15"/>
          <w:i w:val="1"/>
          <w:iCs w:val="1"/>
          <w:color w:val="auto"/>
        </w:rPr>
        <w:t>In 2009 and 2010, as liabilities for wildfire litigation have become reasonably estimable, SDG&amp;E has recorded related reserves as a current liability. The impact of this liability is offset by a current receivable resulting from SDG&amp;E’s $1.1 billion of liability insurance and, for reserves in excess of the insurance coverage, the recognition of a regulatory asset, as discussed above. There was no effect on SDG&amp;E's or Sempra Energy's 2009 earnings and no significant effect on their 2010 earnings from the recording of the reserves. At June 30, 2010, wildfire litigation reserves were $241 million and the receivable from SDG&amp;E's insurers was $150 million.</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NUCLEAR INSURANCE</w:t>
      </w:r>
    </w:p>
    <w:p>
      <w:pPr>
        <w:spacing w:after="0" w:line="10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i w:val="1"/>
          <w:iCs w:val="1"/>
          <w:color w:val="auto"/>
        </w:rPr>
        <w:t>SDG&amp;E and the other owners of San Onofre Nuclear Generating Station (SONGS) have insurance to cover claims from nuclear l 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62"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i w:val="1"/>
          <w:iCs w:val="1"/>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6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i w:val="1"/>
          <w:iCs w:val="1"/>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CO MMITMENTS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Consolidated</w:t>
      </w:r>
    </w:p>
    <w:p>
      <w:pPr>
        <w:spacing w:after="0" w:line="60" w:lineRule="exact"/>
        <w:rPr>
          <w:sz w:val="20"/>
          <w:szCs w:val="20"/>
          <w:color w:val="auto"/>
        </w:rPr>
      </w:pPr>
    </w:p>
    <w:p>
      <w:pPr>
        <w:ind w:left="140" w:right="5440" w:hanging="151"/>
        <w:spacing w:after="0" w:line="338" w:lineRule="auto"/>
        <w:rPr>
          <w:sz w:val="20"/>
          <w:szCs w:val="20"/>
          <w:color w:val="auto"/>
        </w:rPr>
      </w:pPr>
      <w:r>
        <w:rPr>
          <w:rFonts w:ascii="Arial" w:cs="Arial" w:eastAsia="Arial" w:hAnsi="Arial"/>
          <w:sz w:val="15"/>
          <w:szCs w:val="15"/>
          <w:i w:val="1"/>
          <w:iCs w:val="1"/>
          <w:color w:val="auto"/>
        </w:rPr>
        <w:t>In the first six months of 2010, significant increases in commitments at Sempra Energy were §the issuance of $250 million of 5.35-percent mortgage bonds maturing in 2040 at SDG&amp;E; §$431 million for purchased-power contracts at SDG&amp;E;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§$223 million for the costs associated with nuclear fuel fabrication at SONGS;</w:t>
      </w:r>
    </w:p>
    <w:p>
      <w:pPr>
        <w:spacing w:after="0" w:line="60" w:lineRule="exact"/>
        <w:rPr>
          <w:sz w:val="20"/>
          <w:szCs w:val="20"/>
          <w:color w:val="auto"/>
        </w:rPr>
      </w:pPr>
    </w:p>
    <w:p>
      <w:pPr>
        <w:ind w:left="140" w:right="2560"/>
        <w:spacing w:after="0" w:line="328" w:lineRule="auto"/>
        <w:rPr>
          <w:sz w:val="20"/>
          <w:szCs w:val="20"/>
          <w:color w:val="auto"/>
        </w:rPr>
      </w:pPr>
      <w:r>
        <w:rPr>
          <w:rFonts w:ascii="Arial" w:cs="Arial" w:eastAsia="Arial" w:hAnsi="Arial"/>
          <w:sz w:val="16"/>
          <w:szCs w:val="16"/>
          <w:i w:val="1"/>
          <w:iCs w:val="1"/>
          <w:color w:val="auto"/>
        </w:rPr>
        <w:t>§$78 million at SDG&amp;E for the engi neering, material procurement and construction costs associated with the Sunrise Powerlink project; §$45 million for construction and infrastructure improvements for gas transmission and distribution operations at SoCalGas; and §$38 million at Sempra Pipelines &amp; Storage for natural gas contracts.</w:t>
      </w:r>
    </w:p>
    <w:p>
      <w:pPr>
        <w:spacing w:after="0" w:line="74"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i w:val="1"/>
          <w:iCs w:val="1"/>
          <w:color w:val="auto"/>
        </w:rPr>
        <w:t>The future payments for the contractual commitments listed above are expected to be $166 million for 2010, $114 million for 2011, $89 million for 2012, $83 million for 2013, $69 million for 2014 and $945 million thereafter. These amounts include expected interest payments on the mortgage bonds using the stated interest rate.</w:t>
      </w:r>
    </w:p>
    <w:p>
      <w:pPr>
        <w:spacing w:after="0" w:line="41"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i w:val="1"/>
          <w:iCs w:val="1"/>
          <w:color w:val="auto"/>
        </w:rPr>
        <w:t>Reserves for Sempra Energy and SDG&amp; E wildfire litigation are discussed above in “SDG&amp;E 2007 Wildfire Litigation.” Reserves for Sempra Energy related to the FERC and DWR contract settlement litigation are discussed above in “Energy Crisis Litigation.”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to SoCalGas’ natural gas purchase and pipeline capacity commitments and Sempra LNG’s natural gas purchase commitments are discussed below.</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i w:val="1"/>
          <w:iCs w:val="1"/>
          <w:color w:val="auto"/>
        </w:rPr>
        <w:t>At December 31, 2009, Sempra LNG had LNG purchase agreements with Tangguh PSC Contractors and Ras Laffan Liquefied Natural Gas Company. We discuss these agreements further in Note 17 of the Notes to Consolidated Financial Statements in the Annual Report.</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In April 2010, Sempra LNG entered into an LNG supply option agreement with Gazprom Global LNG Limited (GGLNG), a subsidiary of OAO Gazprom. The multi-year agreement, which commenced in June 2010, will allow GGLN G to deliver and sell up to two LNG cargoes per month to Sempra LNG at its Cameron receipt terminal. GGLNG pays Sempra LNG a fee for the right to deliver and sell the LNG cargoes using a predetermined pricing formula based on a market index.</w:t>
      </w:r>
    </w:p>
    <w:p>
      <w:pPr>
        <w:spacing w:after="0" w:line="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i w:val="1"/>
          <w:iCs w:val="1"/>
          <w:color w:val="auto"/>
        </w:rPr>
        <w:t>Sempra LNG’s commitments under all LNG purchase agreements, reflecting the additional recent agreement with GGLNG, changes in forward prices since December 31, 2009, and actual transactions for the first six months of 2010, are expected to decrease by $854 million in 2010, increase by $212 million in 2011, $268 million in 2012 and $43 million in 2013, and decrease by $137 million in 2014 and $474 million thereafter compared to December 31, 2009.</w:t>
      </w:r>
    </w:p>
    <w:p>
      <w:pPr>
        <w:spacing w:after="0" w:line="7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i w:val="1"/>
          <w:iCs w:val="1"/>
          <w:color w:val="auto"/>
        </w:rPr>
        <w:t>The LNG commitment amounts above are based on Sempra LNG’s commitment to accept the maximum possible delivery of cargoes under the agreements. Actual LNG purchases for the six months ended June 30, 2010 have been significantly lower than the maximum amounts possible.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SDG&amp;E</w:t>
      </w:r>
    </w:p>
    <w:p>
      <w:pPr>
        <w:spacing w:after="0" w:line="60"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i w:val="1"/>
          <w:iCs w:val="1"/>
          <w:color w:val="auto"/>
        </w:rPr>
        <w:t>In the first six months of 2010, significant increases to contractual commitments at SDG&amp;E were the issuance of $250 million of 5.35-percent mortgage bonds maturing in 2040, $431 million for purchased-power contracts, $223 million for the costs associated with nuclear fuel fabrication at SONGS and $78 million for the engineering, material procurement and construction costs associated with the Sunrise Powerlink project.</w:t>
      </w:r>
    </w:p>
    <w:p>
      <w:pPr>
        <w:spacing w:after="0" w:line="7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i w:val="1"/>
          <w:iCs w:val="1"/>
          <w:color w:val="auto"/>
        </w:rPr>
        <w:t>The future payments for these contractual commitments are expected to be $96 million for 2010, $101 million for 2011, $89 million for 2012, $83 million for 2013, $69 million for 2014 and $945 million thereafter. These amounts include expected interest payments on the mortgage bonds using the stated interest rate.</w:t>
      </w:r>
    </w:p>
    <w:p>
      <w:pPr>
        <w:sectPr>
          <w:pgSz w:w="11900" w:h="16838" w:orient="portrait"/>
          <w:cols w:equalWidth="0" w:num="1">
            <w:col w:w="11440"/>
          </w:cols>
          <w:pgMar w:left="240" w:top="131" w:right="219" w:bottom="1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SoCalGas</w:t>
      </w:r>
    </w:p>
    <w:p>
      <w:pPr>
        <w:sectPr>
          <w:pgSz w:w="11900" w:h="16838" w:orient="portrait"/>
          <w:cols w:equalWidth="0" w:num="1">
            <w:col w:w="11440"/>
          </w:cols>
          <w:pgMar w:left="240" w:top="131" w:right="219" w:bottom="140" w:gutter="0" w:footer="0" w:header="0"/>
          <w:type w:val="continuous"/>
        </w:sectPr>
      </w:pPr>
    </w:p>
    <w:bookmarkStart w:id="37" w:name="page38"/>
    <w:bookmarkEnd w:id="37"/>
    <w:p>
      <w:pPr>
        <w:ind w:right="760"/>
        <w:spacing w:after="0" w:line="350" w:lineRule="auto"/>
        <w:rPr>
          <w:sz w:val="20"/>
          <w:szCs w:val="20"/>
          <w:color w:val="auto"/>
        </w:rPr>
      </w:pPr>
      <w:r>
        <w:rPr>
          <w:rFonts w:ascii="Arial" w:cs="Arial" w:eastAsia="Arial" w:hAnsi="Arial"/>
          <w:sz w:val="14"/>
          <w:szCs w:val="14"/>
          <w:i w:val="1"/>
          <w:iCs w:val="1"/>
          <w:color w:val="auto"/>
        </w:rPr>
        <w:t>In the first six months of 2010, significant increases to contractual commitments at SoCalGas were $45 million for construction and infrastructure improvements for gas transmission and distribution operations. The future payments for these contractual commitments are expected to be $32 million for 2010 and $13 million for 2011.</w:t>
      </w:r>
    </w:p>
    <w:p>
      <w:pPr>
        <w:spacing w:after="0" w:line="1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SoCalGas’ natural gas purchase and pipeline capacity commitments have decreased by $516 million since December 31, 2009. The decrease, primarily due to a reduction of $816 million based on lower natural gas forward prices and actual transactions for the first six months of 2010, is offset by new natural gas purchase and pipeline capacity contracts of $300 million. Net future payments are therefore expected to decrease by $617 million for 2010 and increase by $64 million for 2011, $12 million for 2012, $11 million for 2013, $10 million fo r 2014 and $4 million thereafter compared to December 31, 2009.</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LEASES</w:t>
      </w:r>
    </w:p>
    <w:p>
      <w:pPr>
        <w:spacing w:after="0" w:line="1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i w:val="1"/>
          <w:iCs w:val="1"/>
          <w:color w:val="auto"/>
        </w:rPr>
        <w:t>SDG&amp;E has two power purchase agreements with peaker plant facilities that went into commercial operation in June 2010 and are accounted for as capital leases. As of June 30, 2010, capital lease obligations for these leases, both with a 25-year term, were $183 million.</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i w:val="1"/>
          <w:iCs w:val="1"/>
          <w:color w:val="auto"/>
        </w:rPr>
        <w:t>At June 30, 2010, the future minimum lease payments and present value of the net minimum lease payments under capital leases for both Sempra Energy Consolidated and SDG&amp;E were as follows:</w:t>
      </w: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49"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8140" w:type="dxa"/>
            <w:vAlign w:val="bottom"/>
          </w:tcPr>
          <w:p>
            <w:pPr>
              <w:spacing w:after="0"/>
              <w:rPr>
                <w:sz w:val="20"/>
                <w:szCs w:val="20"/>
                <w:color w:val="auto"/>
              </w:rPr>
            </w:pPr>
            <w:r>
              <w:rPr>
                <w:rFonts w:ascii="Arial" w:cs="Arial" w:eastAsia="Arial" w:hAnsi="Arial"/>
                <w:sz w:val="15"/>
                <w:szCs w:val="15"/>
                <w:color w:val="auto"/>
              </w:rPr>
              <w:t>2010</w:t>
            </w:r>
          </w:p>
        </w:tc>
        <w:tc>
          <w:tcPr>
            <w:tcW w:w="1140" w:type="dxa"/>
            <w:vAlign w:val="bottom"/>
          </w:tcPr>
          <w:p>
            <w:pPr>
              <w:jc w:val="right"/>
              <w:ind w:right="887"/>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12</w:t>
            </w:r>
          </w:p>
        </w:tc>
      </w:tr>
      <w:tr>
        <w:trPr>
          <w:trHeight w:val="219"/>
        </w:trPr>
        <w:tc>
          <w:tcPr>
            <w:tcW w:w="8140" w:type="dxa"/>
            <w:vAlign w:val="bottom"/>
          </w:tcPr>
          <w:p>
            <w:pPr>
              <w:spacing w:after="0"/>
              <w:rPr>
                <w:sz w:val="20"/>
                <w:szCs w:val="20"/>
                <w:color w:val="auto"/>
              </w:rPr>
            </w:pPr>
            <w:r>
              <w:rPr>
                <w:rFonts w:ascii="Arial" w:cs="Arial" w:eastAsia="Arial" w:hAnsi="Arial"/>
                <w:sz w:val="15"/>
                <w:szCs w:val="15"/>
                <w:color w:val="auto"/>
              </w:rPr>
              <w:t>2011</w:t>
            </w:r>
          </w:p>
        </w:tc>
        <w:tc>
          <w:tcPr>
            <w:tcW w:w="1140" w:type="dxa"/>
            <w:vAlign w:val="bottom"/>
          </w:tcPr>
          <w:p>
            <w:pPr>
              <w:spacing w:after="0"/>
              <w:rPr>
                <w:sz w:val="19"/>
                <w:szCs w:val="19"/>
                <w:color w:val="auto"/>
              </w:rPr>
            </w:pP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24</w:t>
            </w:r>
          </w:p>
        </w:tc>
      </w:tr>
      <w:tr>
        <w:trPr>
          <w:trHeight w:val="219"/>
        </w:trPr>
        <w:tc>
          <w:tcPr>
            <w:tcW w:w="8140" w:type="dxa"/>
            <w:vAlign w:val="bottom"/>
          </w:tcPr>
          <w:p>
            <w:pPr>
              <w:spacing w:after="0"/>
              <w:rPr>
                <w:sz w:val="20"/>
                <w:szCs w:val="20"/>
                <w:color w:val="auto"/>
              </w:rPr>
            </w:pPr>
            <w:r>
              <w:rPr>
                <w:rFonts w:ascii="Arial" w:cs="Arial" w:eastAsia="Arial" w:hAnsi="Arial"/>
                <w:sz w:val="15"/>
                <w:szCs w:val="15"/>
                <w:color w:val="auto"/>
              </w:rPr>
              <w:t>2012</w:t>
            </w:r>
          </w:p>
        </w:tc>
        <w:tc>
          <w:tcPr>
            <w:tcW w:w="1140" w:type="dxa"/>
            <w:vAlign w:val="bottom"/>
          </w:tcPr>
          <w:p>
            <w:pPr>
              <w:spacing w:after="0"/>
              <w:rPr>
                <w:sz w:val="19"/>
                <w:szCs w:val="19"/>
                <w:color w:val="auto"/>
              </w:rPr>
            </w:pP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24</w:t>
            </w:r>
          </w:p>
        </w:tc>
      </w:tr>
      <w:tr>
        <w:trPr>
          <w:trHeight w:val="219"/>
        </w:trPr>
        <w:tc>
          <w:tcPr>
            <w:tcW w:w="8140" w:type="dxa"/>
            <w:vAlign w:val="bottom"/>
          </w:tcPr>
          <w:p>
            <w:pPr>
              <w:spacing w:after="0"/>
              <w:rPr>
                <w:sz w:val="20"/>
                <w:szCs w:val="20"/>
                <w:color w:val="auto"/>
              </w:rPr>
            </w:pPr>
            <w:r>
              <w:rPr>
                <w:rFonts w:ascii="Arial" w:cs="Arial" w:eastAsia="Arial" w:hAnsi="Arial"/>
                <w:sz w:val="15"/>
                <w:szCs w:val="15"/>
                <w:color w:val="auto"/>
              </w:rPr>
              <w:t>2013</w:t>
            </w:r>
          </w:p>
        </w:tc>
        <w:tc>
          <w:tcPr>
            <w:tcW w:w="1140" w:type="dxa"/>
            <w:vAlign w:val="bottom"/>
          </w:tcPr>
          <w:p>
            <w:pPr>
              <w:spacing w:after="0"/>
              <w:rPr>
                <w:sz w:val="19"/>
                <w:szCs w:val="19"/>
                <w:color w:val="auto"/>
              </w:rPr>
            </w:pP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24</w:t>
            </w:r>
          </w:p>
        </w:tc>
      </w:tr>
      <w:tr>
        <w:trPr>
          <w:trHeight w:val="219"/>
        </w:trPr>
        <w:tc>
          <w:tcPr>
            <w:tcW w:w="8140" w:type="dxa"/>
            <w:vAlign w:val="bottom"/>
          </w:tcPr>
          <w:p>
            <w:pPr>
              <w:spacing w:after="0"/>
              <w:rPr>
                <w:sz w:val="20"/>
                <w:szCs w:val="20"/>
                <w:color w:val="auto"/>
              </w:rPr>
            </w:pPr>
            <w:r>
              <w:rPr>
                <w:rFonts w:ascii="Arial" w:cs="Arial" w:eastAsia="Arial" w:hAnsi="Arial"/>
                <w:sz w:val="15"/>
                <w:szCs w:val="15"/>
                <w:color w:val="auto"/>
              </w:rPr>
              <w:t>2014</w:t>
            </w:r>
          </w:p>
        </w:tc>
        <w:tc>
          <w:tcPr>
            <w:tcW w:w="1140" w:type="dxa"/>
            <w:vAlign w:val="bottom"/>
          </w:tcPr>
          <w:p>
            <w:pPr>
              <w:spacing w:after="0"/>
              <w:rPr>
                <w:sz w:val="19"/>
                <w:szCs w:val="19"/>
                <w:color w:val="auto"/>
              </w:rPr>
            </w:pP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24&amp;nb sp;</w:t>
            </w:r>
          </w:p>
        </w:tc>
      </w:tr>
      <w:tr>
        <w:trPr>
          <w:trHeight w:val="212"/>
        </w:trPr>
        <w:tc>
          <w:tcPr>
            <w:tcW w:w="8140" w:type="dxa"/>
            <w:vAlign w:val="bottom"/>
          </w:tcPr>
          <w:p>
            <w:pPr>
              <w:spacing w:after="0"/>
              <w:rPr>
                <w:sz w:val="20"/>
                <w:szCs w:val="20"/>
                <w:color w:val="auto"/>
              </w:rPr>
            </w:pPr>
            <w:r>
              <w:rPr>
                <w:rFonts w:ascii="Arial" w:cs="Arial" w:eastAsia="Arial" w:hAnsi="Arial"/>
                <w:sz w:val="15"/>
                <w:szCs w:val="15"/>
                <w:color w:val="auto"/>
              </w:rPr>
              <w:t>Thereafter</w:t>
            </w:r>
          </w:p>
        </w:tc>
        <w:tc>
          <w:tcPr>
            <w:tcW w:w="1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489</w:t>
            </w:r>
          </w:p>
        </w:tc>
      </w:tr>
      <w:tr>
        <w:trPr>
          <w:trHeight w:val="219"/>
        </w:trPr>
        <w:tc>
          <w:tcPr>
            <w:tcW w:w="8140" w:type="dxa"/>
            <w:vAlign w:val="bottom"/>
          </w:tcPr>
          <w:p>
            <w:pPr>
              <w:spacing w:after="0"/>
              <w:rPr>
                <w:sz w:val="20"/>
                <w:szCs w:val="20"/>
                <w:color w:val="auto"/>
              </w:rPr>
            </w:pPr>
            <w:r>
              <w:rPr>
                <w:rFonts w:ascii="Arial" w:cs="Arial" w:eastAsia="Arial" w:hAnsi="Arial"/>
                <w:sz w:val="15"/>
                <w:szCs w:val="15"/>
                <w:color w:val="auto"/>
              </w:rPr>
              <w:t>Total minimum lease payments(1)</w:t>
            </w:r>
          </w:p>
        </w:tc>
        <w:tc>
          <w:tcPr>
            <w:tcW w:w="1140" w:type="dxa"/>
            <w:vAlign w:val="bottom"/>
          </w:tcPr>
          <w:p>
            <w:pPr>
              <w:spacing w:after="0"/>
              <w:rPr>
                <w:sz w:val="19"/>
                <w:szCs w:val="19"/>
                <w:color w:val="auto"/>
              </w:rPr>
            </w:pP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597</w:t>
            </w:r>
          </w:p>
        </w:tc>
      </w:tr>
      <w:tr>
        <w:trPr>
          <w:trHeight w:val="244"/>
        </w:trPr>
        <w:tc>
          <w:tcPr>
            <w:tcW w:w="8140" w:type="dxa"/>
            <w:vAlign w:val="bottom"/>
          </w:tcPr>
          <w:p>
            <w:pPr>
              <w:spacing w:after="0"/>
              <w:rPr>
                <w:sz w:val="20"/>
                <w:szCs w:val="20"/>
                <w:color w:val="auto"/>
              </w:rPr>
            </w:pPr>
            <w:r>
              <w:rPr>
                <w:rFonts w:ascii="Arial" w:cs="Arial" w:eastAsia="Arial" w:hAnsi="Arial"/>
                <w:sz w:val="15"/>
                <w:szCs w:val="15"/>
                <w:color w:val="auto"/>
              </w:rPr>
              <w:t>Less: estimated executory costs</w:t>
            </w:r>
          </w:p>
        </w:tc>
        <w:tc>
          <w:tcPr>
            <w:tcW w:w="1140" w:type="dxa"/>
            <w:vAlign w:val="bottom"/>
          </w:tcPr>
          <w:p>
            <w:pPr>
              <w:spacing w:after="0"/>
              <w:rPr>
                <w:sz w:val="21"/>
                <w:szCs w:val="21"/>
                <w:color w:val="auto"/>
              </w:rPr>
            </w:pP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(98)</w:t>
            </w:r>
          </w:p>
        </w:tc>
      </w:tr>
      <w:tr>
        <w:trPr>
          <w:trHeight w:val="236"/>
        </w:trPr>
        <w:tc>
          <w:tcPr>
            <w:tcW w:w="8140" w:type="dxa"/>
            <w:vAlign w:val="bottom"/>
          </w:tcPr>
          <w:p>
            <w:pPr>
              <w:spacing w:after="0"/>
              <w:rPr>
                <w:sz w:val="20"/>
                <w:szCs w:val="20"/>
                <w:color w:val="auto"/>
              </w:rPr>
            </w:pPr>
            <w:r>
              <w:rPr>
                <w:rFonts w:ascii="Arial" w:cs="Arial" w:eastAsia="Arial" w:hAnsi="Arial"/>
                <w:sz w:val="15"/>
                <w:szCs w:val="15"/>
                <w:color w:val="auto"/>
              </w:rPr>
              <w:t>Less: interest(2)</w:t>
            </w: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(316)</w:t>
            </w:r>
          </w:p>
        </w:tc>
      </w:tr>
      <w:tr>
        <w:trPr>
          <w:trHeight w:val="231"/>
        </w:trPr>
        <w:tc>
          <w:tcPr>
            <w:tcW w:w="8140" w:type="dxa"/>
            <w:vAlign w:val="bottom"/>
          </w:tcPr>
          <w:p>
            <w:pPr>
              <w:spacing w:after="0"/>
              <w:rPr>
                <w:sz w:val="20"/>
                <w:szCs w:val="20"/>
                <w:color w:val="auto"/>
              </w:rPr>
            </w:pPr>
            <w:r>
              <w:rPr>
                <w:rFonts w:ascii="Arial" w:cs="Arial" w:eastAsia="Arial" w:hAnsi="Arial"/>
                <w:sz w:val="15"/>
                <w:szCs w:val="15"/>
                <w:color w:val="auto"/>
              </w:rPr>
              <w:t>Present value of net minimum lease payments(3)</w:t>
            </w:r>
          </w:p>
        </w:tc>
        <w:tc>
          <w:tcPr>
            <w:tcW w:w="1140" w:type="dxa"/>
            <w:vAlign w:val="bottom"/>
          </w:tcPr>
          <w:p>
            <w:pPr>
              <w:jc w:val="right"/>
              <w:ind w:right="887"/>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67"/>
              <w:spacing w:after="0"/>
              <w:rPr>
                <w:sz w:val="20"/>
                <w:szCs w:val="20"/>
                <w:color w:val="auto"/>
              </w:rPr>
            </w:pPr>
            <w:r>
              <w:rPr>
                <w:rFonts w:ascii="Arial" w:cs="Arial" w:eastAsia="Arial" w:hAnsi="Arial"/>
                <w:sz w:val="15"/>
                <w:szCs w:val="15"/>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99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ind w:left="440" w:right="720" w:hanging="345"/>
        <w:spacing w:after="0" w:line="245" w:lineRule="auto"/>
        <w:tabs>
          <w:tab w:leader="none" w:pos="44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This amount will be recorded over the lives of the leases as Cost of Electric Fuel and Purchased Power on Sempra Energy's and SDG&amp;E's Condensed Consolidated Statements of Operations. This expense will receive ratemaking treatment consistent with purchased-power costs.</w:t>
      </w:r>
    </w:p>
    <w:p>
      <w:pPr>
        <w:spacing w:after="0" w:line="1" w:lineRule="exact"/>
        <w:rPr>
          <w:rFonts w:ascii="Arial" w:cs="Arial" w:eastAsia="Arial" w:hAnsi="Arial"/>
          <w:sz w:val="13"/>
          <w:szCs w:val="13"/>
          <w:i w:val="1"/>
          <w:iCs w:val="1"/>
          <w:color w:val="auto"/>
        </w:rPr>
      </w:pPr>
    </w:p>
    <w:p>
      <w:pPr>
        <w:ind w:left="440" w:hanging="345"/>
        <w:spacing w:after="0"/>
        <w:tabs>
          <w:tab w:leader="none" w:pos="44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Amount necessary to reduce net minimum lease payments to present value at the inception of the leases.</w:t>
      </w:r>
    </w:p>
    <w:p>
      <w:pPr>
        <w:spacing w:after="0" w:line="92" w:lineRule="exact"/>
        <w:rPr>
          <w:rFonts w:ascii="Arial" w:cs="Arial" w:eastAsia="Arial" w:hAnsi="Arial"/>
          <w:sz w:val="13"/>
          <w:szCs w:val="13"/>
          <w:i w:val="1"/>
          <w:iCs w:val="1"/>
          <w:color w:val="auto"/>
        </w:rPr>
      </w:pPr>
    </w:p>
    <w:p>
      <w:pPr>
        <w:ind w:left="440" w:hanging="345"/>
        <w:spacing w:after="0"/>
        <w:tabs>
          <w:tab w:leader="none" w:pos="44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$7 million in Current Portion of Long-term Debt and $176 million in Long-term Debt on Sempra Energy's and SDG&amp;E's Condensed Consolidated Balance Sheets at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290195</wp:posOffset>
            </wp:positionV>
            <wp:extent cx="72599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11. SEGMENT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have six separately managed reportable segments, as follows:</w:t>
      </w:r>
    </w:p>
    <w:p>
      <w:pPr>
        <w:spacing w:after="0" w:line="10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6"/>
          <w:szCs w:val="16"/>
          <w:i w:val="1"/>
          <w:iCs w:val="1"/>
          <w:color w:val="auto"/>
        </w:rPr>
        <w:t>1.&lt; /font&gt;</w:t>
      </w:r>
      <w:r>
        <w:rPr>
          <w:sz w:val="20"/>
          <w:szCs w:val="20"/>
          <w:color w:val="auto"/>
        </w:rPr>
        <w:tab/>
      </w:r>
      <w:r>
        <w:rPr>
          <w:rFonts w:ascii="Arial" w:cs="Arial" w:eastAsia="Arial" w:hAnsi="Arial"/>
          <w:sz w:val="14"/>
          <w:szCs w:val="14"/>
          <w:i w:val="1"/>
          <w:iCs w:val="1"/>
          <w:color w:val="auto"/>
        </w:rPr>
        <w:t>SDG&amp;E provides electric service to San Diego and southern Orange counties and natural gas service to San Diego County.</w:t>
      </w:r>
    </w:p>
    <w:p>
      <w:pPr>
        <w:spacing w:after="0" w:line="206" w:lineRule="exact"/>
        <w:rPr>
          <w:sz w:val="20"/>
          <w:szCs w:val="20"/>
          <w:color w:val="auto"/>
        </w:rPr>
      </w:pPr>
    </w:p>
    <w:p>
      <w:pPr>
        <w:ind w:left="600" w:hanging="310"/>
        <w:spacing w:after="0"/>
        <w:tabs>
          <w:tab w:leader="none" w:pos="60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SoCalGas is a natural gas distribution utility, serving customers throughout most of Southern California and part of central California.</w:t>
      </w:r>
    </w:p>
    <w:p>
      <w:pPr>
        <w:spacing w:after="0" w:line="205" w:lineRule="exact"/>
        <w:rPr>
          <w:rFonts w:ascii="Arial" w:cs="Arial" w:eastAsia="Arial" w:hAnsi="Arial"/>
          <w:sz w:val="16"/>
          <w:szCs w:val="16"/>
          <w:i w:val="1"/>
          <w:iCs w:val="1"/>
          <w:color w:val="auto"/>
        </w:rPr>
      </w:pPr>
    </w:p>
    <w:p>
      <w:pPr>
        <w:ind w:left="580" w:right="620" w:hanging="290"/>
        <w:spacing w:after="0" w:line="261" w:lineRule="auto"/>
        <w:tabs>
          <w:tab w:leader="none" w:pos="605"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Sempra Commodities holds our investment in RBS Sempra Commodities, a joint venture with RBS. The partnership was formed from our commodities-marketing businesses previously reported in this segment. The partnership's commodity trading businesses serve customers in natural gas and electricity, and prior to July 1, 2010, also in petroleum and petroleum products, and base metals. Sempra Commodities also includes the operating results of Sempra Rockies Marketing, which holds firm service capacity on the Rockies Express Pipeline.</w:t>
      </w:r>
    </w:p>
    <w:p>
      <w:pPr>
        <w:spacing w:after="0" w:line="125" w:lineRule="exact"/>
        <w:rPr>
          <w:sz w:val="20"/>
          <w:szCs w:val="20"/>
          <w:color w:val="auto"/>
        </w:rPr>
      </w:pPr>
    </w:p>
    <w:p>
      <w:pPr>
        <w:ind w:left="580" w:right="640"/>
        <w:spacing w:after="0" w:line="320" w:lineRule="auto"/>
        <w:rPr>
          <w:sz w:val="20"/>
          <w:szCs w:val="20"/>
          <w:color w:val="auto"/>
        </w:rPr>
      </w:pPr>
      <w:r>
        <w:rPr>
          <w:rFonts w:ascii="Arial" w:cs="Arial" w:eastAsia="Arial" w:hAnsi="Arial"/>
          <w:sz w:val="14"/>
          <w:szCs w:val="14"/>
          <w:i w:val="1"/>
          <w:iCs w:val="1"/>
          <w:color w:val="auto"/>
        </w:rPr>
        <w:t>In February 2010, Sempra Energy, RBS and the partnership entered into an agreement to sell certain businesses within the partnership, which was consummated on July 1, 2010. We discuss this transaction and other matters concerning the partnership in Note 4 above and in Notes 4 and 20 of the Notes to Consolidated Financial Statements in the Annual Report. We and RBS continue to engage in an active sales process for the remaining partnership businesses.</w:t>
      </w:r>
    </w:p>
    <w:p>
      <w:pPr>
        <w:spacing w:after="0" w:line="135" w:lineRule="exact"/>
        <w:rPr>
          <w:sz w:val="20"/>
          <w:szCs w:val="20"/>
          <w:color w:val="auto"/>
        </w:rPr>
      </w:pPr>
    </w:p>
    <w:p>
      <w:pPr>
        <w:ind w:left="580" w:right="1080" w:hanging="290"/>
        <w:spacing w:after="0" w:line="276" w:lineRule="auto"/>
        <w:tabs>
          <w:tab w:leader="none" w:pos="605"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Sempra Generation develops, owns and operates, or holds interests in, electric power plants and energy projects in Arizona, California, Nevada, Indiana, Hawaii and Mexico to serve wholesale electricity markets in the United States and Mexico.</w:t>
      </w:r>
    </w:p>
    <w:p>
      <w:pPr>
        <w:spacing w:after="0" w:line="161" w:lineRule="exact"/>
        <w:rPr>
          <w:rFonts w:ascii="Arial" w:cs="Arial" w:eastAsia="Arial" w:hAnsi="Arial"/>
          <w:sz w:val="16"/>
          <w:szCs w:val="16"/>
          <w:i w:val="1"/>
          <w:iCs w:val="1"/>
          <w:color w:val="auto"/>
        </w:rPr>
      </w:pPr>
    </w:p>
    <w:p>
      <w:pPr>
        <w:ind w:left="580" w:right="620" w:hanging="290"/>
        <w:spacing w:after="0" w:line="284" w:lineRule="auto"/>
        <w:tabs>
          <w:tab w:leader="none" w:pos="605" w:val="left"/>
        </w:tabs>
        <w:numPr>
          <w:ilvl w:val="0"/>
          <w:numId w:val="47"/>
        </w:numPr>
        <w:rPr>
          <w:rFonts w:ascii="Arial" w:cs="Arial" w:eastAsia="Arial" w:hAnsi="Arial"/>
          <w:sz w:val="15"/>
          <w:szCs w:val="15"/>
          <w:i w:val="1"/>
          <w:iCs w:val="1"/>
          <w:color w:val="auto"/>
        </w:rPr>
      </w:pPr>
      <w:r>
        <w:rPr>
          <w:rFonts w:ascii="Arial" w:cs="Arial" w:eastAsia="Arial" w:hAnsi="Arial"/>
          <w:sz w:val="15"/>
          <w:szCs w:val="15"/>
          <w:i w:val="1"/>
          <w:iCs w:val="1"/>
          <w:color w:val="auto"/>
        </w:rPr>
        <w:t>Sempra Pipelines &amp; Storage develops, owns and operates, or holds interests in , natural gas and propane pipelines and natural gas storage facilities in the United States and Mexico, and companies 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small natural gas distribution utility in Southwest Alabama.</w:t>
      </w:r>
    </w:p>
    <w:p>
      <w:pPr>
        <w:spacing w:after="0" w:line="157" w:lineRule="exact"/>
        <w:rPr>
          <w:rFonts w:ascii="Arial" w:cs="Arial" w:eastAsia="Arial" w:hAnsi="Arial"/>
          <w:sz w:val="15"/>
          <w:szCs w:val="15"/>
          <w:i w:val="1"/>
          <w:iCs w:val="1"/>
          <w:color w:val="auto"/>
        </w:rPr>
      </w:pPr>
    </w:p>
    <w:p>
      <w:pPr>
        <w:ind w:left="580" w:right="780" w:hanging="290"/>
        <w:spacing w:after="0" w:line="276" w:lineRule="auto"/>
        <w:tabs>
          <w:tab w:leader="none" w:pos="605"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Sempra LNG develops, owns and operates receipt terminals for importing LNG in the U.S. and Mexico, and has supply and marketing agreements to purchase LNG and sell natural gas.</w:t>
      </w:r>
    </w:p>
    <w:p>
      <w:pPr>
        <w:spacing w:after="0" w:line="161" w:lineRule="exact"/>
        <w:rPr>
          <w:sz w:val="20"/>
          <w:szCs w:val="20"/>
          <w:color w:val="auto"/>
        </w:rPr>
      </w:pPr>
    </w:p>
    <w:p>
      <w:pPr>
        <w:jc w:val="both"/>
        <w:ind w:right="200"/>
        <w:spacing w:after="0" w:line="290" w:lineRule="auto"/>
        <w:rPr>
          <w:sz w:val="20"/>
          <w:szCs w:val="20"/>
          <w:color w:val="auto"/>
        </w:rPr>
      </w:pPr>
      <w:r>
        <w:rPr>
          <w:rFonts w:ascii="Arial" w:cs="Arial" w:eastAsia="Arial" w:hAnsi="Arial"/>
          <w:sz w:val="15"/>
          <w:szCs w:val="15"/>
          <w:i w:val="1"/>
          <w:iCs w:val="1"/>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the first quarter of 2010, Sempra LNG became a reportable segment. We have revised segment disclosures for 2009 to reflect this.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following tables show selected information by segment from our Condensed Consolidated Statements of Operations and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labeled as "a ll other" in the following tables consist primarily of parent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53975" cy="1162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975"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60"/>
        <w:spacing w:after="0" w:line="248" w:lineRule="auto"/>
        <w:rPr>
          <w:sz w:val="20"/>
          <w:szCs w:val="20"/>
          <w:color w:val="auto"/>
        </w:rPr>
      </w:pPr>
      <w:r>
        <w:rPr>
          <w:sz w:val="1"/>
          <w:szCs w:val="1"/>
          <w:color w:val="auto"/>
        </w:rPr>
        <w:drawing>
          <wp:inline distT="0" distB="0" distL="0" distR="0">
            <wp:extent cx="53975" cy="1047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975" cy="104775"/>
                    </a:xfrm>
                    <a:prstGeom prst="rect">
                      <a:avLst/>
                    </a:prstGeom>
                    <a:noFill/>
                    <a:ln>
                      <a:noFill/>
                    </a:ln>
                  </pic:spPr>
                </pic:pic>
              </a:graphicData>
            </a:graphic>
          </wp:inline>
        </w:drawing>
      </w:r>
      <w:r>
        <w:rPr>
          <w:rFonts w:ascii="Arial" w:cs="Arial" w:eastAsia="Arial" w:hAnsi="Arial"/>
          <w:sz w:val="16"/>
          <w:szCs w:val="16"/>
          <w:i w:val="1"/>
          <w:iCs w:val="1"/>
          <w:color w:val="auto"/>
        </w:rPr>
        <w:t>&lt; td style="BORDER-RIGHT:0px; PADDING-RIGHT:5.75pt; BORDER-TOP:0px; PADDING-LEFT:5.75pt; BACKGROUND:white; PADDING-BOTTOM:0in; BORDER-LEFT:0px; PADDING-TOP:0in; BORDER-BOTTOM:0px; HEIGHT:12.75pt" valign=bottom&gt;</w:t>
      </w:r>
    </w:p>
    <w:p>
      <w:pPr>
        <w:spacing w:after="0" w:line="1" w:lineRule="exact"/>
        <w:rPr>
          <w:sz w:val="20"/>
          <w:szCs w:val="20"/>
          <w:color w:val="auto"/>
        </w:rPr>
      </w:pPr>
    </w:p>
    <w:p>
      <w:pPr>
        <w:ind w:left="11220"/>
        <w:spacing w:after="0"/>
        <w:rPr>
          <w:sz w:val="20"/>
          <w:szCs w:val="20"/>
          <w:color w:val="auto"/>
        </w:rPr>
      </w:pPr>
      <w:r>
        <w:rPr>
          <w:rFonts w:ascii="Arial" w:cs="Arial" w:eastAsia="Arial" w:hAnsi="Arial"/>
          <w:sz w:val="15"/>
          <w:szCs w:val="15"/>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59955" cy="409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4095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b w:val="1"/>
          <w:bCs w:val="1"/>
          <w:color w:val="auto"/>
        </w:rPr>
        <w:t>SEGMENT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INFORMATION</w:t>
      </w:r>
    </w:p>
    <w:p>
      <w:pPr>
        <w:ind w:left="100"/>
        <w:spacing w:after="0" w:line="235" w:lineRule="auto"/>
        <w:rPr>
          <w:sz w:val="20"/>
          <w:szCs w:val="20"/>
          <w:color w:val="auto"/>
        </w:rPr>
      </w:pPr>
      <w:r>
        <w:rPr>
          <w:rFonts w:ascii="Arial" w:cs="Arial" w:eastAsia="Arial" w:hAnsi="Arial"/>
          <w:sz w:val="13"/>
          <w:szCs w:val="13"/>
          <w:i w:val="1"/>
          <w:iCs w:val="1"/>
          <w:color w:val="auto"/>
        </w:rPr>
        <w:t>(Dollars in</w:t>
      </w:r>
    </w:p>
    <w:p>
      <w:pPr>
        <w:ind w:left="100"/>
        <w:spacing w:after="0"/>
        <w:rPr>
          <w:sz w:val="20"/>
          <w:szCs w:val="20"/>
          <w:color w:val="auto"/>
        </w:rPr>
      </w:pPr>
      <w:r>
        <w:rPr>
          <w:rFonts w:ascii="Arial" w:cs="Arial" w:eastAsia="Arial" w:hAnsi="Arial"/>
          <w:sz w:val="13"/>
          <w:szCs w:val="13"/>
          <w:i w:val="1"/>
          <w:iCs w:val="1"/>
          <w:color w:val="auto"/>
        </w:rPr>
        <w:t>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jc w:val="right"/>
              <w:ind w:right="1475"/>
              <w:spacing w:after="0"/>
              <w:rPr>
                <w:sz w:val="20"/>
                <w:szCs w:val="20"/>
                <w:color w:val="auto"/>
              </w:rPr>
            </w:pPr>
            <w:r>
              <w:rPr>
                <w:rFonts w:ascii="Arial" w:cs="Arial" w:eastAsia="Arial" w:hAnsi="Arial"/>
                <w:sz w:val="13"/>
                <w:szCs w:val="13"/>
                <w:color w:val="auto"/>
              </w:rPr>
              <w:t>Three months ended June 30,</w:t>
            </w:r>
          </w:p>
        </w:tc>
        <w:tc>
          <w:tcPr>
            <w:tcW w:w="17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tcPr>
          <w:p>
            <w:pPr>
              <w:jc w:val="right"/>
              <w:ind w:right="1375"/>
              <w:spacing w:after="0"/>
              <w:rPr>
                <w:sz w:val="20"/>
                <w:szCs w:val="20"/>
                <w:color w:val="auto"/>
              </w:rPr>
            </w:pPr>
            <w:r>
              <w:rPr>
                <w:rFonts w:ascii="Arial" w:cs="Arial" w:eastAsia="Arial" w:hAnsi="Arial"/>
                <w:sz w:val="13"/>
                <w:szCs w:val="13"/>
                <w:color w:val="auto"/>
              </w:rPr>
              <w:t>Six months ended June 30,</w:t>
            </w:r>
          </w:p>
        </w:tc>
      </w:tr>
      <w:tr>
        <w:trPr>
          <w:trHeight w:val="199"/>
        </w:trPr>
        <w:tc>
          <w:tcPr>
            <w:tcW w:w="27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3"/>
                <w:szCs w:val="13"/>
                <w:color w:val="auto"/>
              </w:rPr>
              <w:t>2010</w:t>
            </w:r>
          </w:p>
        </w:tc>
        <w:tc>
          <w:tcPr>
            <w:tcW w:w="3760" w:type="dxa"/>
            <w:vAlign w:val="bottom"/>
            <w:tcBorders>
              <w:bottom w:val="single" w:sz="8" w:color="auto"/>
            </w:tcBorders>
          </w:tcPr>
          <w:p>
            <w:pPr>
              <w:jc w:val="right"/>
              <w:ind w:right="1335"/>
              <w:spacing w:after="0"/>
              <w:rPr>
                <w:sz w:val="20"/>
                <w:szCs w:val="20"/>
                <w:color w:val="auto"/>
              </w:rPr>
            </w:pPr>
            <w:r>
              <w:rPr>
                <w:rFonts w:ascii="Arial" w:cs="Arial" w:eastAsia="Arial" w:hAnsi="Arial"/>
                <w:sz w:val="13"/>
                <w:szCs w:val="13"/>
                <w:color w:val="auto"/>
              </w:rPr>
              <w:t>2009</w:t>
            </w:r>
          </w:p>
        </w:tc>
        <w:tc>
          <w:tcPr>
            <w:tcW w:w="17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2010</w:t>
            </w:r>
          </w:p>
        </w:tc>
        <w:tc>
          <w:tcPr>
            <w:tcW w:w="3120" w:type="dxa"/>
            <w:vAlign w:val="bottom"/>
            <w:tcBorders>
              <w:bottom w:val="single" w:sz="8" w:color="auto"/>
            </w:tcBorders>
          </w:tcPr>
          <w:p>
            <w:pPr>
              <w:jc w:val="right"/>
              <w:ind w:right="935"/>
              <w:spacing w:after="0"/>
              <w:rPr>
                <w:sz w:val="20"/>
                <w:szCs w:val="20"/>
                <w:color w:val="auto"/>
              </w:rPr>
            </w:pPr>
            <w:r>
              <w:rPr>
                <w:rFonts w:ascii="Arial" w:cs="Arial" w:eastAsia="Arial" w:hAnsi="Arial"/>
                <w:sz w:val="13"/>
                <w:szCs w:val="13"/>
                <w:color w:val="auto"/>
              </w:rPr>
              <w:t>2009</w:t>
            </w:r>
          </w:p>
        </w:tc>
      </w:tr>
    </w:tbl>
    <w:p>
      <w:pPr>
        <w:sectPr>
          <w:pgSz w:w="11900" w:h="16838" w:orient="portrait"/>
          <w:cols w:equalWidth="0" w:num="1">
            <w:col w:w="11440"/>
          </w:cols>
          <w:pgMar w:left="240" w:top="131" w:right="219" w:bottom="0" w:gutter="0" w:footer="0" w:header="0"/>
        </w:sectPr>
      </w:pPr>
    </w:p>
    <w:bookmarkStart w:id="38" w:name="page39"/>
    <w:bookmarkEnd w:id="38"/>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REVENUES</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60" w:type="dxa"/>
            <w:vAlign w:val="bottom"/>
          </w:tcPr>
          <w:p>
            <w:pPr>
              <w:ind w:left="180"/>
              <w:spacing w:after="0"/>
              <w:rPr>
                <w:sz w:val="20"/>
                <w:szCs w:val="20"/>
                <w:color w:val="auto"/>
              </w:rPr>
            </w:pPr>
            <w:r>
              <w:rPr>
                <w:rFonts w:ascii="Arial" w:cs="Arial" w:eastAsia="Arial" w:hAnsi="Arial"/>
                <w:sz w:val="15"/>
                <w:szCs w:val="15"/>
                <w:color w:val="auto"/>
              </w:rPr>
              <w:t>SDG&amp;E</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692</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34</w:t>
            </w:r>
          </w:p>
        </w:tc>
        <w:tc>
          <w:tcPr>
            <w:tcW w:w="3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Pr>
          <w:p>
            <w:pPr>
              <w:ind w:left="80"/>
              <w:spacing w:after="0"/>
              <w:rPr>
                <w:sz w:val="20"/>
                <w:szCs w:val="20"/>
                <w:color w:val="auto"/>
              </w:rPr>
            </w:pPr>
            <w:r>
              <w:rPr>
                <w:rFonts w:ascii="Arial" w:cs="Arial" w:eastAsia="Arial" w:hAnsi="Arial"/>
                <w:sz w:val="15"/>
                <w:szCs w:val="15"/>
                <w:color w:val="auto"/>
              </w:rPr>
              <w:t>$</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631</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37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1,434</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32</w:t>
            </w: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w:t>
            </w: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1,363</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36</w:t>
            </w:r>
          </w:p>
        </w:tc>
        <w:tc>
          <w:tcPr>
            <w:tcW w:w="540" w:type="dxa"/>
            <w:vAlign w:val="bottom"/>
          </w:tcPr>
          <w:p>
            <w:pPr>
              <w:jc w:val="center"/>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SoCalGas</w:t>
            </w:r>
          </w:p>
        </w:tc>
        <w:tc>
          <w:tcPr>
            <w:tcW w:w="36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834</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42</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694</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2,016</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44</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1,614</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42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Commodities</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26</w:t>
            </w:r>
          </w:p>
        </w:tc>
        <w:tc>
          <w:tcPr>
            <w:tcW w:w="50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13</w:t>
            </w:r>
          </w:p>
        </w:tc>
        <w:tc>
          <w:tcPr>
            <w:tcW w:w="560" w:type="dxa"/>
            <w:vAlign w:val="bottom"/>
          </w:tcPr>
          <w:p>
            <w:pPr>
              <w:jc w:val="right"/>
              <w:ind w:right="87"/>
              <w:spacing w:after="0" w:line="171"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49</w:t>
            </w:r>
          </w:p>
        </w:tc>
        <w:tc>
          <w:tcPr>
            <w:tcW w:w="4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26</w:t>
            </w:r>
          </w:p>
        </w:tc>
        <w:tc>
          <w:tcPr>
            <w:tcW w:w="620" w:type="dxa"/>
            <w:vAlign w:val="bottom"/>
          </w:tcPr>
          <w:p>
            <w:pPr>
              <w:jc w:val="right"/>
              <w:ind w:right="64"/>
              <w:spacing w:after="0" w:line="171" w:lineRule="exact"/>
              <w:rPr>
                <w:sz w:val="20"/>
                <w:szCs w:val="20"/>
                <w:color w:val="auto"/>
              </w:rPr>
            </w:pPr>
            <w:r>
              <w:rPr>
                <w:rFonts w:ascii="Arial" w:cs="Arial" w:eastAsia="Arial" w:hAnsi="Arial"/>
                <w:sz w:val="15"/>
                <w:szCs w:val="15"/>
                <w:color w:val="auto"/>
              </w:rPr>
              <w:t>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Generation</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242</w:t>
            </w:r>
          </w:p>
        </w:tc>
        <w:tc>
          <w:tcPr>
            <w:tcW w:w="50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12</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245</w:t>
            </w:r>
          </w:p>
        </w:tc>
        <w:tc>
          <w:tcPr>
            <w:tcW w:w="560" w:type="dxa"/>
            <w:vAlign w:val="bottom"/>
          </w:tcPr>
          <w:p>
            <w:pPr>
              <w:jc w:val="right"/>
              <w:ind w:right="87"/>
              <w:spacing w:after="0" w:line="171" w:lineRule="exact"/>
              <w:rPr>
                <w:sz w:val="20"/>
                <w:szCs w:val="20"/>
                <w:color w:val="auto"/>
              </w:rPr>
            </w:pPr>
            <w:r>
              <w:rPr>
                <w:rFonts w:ascii="Arial" w:cs="Arial" w:eastAsia="Arial" w:hAnsi="Arial"/>
                <w:sz w:val="15"/>
                <w:szCs w:val="15"/>
                <w:color w:val="auto"/>
              </w:rPr>
              <w:t>15</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537</w:t>
            </w:r>
          </w:p>
        </w:tc>
        <w:tc>
          <w:tcPr>
            <w:tcW w:w="4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12</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542</w:t>
            </w:r>
          </w:p>
        </w:tc>
        <w:tc>
          <w:tcPr>
            <w:tcW w:w="620" w:type="dxa"/>
            <w:vAlign w:val="bottom"/>
          </w:tcPr>
          <w:p>
            <w:pPr>
              <w:jc w:val="right"/>
              <w:ind w:right="64"/>
              <w:spacing w:after="0" w:line="171" w:lineRule="exact"/>
              <w:rPr>
                <w:sz w:val="20"/>
                <w:szCs w:val="20"/>
                <w:color w:val="auto"/>
              </w:rPr>
            </w:pPr>
            <w:r>
              <w:rPr>
                <w:rFonts w:ascii="Arial" w:cs="Arial" w:eastAsia="Arial" w:hAnsi="Arial"/>
                <w:sz w:val="15"/>
                <w:szCs w:val="15"/>
                <w:color w:val="auto"/>
              </w:rPr>
              <w:t>14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Pipelines &amp;</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jc w:val="right"/>
              <w:ind w:right="47"/>
              <w:spacing w:after="0" w:line="171" w:lineRule="exact"/>
              <w:rPr>
                <w:sz w:val="20"/>
                <w:szCs w:val="20"/>
                <w:color w:val="auto"/>
              </w:rPr>
            </w:pPr>
            <w:r>
              <w:rPr>
                <w:rFonts w:ascii="Arial" w:cs="Arial" w:eastAsia="Arial" w:hAnsi="Arial"/>
                <w:sz w:val="15"/>
                <w:szCs w:val="15"/>
                <w:color w:val="auto"/>
              </w:rPr>
              <w:t>&amp;nbs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Storage</w:t>
            </w:r>
          </w:p>
        </w:tc>
        <w:tc>
          <w:tcPr>
            <w:tcW w:w="36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75</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98</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p;6</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185</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4</w:t>
            </w:r>
          </w:p>
        </w:tc>
        <w:tc>
          <w:tcPr>
            <w:tcW w:w="600" w:type="dxa"/>
            <w:vAlign w:val="bottom"/>
            <w:vMerge w:val="restart"/>
          </w:tcPr>
          <w:p>
            <w:pPr>
              <w:jc w:val="center"/>
              <w:spacing w:after="0"/>
              <w:rPr>
                <w:sz w:val="20"/>
                <w:szCs w:val="20"/>
                <w:color w:val="auto"/>
              </w:rPr>
            </w:pPr>
            <w:r>
              <w:rPr>
                <w:rFonts w:ascii="Arial" w:cs="Arial" w:eastAsia="Arial" w:hAnsi="Arial"/>
                <w:sz w:val="19"/>
                <w:szCs w:val="19"/>
                <w:color w:val="auto"/>
                <w:w w:val="96"/>
              </w:rPr>
              <w:t>&amp;nbs</w:t>
            </w:r>
          </w:p>
        </w:tc>
        <w:tc>
          <w:tcPr>
            <w:tcW w:w="4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230</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180"/>
              <w:spacing w:after="0"/>
              <w:rPr>
                <w:sz w:val="20"/>
                <w:szCs w:val="20"/>
                <w:color w:val="auto"/>
              </w:rPr>
            </w:pPr>
            <w:r>
              <w:rPr>
                <w:rFonts w:ascii="Arial" w:cs="Arial" w:eastAsia="Arial" w:hAnsi="Arial"/>
                <w:sz w:val="15"/>
                <w:szCs w:val="15"/>
                <w:color w:val="auto"/>
              </w:rPr>
              <w:t>Sempra LNG</w:t>
            </w:r>
          </w:p>
        </w:tc>
        <w:tc>
          <w:tcPr>
            <w:tcW w:w="360" w:type="dxa"/>
            <w:vAlign w:val="bottom"/>
          </w:tcPr>
          <w:p>
            <w:pPr>
              <w:spacing w:after="0"/>
              <w:rPr>
                <w:sz w:val="20"/>
                <w:szCs w:val="20"/>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166</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8</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64"/>
              <w:spacing w:after="0"/>
              <w:rPr>
                <w:sz w:val="20"/>
                <w:szCs w:val="20"/>
                <w:color w:val="auto"/>
              </w:rPr>
            </w:pPr>
            <w:r>
              <w:rPr>
                <w:rFonts w:ascii="Arial" w:cs="Arial" w:eastAsia="Arial" w:hAnsi="Arial"/>
                <w:sz w:val="19"/>
                <w:szCs w:val="19"/>
                <w:color w:val="auto"/>
              </w:rPr>
              <w:t>25</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371</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8</w:t>
            </w:r>
          </w:p>
        </w:tc>
        <w:tc>
          <w:tcPr>
            <w:tcW w:w="600" w:type="dxa"/>
            <w:vAlign w:val="bottom"/>
          </w:tcPr>
          <w:p>
            <w:pPr>
              <w:jc w:val="center"/>
              <w:spacing w:after="0"/>
              <w:rPr>
                <w:sz w:val="20"/>
                <w:szCs w:val="20"/>
                <w:color w:val="auto"/>
              </w:rPr>
            </w:pPr>
            <w:r>
              <w:rPr>
                <w:rFonts w:ascii="Arial" w:cs="Arial" w:eastAsia="Arial" w:hAnsi="Arial"/>
                <w:sz w:val="19"/>
                <w:szCs w:val="19"/>
                <w:color w:val="auto"/>
              </w:rPr>
              <w:t>p;</w:t>
            </w:r>
          </w:p>
        </w:tc>
        <w:tc>
          <w:tcPr>
            <w:tcW w:w="440" w:type="dxa"/>
            <w:vAlign w:val="bottom"/>
          </w:tcPr>
          <w:p>
            <w:pPr>
              <w:spacing w:after="0"/>
              <w:rPr>
                <w:sz w:val="20"/>
                <w:szCs w:val="20"/>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57</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2</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Adjustments</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and eliminations</w:t>
            </w:r>
          </w:p>
        </w:tc>
        <w:tc>
          <w:tcPr>
            <w:tcW w:w="360" w:type="dxa"/>
            <w:vAlign w:val="bottom"/>
          </w:tcPr>
          <w:p>
            <w:pPr>
              <w:spacing w:after="0"/>
              <w:rPr>
                <w:sz w:val="14"/>
                <w:szCs w:val="14"/>
                <w:color w:val="auto"/>
              </w:rPr>
            </w:pPr>
          </w:p>
        </w:tc>
        <w:tc>
          <w:tcPr>
            <w:tcW w:w="620" w:type="dxa"/>
            <w:vAlign w:val="bottom"/>
          </w:tcPr>
          <w:p>
            <w:pPr>
              <w:jc w:val="right"/>
              <w:ind w:right="47"/>
              <w:spacing w:after="0" w:line="171" w:lineRule="exact"/>
              <w:rPr>
                <w:sz w:val="20"/>
                <w:szCs w:val="20"/>
                <w:color w:val="auto"/>
              </w:rPr>
            </w:pPr>
            <w:r>
              <w:rPr>
                <w:rFonts w:ascii="Arial" w:cs="Arial" w:eastAsia="Arial" w:hAnsi="Arial"/>
                <w:sz w:val="15"/>
                <w:szCs w:val="15"/>
                <w:color w:val="auto"/>
              </w:rPr>
              <w:t>(2)</w:t>
            </w:r>
          </w:p>
        </w:tc>
        <w:tc>
          <w:tcPr>
            <w:tcW w:w="500" w:type="dxa"/>
            <w:vAlign w:val="bottom"/>
          </w:tcPr>
          <w:p>
            <w:pPr>
              <w:jc w:val="right"/>
              <w:ind w:right="67"/>
              <w:spacing w:after="0" w:line="171"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w:t>
            </w:r>
          </w:p>
        </w:tc>
        <w:tc>
          <w:tcPr>
            <w:tcW w:w="560" w:type="dxa"/>
            <w:vAlign w:val="bottom"/>
          </w:tcPr>
          <w:p>
            <w:pPr>
              <w:jc w:val="right"/>
              <w:ind w:right="87"/>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1</w:t>
            </w:r>
          </w:p>
        </w:tc>
        <w:tc>
          <w:tcPr>
            <w:tcW w:w="4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w:t>
            </w:r>
          </w:p>
        </w:tc>
        <w:tc>
          <w:tcPr>
            <w:tcW w:w="620" w:type="dxa"/>
            <w:vAlign w:val="bottom"/>
          </w:tcPr>
          <w:p>
            <w:pPr>
              <w:jc w:val="right"/>
              <w:ind w:right="64"/>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Intersegment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vMerge w:val="restart"/>
          </w:tcPr>
          <w:p>
            <w:pPr>
              <w:jc w:val="right"/>
              <w:ind w:right="4"/>
              <w:spacing w:after="0"/>
              <w:rPr>
                <w:sz w:val="20"/>
                <w:szCs w:val="20"/>
                <w:color w:val="auto"/>
              </w:rPr>
            </w:pPr>
            <w:r>
              <w:rPr>
                <w:rFonts w:ascii="Arial" w:cs="Arial" w:eastAsia="Arial" w:hAnsi="Arial"/>
                <w:sz w:val="15"/>
                <w:szCs w:val="15"/>
                <w:color w:val="auto"/>
              </w:rPr>
              <w:t>(17)</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5"/>
                <w:szCs w:val="15"/>
                <w:color w:val="auto"/>
              </w:rPr>
              <w:t>(1)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0"/>
              <w:spacing w:after="0" w:line="169" w:lineRule="exact"/>
              <w:rPr>
                <w:sz w:val="20"/>
                <w:szCs w:val="20"/>
                <w:color w:val="auto"/>
              </w:rPr>
            </w:pPr>
            <w:r>
              <w:rPr>
                <w:rFonts w:ascii="Arial" w:cs="Arial" w:eastAsia="Arial" w:hAnsi="Arial"/>
                <w:sz w:val="15"/>
                <w:szCs w:val="15"/>
                <w:color w:val="auto"/>
              </w:rPr>
              <w:t>revenues</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(25)</w:t>
            </w:r>
          </w:p>
        </w:tc>
        <w:tc>
          <w:tcPr>
            <w:tcW w:w="50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rPr>
              <w:t>(51)</w:t>
            </w:r>
          </w:p>
        </w:tc>
        <w:tc>
          <w:tcPr>
            <w:tcW w:w="4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(1)</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(35)</w:t>
            </w:r>
          </w:p>
        </w:tc>
        <w:tc>
          <w:tcPr>
            <w:tcW w:w="6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ind w:left="100"/>
              <w:spacing w:after="0" w:line="212" w:lineRule="exact"/>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2,008</w:t>
            </w: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100</w:t>
            </w:r>
          </w:p>
        </w:tc>
        <w:tc>
          <w:tcPr>
            <w:tcW w:w="3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1,689</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4,542</w:t>
            </w: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3,797</w:t>
            </w: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100</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72"/>
        </w:trPr>
        <w:tc>
          <w:tcPr>
            <w:tcW w:w="1260" w:type="dxa"/>
            <w:vAlign w:val="bottom"/>
          </w:tcPr>
          <w:p>
            <w:pPr>
              <w:ind w:left="100"/>
              <w:spacing w:after="0"/>
              <w:rPr>
                <w:sz w:val="20"/>
                <w:szCs w:val="20"/>
                <w:color w:val="auto"/>
              </w:rPr>
            </w:pPr>
            <w:r>
              <w:rPr>
                <w:rFonts w:ascii="Arial" w:cs="Arial" w:eastAsia="Arial" w:hAnsi="Arial"/>
                <w:sz w:val="15"/>
                <w:szCs w:val="15"/>
                <w:color w:val="auto"/>
              </w:rPr>
              <w:t>INTEREST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EXPENSE</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80"/>
              <w:spacing w:after="0"/>
              <w:rPr>
                <w:sz w:val="20"/>
                <w:szCs w:val="20"/>
                <w:color w:val="auto"/>
              </w:rPr>
            </w:pPr>
            <w:r>
              <w:rPr>
                <w:rFonts w:ascii="Arial" w:cs="Arial" w:eastAsia="Arial" w:hAnsi="Arial"/>
                <w:sz w:val="15"/>
                <w:szCs w:val="15"/>
                <w:color w:val="auto"/>
              </w:rPr>
              <w:t>SDG&amp;E</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31</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5"/>
                <w:szCs w:val="15"/>
                <w:color w:val="auto"/>
              </w:rPr>
              <w:t>$</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21</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62</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46</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SoCalGas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5"/>
                <w:szCs w:val="15"/>
                <w:color w:val="auto"/>
              </w:rPr>
              <w:t>18</w:t>
            </w: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33</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5"/>
                <w:szCs w:val="15"/>
                <w:color w:val="auto"/>
              </w:rPr>
              <w:t>35</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Commodities</w:t>
            </w:r>
          </w:p>
        </w:tc>
        <w:tc>
          <w:tcPr>
            <w:tcW w:w="36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6</w:t>
            </w:r>
          </w:p>
        </w:tc>
        <w:tc>
          <w:tcPr>
            <w:tcW w:w="620" w:type="dxa"/>
            <w:vAlign w:val="bottom"/>
            <w:vMerge w:val="restart"/>
          </w:tcPr>
          <w:p>
            <w:pPr>
              <w:jc w:val="right"/>
              <w:ind w:right="24"/>
              <w:spacing w:after="0"/>
              <w:rPr>
                <w:sz w:val="20"/>
                <w:szCs w:val="20"/>
                <w:color w:val="auto"/>
              </w:rPr>
            </w:pPr>
            <w:r>
              <w:rPr>
                <w:rFonts w:ascii="Arial" w:cs="Arial" w:eastAsia="Arial" w:hAnsi="Arial"/>
                <w:sz w:val="19"/>
                <w:szCs w:val="19"/>
                <w:color w:val="auto"/>
              </w:rPr>
              <w:t>&amp;nbs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60" w:type="dxa"/>
            <w:vAlign w:val="bottom"/>
            <w:vMerge w:val="restart"/>
          </w:tcPr>
          <w:p>
            <w:pPr>
              <w:ind w:left="180"/>
              <w:spacing w:after="0"/>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12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restart"/>
          </w:tcPr>
          <w:p>
            <w:pPr>
              <w:jc w:val="right"/>
              <w:ind w:right="284"/>
              <w:spacing w:after="0"/>
              <w:rPr>
                <w:sz w:val="20"/>
                <w:szCs w:val="20"/>
                <w:color w:val="auto"/>
              </w:rPr>
            </w:pPr>
            <w:r>
              <w:rPr>
                <w:rFonts w:ascii="Arial" w:cs="Arial" w:eastAsia="Arial" w:hAnsi="Arial"/>
                <w:sz w:val="19"/>
                <w:szCs w:val="19"/>
                <w:color w:val="auto"/>
              </w:rPr>
              <w:t>p;</w:t>
            </w: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Generation</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3</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4</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7</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8</w:t>
            </w: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Pipelines &amp;</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Storage</w:t>
            </w:r>
          </w:p>
        </w:tc>
        <w:tc>
          <w:tcPr>
            <w:tcW w:w="36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14</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80"/>
              <w:spacing w:after="0"/>
              <w:rPr>
                <w:sz w:val="20"/>
                <w:szCs w:val="20"/>
                <w:color w:val="auto"/>
              </w:rPr>
            </w:pPr>
            <w:r>
              <w:rPr>
                <w:rFonts w:ascii="Arial" w:cs="Arial" w:eastAsia="Arial" w:hAnsi="Arial"/>
                <w:sz w:val="15"/>
                <w:szCs w:val="15"/>
                <w:color w:val="auto"/>
              </w:rPr>
              <w:t>Sempra LNG</w:t>
            </w:r>
          </w:p>
        </w:tc>
        <w:tc>
          <w:tcPr>
            <w:tcW w:w="360" w:type="dxa"/>
            <w:vAlign w:val="bottom"/>
          </w:tcPr>
          <w:p>
            <w:pPr>
              <w:spacing w:after="0"/>
              <w:rPr>
                <w:sz w:val="19"/>
                <w:szCs w:val="19"/>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&amp;</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24</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4</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180"/>
              <w:spacing w:after="0"/>
              <w:rPr>
                <w:sz w:val="20"/>
                <w:szCs w:val="20"/>
                <w:color w:val="auto"/>
              </w:rPr>
            </w:pPr>
            <w:r>
              <w:rPr>
                <w:rFonts w:ascii="Arial" w:cs="Arial" w:eastAsia="Arial" w:hAnsi="Arial"/>
                <w:sz w:val="15"/>
                <w:szCs w:val="15"/>
                <w:color w:val="auto"/>
              </w:rPr>
              <w:t>All other</w:t>
            </w:r>
          </w:p>
        </w:tc>
        <w:tc>
          <w:tcPr>
            <w:tcW w:w="360" w:type="dxa"/>
            <w:vAlign w:val="bottom"/>
          </w:tcPr>
          <w:p>
            <w:pPr>
              <w:spacing w:after="0"/>
              <w:rPr>
                <w:sz w:val="20"/>
                <w:szCs w:val="20"/>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79</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19"/>
                <w:szCs w:val="19"/>
                <w:color w:val="auto"/>
              </w:rPr>
              <w:t>nbsp;</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61</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166</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120</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Intercompany</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0"/>
              <w:spacing w:after="0" w:line="169" w:lineRule="exact"/>
              <w:rPr>
                <w:sz w:val="20"/>
                <w:szCs w:val="20"/>
                <w:color w:val="auto"/>
              </w:rPr>
            </w:pPr>
            <w:r>
              <w:rPr>
                <w:rFonts w:ascii="Arial" w:cs="Arial" w:eastAsia="Arial" w:hAnsi="Arial"/>
                <w:sz w:val="15"/>
                <w:szCs w:val="15"/>
                <w:color w:val="auto"/>
              </w:rPr>
              <w:t>eliminations</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(44)</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(37)</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rPr>
              <w:t>(96)</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(72)</w:t>
            </w: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5"/>
                <w:szCs w:val="15"/>
                <w:color w:val="auto"/>
              </w:rPr>
              <w:t>212</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jc w:val="center"/>
              <w:spacing w:after="0" w:line="193" w:lineRule="exact"/>
              <w:rPr>
                <w:sz w:val="20"/>
                <w:szCs w:val="20"/>
                <w:color w:val="auto"/>
              </w:rPr>
            </w:pPr>
            <w:r>
              <w:rPr>
                <w:rFonts w:ascii="Arial" w:cs="Arial" w:eastAsia="Arial" w:hAnsi="Arial"/>
                <w:sz w:val="19"/>
                <w:szCs w:val="19"/>
                <w:color w:val="auto"/>
              </w:rPr>
              <w:t>&amp;nb</w:t>
            </w:r>
          </w:p>
        </w:tc>
        <w:tc>
          <w:tcPr>
            <w:tcW w:w="0" w:type="dxa"/>
            <w:vAlign w:val="bottom"/>
          </w:tcPr>
          <w:p>
            <w:pPr>
              <w:spacing w:after="0"/>
              <w:rPr>
                <w:sz w:val="1"/>
                <w:szCs w:val="1"/>
                <w:color w:val="auto"/>
              </w:rPr>
            </w:pPr>
          </w:p>
        </w:tc>
      </w:tr>
      <w:tr>
        <w:trPr>
          <w:trHeight w:val="112"/>
        </w:trPr>
        <w:tc>
          <w:tcPr>
            <w:tcW w:w="1260" w:type="dxa"/>
            <w:vAlign w:val="bottom"/>
            <w:vMerge w:val="restart"/>
          </w:tcPr>
          <w:p>
            <w:pPr>
              <w:ind w:left="340"/>
              <w:spacing w:after="0"/>
              <w:rPr>
                <w:sz w:val="20"/>
                <w:szCs w:val="20"/>
                <w:color w:val="auto"/>
              </w:rPr>
            </w:pPr>
            <w:r>
              <w:rPr>
                <w:rFonts w:ascii="Arial" w:cs="Arial" w:eastAsia="Arial" w:hAnsi="Arial"/>
                <w:sz w:val="15"/>
                <w:szCs w:val="15"/>
                <w:color w:val="auto"/>
              </w:rPr>
              <w:t>Total</w:t>
            </w:r>
          </w:p>
        </w:tc>
        <w:tc>
          <w:tcPr>
            <w:tcW w:w="3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jc w:val="right"/>
              <w:ind w:right="87"/>
              <w:spacing w:after="0"/>
              <w:rPr>
                <w:sz w:val="20"/>
                <w:szCs w:val="20"/>
                <w:color w:val="auto"/>
              </w:rPr>
            </w:pPr>
            <w:r>
              <w:rPr>
                <w:rFonts w:ascii="Arial" w:cs="Arial" w:eastAsia="Arial" w:hAnsi="Arial"/>
                <w:sz w:val="15"/>
                <w:szCs w:val="15"/>
                <w:color w:val="auto"/>
              </w:rPr>
              <w:t>103</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2480" w:type="dxa"/>
            <w:vAlign w:val="bottom"/>
            <w:vMerge w:val="restart"/>
          </w:tcPr>
          <w:p>
            <w:pPr>
              <w:jc w:val="right"/>
              <w:ind w:right="44"/>
              <w:spacing w:after="0"/>
              <w:rPr>
                <w:sz w:val="20"/>
                <w:szCs w:val="20"/>
                <w:color w:val="auto"/>
              </w:rPr>
            </w:pPr>
            <w:r>
              <w:rPr>
                <w:rFonts w:ascii="Arial" w:cs="Arial" w:eastAsia="Arial" w:hAnsi="Arial"/>
                <w:sz w:val="15"/>
                <w:szCs w:val="15"/>
                <w:color w:val="auto"/>
              </w:rPr>
              <w:t>79</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vMerge w:val="restart"/>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restart"/>
          </w:tcPr>
          <w:p>
            <w:pPr>
              <w:ind w:left="100"/>
              <w:spacing w:after="0"/>
              <w:rPr>
                <w:sz w:val="20"/>
                <w:szCs w:val="20"/>
                <w:color w:val="auto"/>
              </w:rPr>
            </w:pPr>
            <w:r>
              <w:rPr>
                <w:rFonts w:ascii="Arial" w:cs="Arial" w:eastAsia="Arial" w:hAnsi="Arial"/>
                <w:sz w:val="19"/>
                <w:szCs w:val="19"/>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5"/>
                <w:szCs w:val="15"/>
                <w:color w:val="auto"/>
              </w:rPr>
              <w:t>161</w:t>
            </w:r>
          </w:p>
        </w:tc>
        <w:tc>
          <w:tcPr>
            <w:tcW w:w="620" w:type="dxa"/>
            <w:vAlign w:val="bottom"/>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Arial" w:cs="Arial" w:eastAsia="Arial" w:hAnsi="Arial"/>
                <w:sz w:val="19"/>
                <w:szCs w:val="19"/>
                <w:color w:val="auto"/>
                <w:w w:val="94"/>
              </w:rPr>
              <w:t>sp;</w:t>
            </w:r>
          </w:p>
        </w:tc>
        <w:tc>
          <w:tcPr>
            <w:tcW w:w="0" w:type="dxa"/>
            <w:vAlign w:val="bottom"/>
          </w:tcPr>
          <w:p>
            <w:pPr>
              <w:spacing w:after="0"/>
              <w:rPr>
                <w:sz w:val="1"/>
                <w:szCs w:val="1"/>
                <w:color w:val="auto"/>
              </w:rPr>
            </w:pPr>
          </w:p>
        </w:tc>
      </w:tr>
      <w:tr>
        <w:trPr>
          <w:trHeight w:val="143"/>
        </w:trPr>
        <w:tc>
          <w:tcPr>
            <w:tcW w:w="126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Pr>
          <w:p>
            <w:pPr>
              <w:ind w:left="100"/>
              <w:spacing w:after="0"/>
              <w:rPr>
                <w:sz w:val="20"/>
                <w:szCs w:val="20"/>
                <w:color w:val="auto"/>
              </w:rPr>
            </w:pPr>
            <w:r>
              <w:rPr>
                <w:rFonts w:ascii="Arial" w:cs="Arial" w:eastAsia="Arial" w:hAnsi="Arial"/>
                <w:sz w:val="15"/>
                <w:szCs w:val="15"/>
                <w:color w:val="auto"/>
              </w:rPr>
              <w:t>INTEREST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INCOME</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SoCalGas</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ind w:left="80"/>
              <w:spacing w:after="0"/>
              <w:rPr>
                <w:sz w:val="20"/>
                <w:szCs w:val="20"/>
                <w:color w:val="auto"/>
              </w:rPr>
            </w:pPr>
            <w:r>
              <w:rPr>
                <w:rFonts w:ascii="Arial" w:cs="Arial" w:eastAsia="Arial" w:hAnsi="Arial"/>
                <w:sz w:val="15"/>
                <w:szCs w:val="15"/>
                <w:color w:val="auto"/>
              </w:rPr>
              <w:t>$</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Generation</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3</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3</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5</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6</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Pipelines &amp;</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5"/>
                <w:szCs w:val="15"/>
                <w:color w:val="auto"/>
              </w:rPr>
              <w:t>8</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Storage</w:t>
            </w:r>
          </w:p>
        </w:tc>
        <w:tc>
          <w:tcPr>
            <w:tcW w:w="36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4</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8</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180"/>
              <w:spacing w:after="0"/>
              <w:rPr>
                <w:sz w:val="20"/>
                <w:szCs w:val="20"/>
                <w:color w:val="auto"/>
              </w:rPr>
            </w:pPr>
            <w:r>
              <w:rPr>
                <w:rFonts w:ascii="Arial" w:cs="Arial" w:eastAsia="Arial" w:hAnsi="Arial"/>
                <w:sz w:val="15"/>
                <w:szCs w:val="15"/>
                <w:color w:val="auto"/>
              </w:rPr>
              <w:t>All other</w:t>
            </w:r>
          </w:p>
        </w:tc>
        <w:tc>
          <w:tcPr>
            <w:tcW w:w="360" w:type="dxa"/>
            <w:vAlign w:val="bottom"/>
          </w:tcPr>
          <w:p>
            <w:pPr>
              <w:spacing w:after="0"/>
              <w:rPr>
                <w:sz w:val="17"/>
                <w:szCs w:val="17"/>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41</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34</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91</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67</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60" w:type="dxa"/>
            <w:vAlign w:val="bottom"/>
          </w:tcPr>
          <w:p>
            <w:pPr>
              <w:ind w:left="160"/>
              <w:spacing w:after="0"/>
              <w:rPr>
                <w:sz w:val="20"/>
                <w:szCs w:val="20"/>
                <w:color w:val="auto"/>
              </w:rPr>
            </w:pPr>
            <w:r>
              <w:rPr>
                <w:rFonts w:ascii="Arial" w:cs="Arial" w:eastAsia="Arial" w:hAnsi="Arial"/>
                <w:sz w:val="15"/>
                <w:szCs w:val="15"/>
                <w:color w:val="auto"/>
              </w:rPr>
              <w:t>Intercompany</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60" w:type="dxa"/>
            <w:vAlign w:val="bottom"/>
          </w:tcPr>
          <w:p>
            <w:pPr>
              <w:ind w:left="100"/>
              <w:spacing w:after="0"/>
              <w:rPr>
                <w:sz w:val="20"/>
                <w:szCs w:val="20"/>
                <w:color w:val="auto"/>
              </w:rPr>
            </w:pPr>
            <w:r>
              <w:rPr>
                <w:rFonts w:ascii="Arial" w:cs="Arial" w:eastAsia="Arial" w:hAnsi="Arial"/>
                <w:sz w:val="15"/>
                <w:szCs w:val="15"/>
                <w:color w:val="auto"/>
              </w:rPr>
              <w:t>eliminations</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(44)</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(96)</w:t>
            </w:r>
          </w:p>
        </w:tc>
        <w:tc>
          <w:tcPr>
            <w:tcW w:w="4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(72)</w:t>
            </w:r>
          </w:p>
        </w:tc>
        <w:tc>
          <w:tcPr>
            <w:tcW w:w="6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4</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w:t>
            </w: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ind w:left="100"/>
              <w:spacing w:after="0"/>
              <w:rPr>
                <w:sz w:val="20"/>
                <w:szCs w:val="20"/>
                <w:color w:val="auto"/>
              </w:rPr>
            </w:pPr>
            <w:r>
              <w:rPr>
                <w:rFonts w:ascii="Arial" w:cs="Arial" w:eastAsia="Arial" w:hAnsi="Arial"/>
                <w:sz w:val="15"/>
                <w:szCs w:val="15"/>
                <w:color w:val="auto"/>
              </w:rPr>
              <w:t>DEPRECIATION AND</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AMORTIZATION</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60" w:type="dxa"/>
            <w:vAlign w:val="bottom"/>
          </w:tcPr>
          <w:p>
            <w:pPr>
              <w:ind w:left="180"/>
              <w:spacing w:after="0"/>
              <w:rPr>
                <w:sz w:val="20"/>
                <w:szCs w:val="20"/>
                <w:color w:val="auto"/>
              </w:rPr>
            </w:pPr>
            <w:r>
              <w:rPr>
                <w:rFonts w:ascii="Arial" w:cs="Arial" w:eastAsia="Arial" w:hAnsi="Arial"/>
                <w:sz w:val="15"/>
                <w:szCs w:val="15"/>
                <w:color w:val="auto"/>
              </w:rPr>
              <w:t>SDG&amp;E</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95</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44</w:t>
            </w:r>
          </w:p>
        </w:tc>
        <w:tc>
          <w:tcPr>
            <w:tcW w:w="3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Pr>
          <w:p>
            <w:pPr>
              <w:ind w:left="80"/>
              <w:spacing w:after="0"/>
              <w:rPr>
                <w:sz w:val="20"/>
                <w:szCs w:val="20"/>
                <w:color w:val="auto"/>
              </w:rPr>
            </w:pPr>
            <w:r>
              <w:rPr>
                <w:rFonts w:ascii="Arial" w:cs="Arial" w:eastAsia="Arial" w:hAnsi="Arial"/>
                <w:sz w:val="15"/>
                <w:szCs w:val="15"/>
                <w:color w:val="auto"/>
              </w:rPr>
              <w:t>$</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81</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43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187</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44</w:t>
            </w: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w:t>
            </w: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158</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42</w:t>
            </w:r>
          </w:p>
        </w:tc>
        <w:tc>
          <w:tcPr>
            <w:tcW w:w="540" w:type="dxa"/>
            <w:vAlign w:val="bottom"/>
          </w:tcPr>
          <w:p>
            <w:pPr>
              <w:jc w:val="center"/>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SoCalGas</w:t>
            </w:r>
          </w:p>
        </w:tc>
        <w:tc>
          <w:tcPr>
            <w:tcW w:w="36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77</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36</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75</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39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152</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36</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147</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Generation</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16</w:t>
            </w:r>
          </w:p>
        </w:tc>
        <w:tc>
          <w:tcPr>
            <w:tcW w:w="500" w:type="dxa"/>
            <w:vAlign w:val="bottom"/>
          </w:tcPr>
          <w:p>
            <w:pPr>
              <w:jc w:val="right"/>
              <w:ind w:right="67"/>
              <w:spacing w:after="0" w:line="171" w:lineRule="exact"/>
              <w:rPr>
                <w:sz w:val="20"/>
                <w:szCs w:val="20"/>
                <w:color w:val="auto"/>
              </w:rPr>
            </w:pPr>
            <w:r>
              <w:rPr>
                <w:rFonts w:ascii="Arial" w:cs="Arial" w:eastAsia="Arial" w:hAnsi="Arial"/>
                <w:sz w:val="15"/>
                <w:szCs w:val="15"/>
                <w:color w:val="auto"/>
              </w:rPr>
              <w:t>7</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15</w:t>
            </w:r>
          </w:p>
        </w:tc>
        <w:tc>
          <w:tcPr>
            <w:tcW w:w="560" w:type="dxa"/>
            <w:vAlign w:val="bottom"/>
          </w:tcPr>
          <w:p>
            <w:pPr>
              <w:jc w:val="right"/>
              <w:ind w:right="87"/>
              <w:spacing w:after="0" w:line="171" w:lineRule="exact"/>
              <w:rPr>
                <w:sz w:val="20"/>
                <w:szCs w:val="20"/>
                <w:color w:val="auto"/>
              </w:rPr>
            </w:pPr>
            <w:r>
              <w:rPr>
                <w:rFonts w:ascii="Arial" w:cs="Arial" w:eastAsia="Arial" w:hAnsi="Arial"/>
                <w:sz w:val="15"/>
                <w:szCs w:val="15"/>
                <w:color w:val="auto"/>
              </w:rPr>
              <w:t>8</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06"/>
              <w:spacing w:after="0" w:line="171" w:lineRule="exact"/>
              <w:rPr>
                <w:sz w:val="20"/>
                <w:szCs w:val="20"/>
                <w:color w:val="auto"/>
              </w:rPr>
            </w:pPr>
            <w:r>
              <w:rPr>
                <w:rFonts w:ascii="Arial" w:cs="Arial" w:eastAsia="Arial" w:hAnsi="Arial"/>
                <w:sz w:val="15"/>
                <w:szCs w:val="15"/>
                <w:color w:val="auto"/>
              </w:rPr>
              <w:t>31</w:t>
            </w:r>
          </w:p>
        </w:tc>
        <w:tc>
          <w:tcPr>
            <w:tcW w:w="480" w:type="dxa"/>
            <w:vAlign w:val="bottom"/>
          </w:tcPr>
          <w:p>
            <w:pPr>
              <w:jc w:val="right"/>
              <w:ind w:right="67"/>
              <w:spacing w:after="0" w:line="171" w:lineRule="exact"/>
              <w:rPr>
                <w:sz w:val="20"/>
                <w:szCs w:val="20"/>
                <w:color w:val="auto"/>
              </w:rPr>
            </w:pPr>
            <w:r>
              <w:rPr>
                <w:rFonts w:ascii="Arial" w:cs="Arial" w:eastAsia="Arial" w:hAnsi="Arial"/>
                <w:sz w:val="15"/>
                <w:szCs w:val="15"/>
                <w:color w:val="auto"/>
              </w:rPr>
              <w:t>7</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6"/>
              <w:spacing w:after="0" w:line="171" w:lineRule="exact"/>
              <w:rPr>
                <w:sz w:val="20"/>
                <w:szCs w:val="20"/>
                <w:color w:val="auto"/>
              </w:rPr>
            </w:pPr>
            <w:r>
              <w:rPr>
                <w:rFonts w:ascii="Arial" w:cs="Arial" w:eastAsia="Arial" w:hAnsi="Arial"/>
                <w:sz w:val="15"/>
                <w:szCs w:val="15"/>
                <w:color w:val="auto"/>
              </w:rPr>
              <w:t>29</w:t>
            </w:r>
          </w:p>
        </w:tc>
        <w:tc>
          <w:tcPr>
            <w:tcW w:w="620" w:type="dxa"/>
            <w:vAlign w:val="bottom"/>
          </w:tcPr>
          <w:p>
            <w:pPr>
              <w:jc w:val="right"/>
              <w:ind w:right="64"/>
              <w:spacing w:after="0" w:line="171" w:lineRule="exact"/>
              <w:rPr>
                <w:sz w:val="20"/>
                <w:szCs w:val="20"/>
                <w:color w:val="auto"/>
              </w:rPr>
            </w:pPr>
            <w:r>
              <w:rPr>
                <w:rFonts w:ascii="Arial" w:cs="Arial" w:eastAsia="Arial" w:hAnsi="Arial"/>
                <w:sz w:val="15"/>
                <w:szCs w:val="15"/>
                <w:color w:val="auto"/>
              </w:rPr>
              <w:t>8</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Pipelines &amp;</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60" w:type="dxa"/>
            <w:vAlign w:val="bottom"/>
          </w:tcPr>
          <w:p>
            <w:pPr>
              <w:ind w:left="100"/>
              <w:spacing w:after="0" w:line="150" w:lineRule="exact"/>
              <w:rPr>
                <w:sz w:val="20"/>
                <w:szCs w:val="20"/>
                <w:color w:val="auto"/>
              </w:rPr>
            </w:pPr>
            <w:r>
              <w:rPr>
                <w:rFonts w:ascii="Arial" w:cs="Arial" w:eastAsia="Arial" w:hAnsi="Arial"/>
                <w:sz w:val="15"/>
                <w:szCs w:val="15"/>
                <w:color w:val="auto"/>
              </w:rPr>
              <w:t>Storage</w:t>
            </w:r>
          </w:p>
        </w:tc>
        <w:tc>
          <w:tcPr>
            <w:tcW w:w="360" w:type="dxa"/>
            <w:vAlign w:val="bottom"/>
          </w:tcPr>
          <w:p>
            <w:pPr>
              <w:spacing w:after="0"/>
              <w:rPr>
                <w:sz w:val="13"/>
                <w:szCs w:val="13"/>
                <w:color w:val="auto"/>
              </w:rPr>
            </w:pPr>
          </w:p>
        </w:tc>
        <w:tc>
          <w:tcPr>
            <w:tcW w:w="620" w:type="dxa"/>
            <w:vAlign w:val="bottom"/>
          </w:tcPr>
          <w:p>
            <w:pPr>
              <w:jc w:val="right"/>
              <w:ind w:right="87"/>
              <w:spacing w:after="0" w:line="150" w:lineRule="exact"/>
              <w:rPr>
                <w:sz w:val="20"/>
                <w:szCs w:val="20"/>
                <w:color w:val="auto"/>
              </w:rPr>
            </w:pPr>
            <w:r>
              <w:rPr>
                <w:rFonts w:ascii="Arial" w:cs="Arial" w:eastAsia="Arial" w:hAnsi="Arial"/>
                <w:sz w:val="15"/>
                <w:szCs w:val="15"/>
                <w:color w:val="auto"/>
              </w:rPr>
              <w:t>10</w:t>
            </w:r>
          </w:p>
        </w:tc>
        <w:tc>
          <w:tcPr>
            <w:tcW w:w="500" w:type="dxa"/>
            <w:vAlign w:val="bottom"/>
          </w:tcPr>
          <w:p>
            <w:pPr>
              <w:jc w:val="right"/>
              <w:ind w:right="67"/>
              <w:spacing w:after="0" w:line="150" w:lineRule="exact"/>
              <w:rPr>
                <w:sz w:val="20"/>
                <w:szCs w:val="20"/>
                <w:color w:val="auto"/>
              </w:rPr>
            </w:pPr>
            <w:r>
              <w:rPr>
                <w:rFonts w:ascii="Arial" w:cs="Arial" w:eastAsia="Arial" w:hAnsi="Arial"/>
                <w:sz w:val="15"/>
                <w:szCs w:val="15"/>
                <w:color w:val="auto"/>
              </w:rPr>
              <w:t>5</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80" w:type="dxa"/>
            <w:vAlign w:val="bottom"/>
          </w:tcPr>
          <w:p>
            <w:pPr>
              <w:jc w:val="right"/>
              <w:ind w:right="44"/>
              <w:spacing w:after="0" w:line="150" w:lineRule="exact"/>
              <w:rPr>
                <w:sz w:val="20"/>
                <w:szCs w:val="20"/>
                <w:color w:val="auto"/>
              </w:rPr>
            </w:pPr>
            <w:r>
              <w:rPr>
                <w:rFonts w:ascii="Arial" w:cs="Arial" w:eastAsia="Arial" w:hAnsi="Arial"/>
                <w:sz w:val="15"/>
                <w:szCs w:val="15"/>
                <w:color w:val="auto"/>
              </w:rPr>
              <w:t>9</w:t>
            </w: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21</w:t>
            </w:r>
          </w:p>
        </w:tc>
        <w:tc>
          <w:tcPr>
            <w:tcW w:w="480" w:type="dxa"/>
            <w:vAlign w:val="bottom"/>
          </w:tcPr>
          <w:p>
            <w:pPr>
              <w:jc w:val="right"/>
              <w:ind w:right="67"/>
              <w:spacing w:after="0" w:line="150" w:lineRule="exact"/>
              <w:rPr>
                <w:sz w:val="20"/>
                <w:szCs w:val="20"/>
                <w:color w:val="auto"/>
              </w:rPr>
            </w:pPr>
            <w:r>
              <w:rPr>
                <w:rFonts w:ascii="Arial" w:cs="Arial" w:eastAsia="Arial" w:hAnsi="Arial"/>
                <w:sz w:val="15"/>
                <w:szCs w:val="15"/>
                <w:color w:val="auto"/>
              </w:rPr>
              <w:t>5</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ind w:right="46"/>
              <w:spacing w:after="0" w:line="150" w:lineRule="exact"/>
              <w:rPr>
                <w:sz w:val="20"/>
                <w:szCs w:val="20"/>
                <w:color w:val="auto"/>
              </w:rPr>
            </w:pPr>
            <w:r>
              <w:rPr>
                <w:rFonts w:ascii="Arial" w:cs="Arial" w:eastAsia="Arial" w:hAnsi="Arial"/>
                <w:sz w:val="15"/>
                <w:szCs w:val="15"/>
                <w:color w:val="auto"/>
              </w:rPr>
              <w:t>19</w:t>
            </w:r>
          </w:p>
        </w:tc>
        <w:tc>
          <w:tcPr>
            <w:tcW w:w="620" w:type="dxa"/>
            <w:vAlign w:val="bottom"/>
          </w:tcPr>
          <w:p>
            <w:pPr>
              <w:jc w:val="right"/>
              <w:ind w:right="64"/>
              <w:spacing w:after="0" w:line="150" w:lineRule="exact"/>
              <w:rPr>
                <w:sz w:val="20"/>
                <w:szCs w:val="20"/>
                <w:color w:val="auto"/>
              </w:rPr>
            </w:pPr>
            <w:r>
              <w:rPr>
                <w:rFonts w:ascii="Arial" w:cs="Arial" w:eastAsia="Arial" w:hAnsi="Arial"/>
                <w:sz w:val="15"/>
                <w:szCs w:val="15"/>
                <w:color w:val="auto"/>
              </w:rPr>
              <w:t>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jc w:val="right"/>
              <w:ind w:right="4"/>
              <w:spacing w:after="0"/>
              <w:rPr>
                <w:sz w:val="20"/>
                <w:szCs w:val="20"/>
                <w:color w:val="auto"/>
              </w:rPr>
            </w:pPr>
            <w:r>
              <w:rPr>
                <w:rFonts w:ascii="Arial" w:cs="Arial" w:eastAsia="Arial" w:hAnsi="Arial"/>
                <w:sz w:val="19"/>
                <w:szCs w:val="19"/>
                <w:color w:val="auto"/>
              </w:rPr>
              <w:t>&lt; font style="FONT-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jc w:val="right"/>
              <w:ind w:right="4"/>
              <w:spacing w:after="0"/>
              <w:rPr>
                <w:sz w:val="20"/>
                <w:szCs w:val="20"/>
                <w:color w:val="auto"/>
              </w:rPr>
            </w:pPr>
            <w:r>
              <w:rPr>
                <w:rFonts w:ascii="Arial" w:cs="Arial" w:eastAsia="Arial" w:hAnsi="Arial"/>
                <w:sz w:val="19"/>
                <w:szCs w:val="19"/>
                <w:color w:val="auto"/>
              </w:rPr>
              <w:t>SIZE:9pt; COLOR:black;</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jc w:val="right"/>
              <w:ind w:right="4"/>
              <w:spacing w:after="0"/>
              <w:rPr>
                <w:sz w:val="20"/>
                <w:szCs w:val="20"/>
                <w:color w:val="auto"/>
              </w:rPr>
            </w:pPr>
            <w:r>
              <w:rPr>
                <w:rFonts w:ascii="Arial" w:cs="Arial" w:eastAsia="Arial" w:hAnsi="Arial"/>
                <w:sz w:val="19"/>
                <w:szCs w:val="19"/>
                <w:color w:val="auto"/>
              </w:rPr>
              <w:t>FONT-FAMILY:'Arial','sans-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60" w:type="dxa"/>
            <w:vAlign w:val="bottom"/>
          </w:tcPr>
          <w:p>
            <w:pPr>
              <w:ind w:left="180"/>
              <w:spacing w:after="0"/>
              <w:rPr>
                <w:sz w:val="20"/>
                <w:szCs w:val="20"/>
                <w:color w:val="auto"/>
              </w:rPr>
            </w:pPr>
            <w:r>
              <w:rPr>
                <w:rFonts w:ascii="Arial" w:cs="Arial" w:eastAsia="Arial" w:hAnsi="Arial"/>
                <w:sz w:val="15"/>
                <w:szCs w:val="15"/>
                <w:color w:val="auto"/>
              </w:rPr>
              <w:t>Sempra LNG</w:t>
            </w:r>
          </w:p>
        </w:tc>
        <w:tc>
          <w:tcPr>
            <w:tcW w:w="360" w:type="dxa"/>
            <w:vAlign w:val="bottom"/>
          </w:tcPr>
          <w:p>
            <w:pPr>
              <w:spacing w:after="0"/>
              <w:rPr>
                <w:sz w:val="21"/>
                <w:szCs w:val="21"/>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13</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6</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tcPr>
          <w:p>
            <w:pPr>
              <w:jc w:val="right"/>
              <w:ind w:right="64"/>
              <w:spacing w:after="0"/>
              <w:rPr>
                <w:sz w:val="20"/>
                <w:szCs w:val="20"/>
                <w:color w:val="auto"/>
              </w:rPr>
            </w:pPr>
            <w:r>
              <w:rPr>
                <w:rFonts w:ascii="Arial" w:cs="Arial" w:eastAsia="Arial" w:hAnsi="Arial"/>
                <w:sz w:val="19"/>
                <w:szCs w:val="19"/>
                <w:color w:val="auto"/>
              </w:rPr>
              <w:t>serif'"&gt; 7</w:t>
            </w:r>
          </w:p>
        </w:tc>
        <w:tc>
          <w:tcPr>
            <w:tcW w:w="560" w:type="dxa"/>
            <w:vAlign w:val="bottom"/>
          </w:tcPr>
          <w:p>
            <w:pPr>
              <w:jc w:val="right"/>
              <w:ind w:right="87"/>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25</w:t>
            </w:r>
          </w:p>
        </w:tc>
        <w:tc>
          <w:tcPr>
            <w:tcW w:w="480" w:type="dxa"/>
            <w:vAlign w:val="bottom"/>
          </w:tcPr>
          <w:p>
            <w:pPr>
              <w:jc w:val="right"/>
              <w:ind w:right="67"/>
              <w:spacing w:after="0"/>
              <w:rPr>
                <w:sz w:val="20"/>
                <w:szCs w:val="20"/>
                <w:color w:val="auto"/>
              </w:rPr>
            </w:pPr>
            <w:r>
              <w:rPr>
                <w:rFonts w:ascii="Arial" w:cs="Arial" w:eastAsia="Arial" w:hAnsi="Arial"/>
                <w:sz w:val="15"/>
                <w:szCs w:val="15"/>
                <w:color w:val="auto"/>
              </w:rPr>
              <w:t>6</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13</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180"/>
              <w:spacing w:after="0"/>
              <w:rPr>
                <w:sz w:val="20"/>
                <w:szCs w:val="20"/>
                <w:color w:val="auto"/>
              </w:rPr>
            </w:pPr>
            <w:r>
              <w:rPr>
                <w:rFonts w:ascii="Arial" w:cs="Arial" w:eastAsia="Arial" w:hAnsi="Arial"/>
                <w:sz w:val="15"/>
                <w:szCs w:val="15"/>
                <w:color w:val="auto"/>
              </w:rPr>
              <w:t>All other</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4</w:t>
            </w: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w:t>
            </w: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w:t>
            </w: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21 5</w:t>
            </w: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100</w:t>
            </w:r>
          </w:p>
        </w:tc>
        <w:tc>
          <w:tcPr>
            <w:tcW w:w="3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189</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425</w:t>
            </w: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372</w:t>
            </w: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100</w:t>
            </w:r>
          </w:p>
        </w:tc>
        <w:tc>
          <w:tcPr>
            <w:tcW w:w="540" w:type="dxa"/>
            <w:vAlign w:val="bottom"/>
          </w:tcPr>
          <w:p>
            <w:pPr>
              <w:jc w:val="center"/>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72"/>
        </w:trPr>
        <w:tc>
          <w:tcPr>
            <w:tcW w:w="1260" w:type="dxa"/>
            <w:vAlign w:val="bottom"/>
          </w:tcPr>
          <w:p>
            <w:pPr>
              <w:ind w:left="100"/>
              <w:spacing w:after="0"/>
              <w:rPr>
                <w:sz w:val="20"/>
                <w:szCs w:val="20"/>
                <w:color w:val="auto"/>
              </w:rPr>
            </w:pPr>
            <w:r>
              <w:rPr>
                <w:rFonts w:ascii="Arial" w:cs="Arial" w:eastAsia="Arial" w:hAnsi="Arial"/>
                <w:sz w:val="15"/>
                <w:szCs w:val="15"/>
                <w:color w:val="auto"/>
              </w:rPr>
              <w:t>INCOME TAX</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EXPENSE</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(BENEFIT)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SDG&amp;E</w:t>
            </w:r>
          </w:p>
        </w:tc>
        <w:tc>
          <w:tcPr>
            <w:tcW w:w="360" w:type="dxa"/>
            <w:vAlign w:val="bottom"/>
          </w:tcPr>
          <w:p>
            <w:pPr>
              <w:ind w:left="1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44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ind w:left="80"/>
              <w:spacing w:after="0"/>
              <w:rPr>
                <w:sz w:val="20"/>
                <w:szCs w:val="20"/>
                <w:color w:val="auto"/>
              </w:rPr>
            </w:pPr>
            <w:r>
              <w:rPr>
                <w:rFonts w:ascii="Arial" w:cs="Arial" w:eastAsia="Arial" w:hAnsi="Arial"/>
                <w:sz w:val="15"/>
                <w:szCs w:val="15"/>
                <w:color w:val="auto"/>
              </w:rPr>
              <w:t>$</w:t>
            </w: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28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75</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88</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90</w:t>
            </w: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9"/>
                <w:szCs w:val="19"/>
                <w:color w:val="auto"/>
              </w:rPr>
              <w:t>&lt;</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200"/>
              <w:spacing w:after="0"/>
              <w:rPr>
                <w:sz w:val="20"/>
                <w:szCs w:val="20"/>
                <w:color w:val="auto"/>
              </w:rPr>
            </w:pPr>
            <w:r>
              <w:rPr>
                <w:rFonts w:ascii="Arial" w:cs="Arial" w:eastAsia="Arial" w:hAnsi="Arial"/>
                <w:sz w:val="19"/>
                <w:szCs w:val="19"/>
                <w:color w:val="auto"/>
              </w:rPr>
              <w:t>SoCalGas</w:t>
            </w:r>
          </w:p>
        </w:tc>
        <w:tc>
          <w:tcPr>
            <w:tcW w:w="360" w:type="dxa"/>
            <w:vAlign w:val="bottom"/>
          </w:tcPr>
          <w:p>
            <w:pPr>
              <w:spacing w:after="0"/>
              <w:rPr>
                <w:sz w:val="20"/>
                <w:szCs w:val="20"/>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34</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37</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9"/>
                <w:szCs w:val="19"/>
                <w:color w:val="auto"/>
              </w:rPr>
              <w:t>/td&gt;</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73</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60" w:type="dxa"/>
            <w:vAlign w:val="bottom"/>
          </w:tcPr>
          <w:p>
            <w:pPr>
              <w:ind w:left="160"/>
              <w:spacing w:after="0"/>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60" w:type="dxa"/>
            <w:vAlign w:val="bottom"/>
          </w:tcPr>
          <w:p>
            <w:pPr>
              <w:ind w:left="100"/>
              <w:spacing w:after="0"/>
              <w:rPr>
                <w:sz w:val="20"/>
                <w:szCs w:val="20"/>
                <w:color w:val="auto"/>
              </w:rPr>
            </w:pPr>
            <w:r>
              <w:rPr>
                <w:rFonts w:ascii="Arial" w:cs="Arial" w:eastAsia="Arial" w:hAnsi="Arial"/>
                <w:sz w:val="15"/>
                <w:szCs w:val="15"/>
                <w:color w:val="auto"/>
              </w:rPr>
              <w:t>Commodities</w:t>
            </w:r>
          </w:p>
        </w:tc>
        <w:tc>
          <w:tcPr>
            <w:tcW w:w="360" w:type="dxa"/>
            <w:vAlign w:val="bottom"/>
          </w:tcPr>
          <w:p>
            <w:pPr>
              <w:spacing w:after="0"/>
              <w:rPr>
                <w:sz w:val="16"/>
                <w:szCs w:val="16"/>
                <w:color w:val="auto"/>
              </w:rPr>
            </w:pPr>
          </w:p>
        </w:tc>
        <w:tc>
          <w:tcPr>
            <w:tcW w:w="620" w:type="dxa"/>
            <w:vAlign w:val="bottom"/>
          </w:tcPr>
          <w:p>
            <w:pPr>
              <w:jc w:val="right"/>
              <w:ind w:right="47"/>
              <w:spacing w:after="0"/>
              <w:rPr>
                <w:sz w:val="20"/>
                <w:szCs w:val="20"/>
                <w:color w:val="auto"/>
              </w:rPr>
            </w:pPr>
            <w:r>
              <w:rPr>
                <w:rFonts w:ascii="Arial" w:cs="Arial" w:eastAsia="Arial" w:hAnsi="Arial"/>
                <w:sz w:val="15"/>
                <w:szCs w:val="15"/>
                <w:color w:val="auto"/>
              </w:rPr>
              <w:t>(12)</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jc w:val="right"/>
              <w:ind w:right="44"/>
              <w:spacing w:after="0"/>
              <w:rPr>
                <w:sz w:val="20"/>
                <w:szCs w:val="20"/>
                <w:color w:val="auto"/>
              </w:rPr>
            </w:pPr>
            <w:r>
              <w:rPr>
                <w:rFonts w:ascii="Arial" w:cs="Arial" w:eastAsia="Arial" w:hAnsi="Arial"/>
                <w:sz w:val="15"/>
                <w:szCs w:val="15"/>
                <w:color w:val="auto"/>
              </w:rPr>
              <w:t>37</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jc w:val="right"/>
              <w:ind w:right="66"/>
              <w:spacing w:after="0"/>
              <w:rPr>
                <w:sz w:val="20"/>
                <w:szCs w:val="20"/>
                <w:color w:val="auto"/>
              </w:rPr>
            </w:pPr>
            <w:r>
              <w:rPr>
                <w:rFonts w:ascii="Arial" w:cs="Arial" w:eastAsia="Arial" w:hAnsi="Arial"/>
                <w:sz w:val="15"/>
                <w:szCs w:val="15"/>
                <w:color w:val="auto"/>
              </w:rPr>
              <w:t>(20)</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46"/>
              <w:spacing w:after="0"/>
              <w:rPr>
                <w:sz w:val="20"/>
                <w:szCs w:val="20"/>
                <w:color w:val="auto"/>
              </w:rPr>
            </w:pPr>
            <w:r>
              <w:rPr>
                <w:rFonts w:ascii="Arial" w:cs="Arial" w:eastAsia="Arial" w:hAnsi="Arial"/>
                <w:sz w:val="15"/>
                <w:szCs w:val="15"/>
                <w:color w:val="auto"/>
              </w:rPr>
              <w:t>74</w:t>
            </w: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9"/>
                <w:szCs w:val="19"/>
                <w:color w:val="auto"/>
              </w:rPr>
              <w:t>46</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Generation</w:t>
            </w:r>
          </w:p>
        </w:tc>
        <w:tc>
          <w:tcPr>
            <w:tcW w:w="360" w:type="dxa"/>
            <w:vAlign w:val="bottom"/>
          </w:tcPr>
          <w:p>
            <w:pPr>
              <w:spacing w:after="0"/>
              <w:rPr>
                <w:sz w:val="14"/>
                <w:szCs w:val="14"/>
                <w:color w:val="auto"/>
              </w:rPr>
            </w:pPr>
          </w:p>
        </w:tc>
        <w:tc>
          <w:tcPr>
            <w:tcW w:w="620" w:type="dxa"/>
            <w:vAlign w:val="bottom"/>
          </w:tcPr>
          <w:p>
            <w:pPr>
              <w:jc w:val="right"/>
              <w:ind w:right="87"/>
              <w:spacing w:after="0" w:line="171" w:lineRule="exact"/>
              <w:rPr>
                <w:sz w:val="20"/>
                <w:szCs w:val="20"/>
                <w:color w:val="auto"/>
              </w:rPr>
            </w:pPr>
            <w:r>
              <w:rPr>
                <w:rFonts w:ascii="Arial" w:cs="Arial" w:eastAsia="Arial" w:hAnsi="Arial"/>
                <w:sz w:val="15"/>
                <w:szCs w:val="15"/>
                <w:color w:val="auto"/>
              </w:rPr>
              <w:t>3</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right"/>
              <w:ind w:right="44"/>
              <w:spacing w:after="0" w:line="171" w:lineRule="exact"/>
              <w:rPr>
                <w:sz w:val="20"/>
                <w:szCs w:val="20"/>
                <w:color w:val="auto"/>
              </w:rPr>
            </w:pPr>
            <w:r>
              <w:rPr>
                <w:rFonts w:ascii="Arial" w:cs="Arial" w:eastAsia="Arial" w:hAnsi="Arial"/>
                <w:sz w:val="15"/>
                <w:szCs w:val="15"/>
                <w:color w:val="auto"/>
              </w:rPr>
              <w:t>34</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66"/>
              <w:spacing w:after="0" w:line="171" w:lineRule="exact"/>
              <w:rPr>
                <w:sz w:val="20"/>
                <w:szCs w:val="20"/>
                <w:color w:val="auto"/>
              </w:rPr>
            </w:pPr>
            <w:r>
              <w:rPr>
                <w:rFonts w:ascii="Arial" w:cs="Arial" w:eastAsia="Arial" w:hAnsi="Arial"/>
                <w:sz w:val="15"/>
                <w:szCs w:val="15"/>
                <w:color w:val="auto"/>
              </w:rPr>
              <w:t>(37)</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80"/>
              <w:spacing w:after="0" w:line="171" w:lineRule="exact"/>
              <w:rPr>
                <w:sz w:val="20"/>
                <w:szCs w:val="20"/>
                <w:color w:val="auto"/>
              </w:rPr>
            </w:pPr>
            <w:r>
              <w:rPr>
                <w:rFonts w:ascii="Arial" w:cs="Arial" w:eastAsia="Arial" w:hAnsi="Arial"/>
                <w:sz w:val="15"/>
                <w:szCs w:val="15"/>
                <w:color w:val="auto"/>
              </w:rPr>
              <w:t>Sempra</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ind w:left="100"/>
              <w:spacing w:after="0" w:line="171" w:lineRule="exact"/>
              <w:rPr>
                <w:sz w:val="20"/>
                <w:szCs w:val="20"/>
                <w:color w:val="auto"/>
              </w:rPr>
            </w:pPr>
            <w:r>
              <w:rPr>
                <w:rFonts w:ascii="Arial" w:cs="Arial" w:eastAsia="Arial" w:hAnsi="Arial"/>
                <w:sz w:val="15"/>
                <w:szCs w:val="15"/>
                <w:color w:val="auto"/>
              </w:rPr>
              <w:t>Pipelines &amp;</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00"/>
              <w:spacing w:after="0"/>
              <w:rPr>
                <w:sz w:val="20"/>
                <w:szCs w:val="20"/>
                <w:color w:val="auto"/>
              </w:rPr>
            </w:pPr>
            <w:r>
              <w:rPr>
                <w:rFonts w:ascii="Arial" w:cs="Arial" w:eastAsia="Arial" w:hAnsi="Arial"/>
                <w:sz w:val="15"/>
                <w:szCs w:val="15"/>
                <w:color w:val="auto"/>
              </w:rPr>
              <w:t>Storage</w:t>
            </w:r>
          </w:p>
        </w:tc>
        <w:tc>
          <w:tcPr>
            <w:tcW w:w="360" w:type="dxa"/>
            <w:vAlign w:val="bottom"/>
          </w:tcPr>
          <w:p>
            <w:pPr>
              <w:spacing w:after="0"/>
              <w:rPr>
                <w:sz w:val="15"/>
                <w:szCs w:val="15"/>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7</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13</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(17)</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Arial" w:cs="Arial" w:eastAsia="Arial" w:hAnsi="Arial"/>
                <w:sz w:val="15"/>
                <w:szCs w:val="15"/>
                <w:color w:val="auto"/>
              </w:rPr>
              <w:t>Sempra LNG</w:t>
            </w:r>
          </w:p>
        </w:tc>
        <w:tc>
          <w:tcPr>
            <w:tcW w:w="36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5"/>
                <w:szCs w:val="15"/>
                <w:color w:val="auto"/>
              </w:rPr>
              <w:t>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106"/>
              <w:spacing w:after="0"/>
              <w:rPr>
                <w:sz w:val="20"/>
                <w:szCs w:val="20"/>
                <w:color w:val="auto"/>
              </w:rPr>
            </w:pPr>
            <w:r>
              <w:rPr>
                <w:rFonts w:ascii="Arial" w:cs="Arial" w:eastAsia="Arial" w:hAnsi="Arial"/>
                <w:sz w:val="15"/>
                <w:szCs w:val="15"/>
                <w:color w:val="auto"/>
              </w:rPr>
              <w:t>16</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(22)</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66"/>
              <w:spacing w:after="0" w:line="171" w:lineRule="exact"/>
              <w:rPr>
                <w:sz w:val="20"/>
                <w:szCs w:val="20"/>
                <w:color w:val="auto"/>
              </w:rPr>
            </w:pPr>
            <w:r>
              <w:rPr>
                <w:rFonts w:ascii="Arial" w:cs="Arial" w:eastAsia="Arial" w:hAnsi="Arial"/>
                <w:sz w:val="15"/>
                <w:szCs w:val="15"/>
                <w:color w:val="auto"/>
              </w:rPr>
              <w:t>(20)&lt;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80"/>
              <w:spacing w:after="0" w:line="169" w:lineRule="exact"/>
              <w:rPr>
                <w:sz w:val="20"/>
                <w:szCs w:val="20"/>
                <w:color w:val="auto"/>
              </w:rPr>
            </w:pPr>
            <w:r>
              <w:rPr>
                <w:rFonts w:ascii="Arial" w:cs="Arial" w:eastAsia="Arial" w:hAnsi="Arial"/>
                <w:sz w:val="15"/>
                <w:szCs w:val="15"/>
                <w:color w:val="auto"/>
              </w:rPr>
              <w:t>All other</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(21)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(7)</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rPr>
              <w:t>/font&gt;</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(43)</w:t>
            </w: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59</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90</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117</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199</w:t>
            </w: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 w:right="240" w:hanging="3"/>
        <w:spacing w:after="0" w:line="276" w:lineRule="auto"/>
        <w:tabs>
          <w:tab w:leader="none" w:pos="149"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td style="BORDER-RIGHT:0px; PADDING-RIGHT:0in; BORDER-TOP:0px; PADDING-LEFT:0in; BACKGROUND:white; PADDING-BOTTOM:0in; BORDER-LEFT:0px; PADDING-TOP:0in; BORDER-BOTTOM:0px; HEIGHT:12.75pt" valign=bottom&gt;</w:t>
      </w:r>
    </w:p>
    <w:p>
      <w:pPr>
        <w:sectPr>
          <w:pgSz w:w="11900" w:h="16838" w:orient="portrait"/>
          <w:cols w:equalWidth="0" w:num="1">
            <w:col w:w="11443"/>
          </w:cols>
          <w:pgMar w:left="237" w:top="141" w:right="219" w:bottom="110" w:gutter="0" w:footer="0" w:header="0"/>
        </w:sectPr>
      </w:pPr>
    </w:p>
    <w:bookmarkStart w:id="39" w:name="page40"/>
    <w:bookmarkEnd w:id="39"/>
    <w:p>
      <w:pPr>
        <w:ind w:left="3" w:right="240" w:hanging="3"/>
        <w:spacing w:after="0" w:line="276" w:lineRule="auto"/>
        <w:tabs>
          <w:tab w:leader="none" w:pos="149"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td style="BORDER-RIGHT:0px; PADDING-RIGHT:0in; BORDER-TOP:0px; PADDING-LEFT:0in; BACKGROUND:white; PADDING-BOTTOM:0in; BORDER-LEFT:0px; PADDING-TOP:0in; BORDER-BOTTOM:0px; HEIGHT:11.25pt" valign=bottom&gt;</w:t>
      </w:r>
    </w:p>
    <w:p>
      <w:pPr>
        <w:sectPr>
          <w:pgSz w:w="11900" w:h="16838" w:orient="portrait"/>
          <w:cols w:equalWidth="0" w:num="1">
            <w:col w:w="11443"/>
          </w:cols>
          <w:pgMar w:left="237" w:top="131" w:right="219" w:bottom="0" w:gutter="0" w:footer="0" w:header="0"/>
        </w:sectPr>
      </w:pPr>
    </w:p>
    <w:p>
      <w:pPr>
        <w:spacing w:after="0" w:line="166" w:lineRule="exact"/>
        <w:rPr>
          <w:sz w:val="20"/>
          <w:szCs w:val="20"/>
          <w:color w:val="auto"/>
        </w:rPr>
      </w:pPr>
    </w:p>
    <w:p>
      <w:pPr>
        <w:ind w:left="3"/>
        <w:spacing w:after="0" w:line="303" w:lineRule="auto"/>
        <w:rPr>
          <w:sz w:val="20"/>
          <w:szCs w:val="20"/>
          <w:color w:val="auto"/>
        </w:rPr>
      </w:pPr>
      <w:r>
        <w:rPr>
          <w:rFonts w:ascii="Arial" w:cs="Arial" w:eastAsia="Arial" w:hAnsi="Arial"/>
          <w:sz w:val="14"/>
          <w:szCs w:val="14"/>
          <w:b w:val="1"/>
          <w:bCs w:val="1"/>
          <w:color w:val="auto"/>
        </w:rPr>
        <w:t>SEG MENT INFORMATION (Continued)</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-349885</wp:posOffset>
            </wp:positionV>
            <wp:extent cx="7259955" cy="502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955" cy="50228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9"/>
          <w:szCs w:val="19"/>
          <w:color w:val="auto"/>
        </w:rPr>
        <w:t>/p&gt;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color w:val="auto"/>
              </w:rPr>
              <w:t>Three months ended June 30,</w:t>
            </w:r>
          </w:p>
        </w:tc>
        <w:tc>
          <w:tcPr>
            <w:tcW w:w="388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color w:val="auto"/>
              </w:rPr>
              <w:t>Six months ended June 30,</w:t>
            </w:r>
          </w:p>
        </w:tc>
        <w:tc>
          <w:tcPr>
            <w:tcW w:w="1720" w:type="dxa"/>
            <w:vAlign w:val="bottom"/>
            <w:tcBorders>
              <w:bottom w:val="single" w:sz="8" w:color="auto"/>
            </w:tcBorders>
          </w:tcPr>
          <w:p>
            <w:pPr>
              <w:spacing w:after="0"/>
              <w:rPr>
                <w:sz w:val="13"/>
                <w:szCs w:val="13"/>
                <w:color w:val="auto"/>
              </w:rPr>
            </w:pPr>
          </w:p>
        </w:tc>
      </w:tr>
      <w:tr>
        <w:trPr>
          <w:trHeight w:val="213"/>
        </w:trPr>
        <w:tc>
          <w:tcPr>
            <w:tcW w:w="980" w:type="dxa"/>
            <w:vAlign w:val="bottom"/>
          </w:tcPr>
          <w:p>
            <w:pPr>
              <w:ind w:left="280"/>
              <w:spacing w:after="0"/>
              <w:rPr>
                <w:sz w:val="20"/>
                <w:szCs w:val="20"/>
                <w:color w:val="auto"/>
              </w:rPr>
            </w:pPr>
            <w:r>
              <w:rPr>
                <w:rFonts w:ascii="Arial" w:cs="Arial" w:eastAsia="Arial" w:hAnsi="Arial"/>
                <w:sz w:val="13"/>
                <w:szCs w:val="13"/>
                <w:color w:val="auto"/>
              </w:rPr>
              <w:t>2010</w:t>
            </w:r>
          </w:p>
        </w:tc>
        <w:tc>
          <w:tcPr>
            <w:tcW w:w="2400" w:type="dxa"/>
            <w:vAlign w:val="bottom"/>
          </w:tcPr>
          <w:p>
            <w:pPr>
              <w:jc w:val="right"/>
              <w:ind w:right="1615"/>
              <w:spacing w:after="0"/>
              <w:rPr>
                <w:sz w:val="20"/>
                <w:szCs w:val="20"/>
                <w:color w:val="auto"/>
              </w:rPr>
            </w:pPr>
            <w:r>
              <w:rPr>
                <w:rFonts w:ascii="Arial" w:cs="Arial" w:eastAsia="Arial" w:hAnsi="Arial"/>
                <w:sz w:val="13"/>
                <w:szCs w:val="13"/>
                <w:color w:val="auto"/>
              </w:rPr>
              <w:t>2009</w:t>
            </w:r>
          </w:p>
        </w:tc>
        <w:tc>
          <w:tcPr>
            <w:tcW w:w="3880" w:type="dxa"/>
            <w:vAlign w:val="bottom"/>
          </w:tcPr>
          <w:p>
            <w:pPr>
              <w:jc w:val="right"/>
              <w:ind w:right="2135"/>
              <w:spacing w:after="0"/>
              <w:rPr>
                <w:sz w:val="20"/>
                <w:szCs w:val="20"/>
                <w:color w:val="auto"/>
              </w:rPr>
            </w:pPr>
            <w:r>
              <w:rPr>
                <w:rFonts w:ascii="Arial" w:cs="Arial" w:eastAsia="Arial" w:hAnsi="Arial"/>
                <w:sz w:val="13"/>
                <w:szCs w:val="13"/>
                <w:color w:val="auto"/>
              </w:rPr>
              <w:t>2010</w:t>
            </w:r>
          </w:p>
        </w:tc>
        <w:tc>
          <w:tcPr>
            <w:tcW w:w="1720" w:type="dxa"/>
            <w:vAlign w:val="bottom"/>
          </w:tcPr>
          <w:p>
            <w:pPr>
              <w:jc w:val="right"/>
              <w:ind w:right="495"/>
              <w:spacing w:after="0"/>
              <w:rPr>
                <w:sz w:val="20"/>
                <w:szCs w:val="20"/>
                <w:color w:val="auto"/>
              </w:rPr>
            </w:pPr>
            <w:r>
              <w:rPr>
                <w:rFonts w:ascii="Arial" w:cs="Arial" w:eastAsia="Arial" w:hAnsi="Arial"/>
                <w:sz w:val="13"/>
                <w:szCs w:val="13"/>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-8255</wp:posOffset>
            </wp:positionV>
            <wp:extent cx="72599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823" w:space="640"/>
            <w:col w:w="8980"/>
          </w:cols>
          <w:pgMar w:left="237" w:top="131" w:right="219" w:bottom="0" w:gutter="0" w:footer="0" w:header="0"/>
          <w:type w:val="continuous"/>
        </w:sectPr>
      </w:pPr>
    </w:p>
    <w:p>
      <w:pPr>
        <w:ind w:left="3"/>
        <w:spacing w:after="0"/>
        <w:rPr>
          <w:sz w:val="20"/>
          <w:szCs w:val="20"/>
          <w:color w:val="auto"/>
        </w:rPr>
      </w:pPr>
      <w:r>
        <w:rPr>
          <w:rFonts w:ascii="Arial" w:cs="Arial" w:eastAsia="Arial" w:hAnsi="Arial"/>
          <w:sz w:val="15"/>
          <w:szCs w:val="15"/>
          <w:color w:val="auto"/>
        </w:rPr>
        <w:t>EQUITY EARNINGS (LOSSES)</w:t>
      </w:r>
    </w:p>
    <w:p>
      <w:pPr>
        <w:ind w:left="43"/>
        <w:spacing w:after="0" w:line="237" w:lineRule="auto"/>
        <w:rPr>
          <w:sz w:val="20"/>
          <w:szCs w:val="20"/>
          <w:color w:val="auto"/>
        </w:rPr>
      </w:pPr>
      <w:r>
        <w:rPr>
          <w:rFonts w:ascii="Arial" w:cs="Arial" w:eastAsia="Arial" w:hAnsi="Arial"/>
          <w:sz w:val="15"/>
          <w:szCs w:val="15"/>
          <w:color w:val="auto"/>
        </w:rPr>
        <w:t>Earnings (losses) recorded before</w:t>
      </w:r>
    </w:p>
    <w:tbl>
      <w:tblPr>
        <w:tblLayout w:type="fixed"/>
        <w:tblInd w:w="3" w:type="dxa"/>
        <w:tblCellMar>
          <w:top w:w="0" w:type="dxa"/>
          <w:left w:w="0" w:type="dxa"/>
          <w:bottom w:w="0" w:type="dxa"/>
          <w:right w:w="0" w:type="dxa"/>
        </w:tblCellMar>
      </w:tblPr>
      <w:tr>
        <w:trPr>
          <w:trHeight w:val="176"/>
        </w:trPr>
        <w:tc>
          <w:tcPr>
            <w:tcW w:w="2460" w:type="dxa"/>
            <w:vAlign w:val="bottom"/>
          </w:tcPr>
          <w:p>
            <w:pPr>
              <w:spacing w:after="0"/>
              <w:rPr>
                <w:sz w:val="20"/>
                <w:szCs w:val="20"/>
                <w:color w:val="auto"/>
              </w:rPr>
            </w:pPr>
            <w:r>
              <w:rPr>
                <w:rFonts w:ascii="Arial" w:cs="Arial" w:eastAsia="Arial" w:hAnsi="Arial"/>
                <w:sz w:val="15"/>
                <w:szCs w:val="15"/>
                <w:color w:val="auto"/>
              </w:rPr>
              <w:t>tax:</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Commodities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(16)</w:t>
            </w:r>
          </w:p>
        </w:tc>
        <w:tc>
          <w:tcPr>
            <w:tcW w:w="8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126</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Pr>
          <w:p>
            <w:pPr>
              <w:jc w:val="right"/>
              <w:ind w:right="3548"/>
              <w:spacing w:after="0"/>
              <w:rPr>
                <w:sz w:val="20"/>
                <w:szCs w:val="20"/>
                <w:color w:val="auto"/>
              </w:rPr>
            </w:pPr>
            <w:r>
              <w:rPr>
                <w:rFonts w:ascii="Arial" w:cs="Arial" w:eastAsia="Arial" w:hAnsi="Arial"/>
                <w:sz w:val="15"/>
                <w:szCs w:val="15"/>
                <w:color w:val="auto"/>
              </w:rPr>
              <w:t>(9)</w:t>
            </w:r>
          </w:p>
        </w:tc>
        <w:tc>
          <w:tcPr>
            <w:tcW w:w="800" w:type="dxa"/>
            <w:vAlign w:val="bottom"/>
          </w:tcPr>
          <w:p>
            <w:pPr>
              <w:spacing w:after="0"/>
              <w:rPr>
                <w:sz w:val="19"/>
                <w:szCs w:val="19"/>
                <w:color w:val="auto"/>
              </w:rPr>
            </w:pPr>
          </w:p>
        </w:tc>
        <w:tc>
          <w:tcPr>
            <w:tcW w:w="360" w:type="dxa"/>
            <w:vAlign w:val="bottom"/>
          </w:tcPr>
          <w:p>
            <w:pPr>
              <w:jc w:val="right"/>
              <w:ind w:right="148"/>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279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Generation</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40" w:type="dxa"/>
            <w:vAlign w:val="bottom"/>
          </w:tcPr>
          <w:p>
            <w:pPr>
              <w:jc w:val="right"/>
              <w:ind w:right="3548"/>
              <w:spacing w:after="0"/>
              <w:rPr>
                <w:sz w:val="20"/>
                <w:szCs w:val="20"/>
                <w:color w:val="auto"/>
              </w:rPr>
            </w:pPr>
            <w:r>
              <w:rPr>
                <w:rFonts w:ascii="Arial" w:cs="Arial" w:eastAsia="Arial" w:hAnsi="Arial"/>
                <w:sz w:val="15"/>
                <w:szCs w:val="15"/>
                <w:color w:val="auto"/>
              </w:rPr>
              <w:t>(1)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Pipelines &amp; Storage</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11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22</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120"/>
              <w:spacing w:after="0"/>
              <w:rPr>
                <w:sz w:val="20"/>
                <w:szCs w:val="20"/>
                <w:color w:val="auto"/>
              </w:rPr>
            </w:pPr>
            <w:r>
              <w:rPr>
                <w:rFonts w:ascii="Arial" w:cs="Arial" w:eastAsia="Arial" w:hAnsi="Arial"/>
                <w:sz w:val="15"/>
                <w:szCs w:val="15"/>
                <w:color w:val="auto"/>
              </w:rPr>
              <w:t>All other</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3548"/>
              <w:spacing w:after="0"/>
              <w:rPr>
                <w:sz w:val="20"/>
                <w:szCs w:val="20"/>
                <w:color w:val="auto"/>
              </w:rPr>
            </w:pPr>
            <w:r>
              <w:rPr>
                <w:rFonts w:ascii="Arial" w:cs="Arial" w:eastAsia="Arial" w:hAnsi="Arial"/>
                <w:sz w:val="15"/>
                <w:szCs w:val="15"/>
                <w:color w:val="auto"/>
              </w:rPr>
              <w:t>(5)</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60" w:type="dxa"/>
            <w:vAlign w:val="bottom"/>
          </w:tcPr>
          <w:p>
            <w:pPr>
              <w:ind w:left="280"/>
              <w:spacing w:after="0"/>
              <w:rPr>
                <w:sz w:val="20"/>
                <w:szCs w:val="20"/>
                <w:color w:val="auto"/>
              </w:rPr>
            </w:pPr>
            <w:r>
              <w:rPr>
                <w:rFonts w:ascii="Arial" w:cs="Arial" w:eastAsia="Arial" w:hAnsi="Arial"/>
                <w:sz w:val="15"/>
                <w:szCs w:val="15"/>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128</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7</w:t>
            </w:r>
          </w:p>
        </w:tc>
        <w:tc>
          <w:tcPr>
            <w:tcW w:w="800" w:type="dxa"/>
            <w:vAlign w:val="bottom"/>
          </w:tcPr>
          <w:p>
            <w:pPr>
              <w:spacing w:after="0"/>
              <w:rPr>
                <w:sz w:val="19"/>
                <w:szCs w:val="19"/>
                <w:color w:val="auto"/>
              </w:rPr>
            </w:pPr>
          </w:p>
        </w:tc>
        <w:tc>
          <w:tcPr>
            <w:tcW w:w="360" w:type="dxa"/>
            <w:vAlign w:val="bottom"/>
          </w:tcPr>
          <w:p>
            <w:pPr>
              <w:jc w:val="right"/>
              <w:ind w:right="148"/>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40"/>
              <w:spacing w:after="0"/>
              <w:rPr>
                <w:sz w:val="20"/>
                <w:szCs w:val="20"/>
                <w:color w:val="auto"/>
              </w:rPr>
            </w:pPr>
            <w:r>
              <w:rPr>
                <w:rFonts w:ascii="Arial" w:cs="Arial" w:eastAsia="Arial" w:hAnsi="Arial"/>
                <w:sz w:val="15"/>
                <w:szCs w:val="15"/>
                <w:color w:val="auto"/>
              </w:rPr>
              <w:t>Earnings recorded net of tax:</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Sempra Pipelines &amp; Storage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23</w:t>
            </w: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Borders>
              <w:bottom w:val="single" w:sz="8" w:color="auto"/>
            </w:tcBorders>
          </w:tcPr>
          <w:p>
            <w:pPr>
              <w:jc w:val="right"/>
              <w:ind w:right="3588"/>
              <w:spacing w:after="0"/>
              <w:rPr>
                <w:sz w:val="20"/>
                <w:szCs w:val="20"/>
                <w:color w:val="auto"/>
              </w:rPr>
            </w:pPr>
            <w:r>
              <w:rPr>
                <w:rFonts w:ascii="Arial" w:cs="Arial" w:eastAsia="Arial" w:hAnsi="Arial"/>
                <w:sz w:val="15"/>
                <w:szCs w:val="15"/>
                <w:color w:val="auto"/>
              </w:rPr>
              <w:t>46</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60" w:type="dxa"/>
            <w:vAlign w:val="bottom"/>
          </w:tcPr>
          <w:p>
            <w:pPr>
              <w:spacing w:after="0"/>
              <w:rPr>
                <w:sz w:val="20"/>
                <w:szCs w:val="20"/>
                <w:color w:val="auto"/>
              </w:rPr>
            </w:pPr>
            <w:r>
              <w:rPr>
                <w:rFonts w:ascii="Arial" w:cs="Arial" w:eastAsia="Arial" w:hAnsi="Arial"/>
                <w:sz w:val="15"/>
                <w:szCs w:val="15"/>
                <w:color w:val="auto"/>
              </w:rPr>
              <w:t>EARNINGS (LOSSES)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SDG&amp;E(1)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9"/>
                <w:szCs w:val="19"/>
                <w:color w:val="auto"/>
              </w:rPr>
            </w:pPr>
          </w:p>
        </w:tc>
        <w:tc>
          <w:tcPr>
            <w:tcW w:w="860" w:type="dxa"/>
            <w:vAlign w:val="bottom"/>
            <w:gridSpan w:val="2"/>
          </w:tcPr>
          <w:p>
            <w:pPr>
              <w:jc w:val="right"/>
              <w:ind w:right="343"/>
              <w:spacing w:after="0"/>
              <w:rPr>
                <w:sz w:val="20"/>
                <w:szCs w:val="20"/>
                <w:color w:val="auto"/>
              </w:rPr>
            </w:pPr>
            <w:r>
              <w:rPr>
                <w:rFonts w:ascii="Arial" w:cs="Arial" w:eastAsia="Arial" w:hAnsi="Arial"/>
                <w:sz w:val="15"/>
                <w:szCs w:val="15"/>
                <w:color w:val="auto"/>
                <w:w w:val="93"/>
              </w:rPr>
              <w:t>34 %$</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70</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35 % $</w:t>
            </w: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158</w:t>
            </w:r>
          </w:p>
        </w:tc>
        <w:tc>
          <w:tcPr>
            <w:tcW w:w="1160" w:type="dxa"/>
            <w:vAlign w:val="bottom"/>
            <w:gridSpan w:val="2"/>
          </w:tcPr>
          <w:p>
            <w:pPr>
              <w:jc w:val="right"/>
              <w:ind w:right="148"/>
              <w:spacing w:after="0"/>
              <w:rPr>
                <w:sz w:val="20"/>
                <w:szCs w:val="20"/>
                <w:color w:val="auto"/>
              </w:rPr>
            </w:pPr>
            <w:r>
              <w:rPr>
                <w:rFonts w:ascii="Arial" w:cs="Arial" w:eastAsia="Arial" w:hAnsi="Arial"/>
                <w:sz w:val="15"/>
                <w:szCs w:val="15"/>
                <w:color w:val="auto"/>
              </w:rPr>
              <w:t>48 %$</w:t>
            </w:r>
          </w:p>
        </w:tc>
        <w:tc>
          <w:tcPr>
            <w:tcW w:w="600" w:type="dxa"/>
            <w:vAlign w:val="bottom"/>
          </w:tcPr>
          <w:p>
            <w:pPr>
              <w:jc w:val="right"/>
              <w:spacing w:after="0"/>
              <w:rPr>
                <w:sz w:val="20"/>
                <w:szCs w:val="20"/>
                <w:color w:val="auto"/>
              </w:rPr>
            </w:pPr>
            <w:r>
              <w:rPr>
                <w:rFonts w:ascii="Arial" w:cs="Arial" w:eastAsia="Arial" w:hAnsi="Arial"/>
                <w:sz w:val="15"/>
                <w:szCs w:val="15"/>
                <w:color w:val="auto"/>
              </w:rPr>
              <w:t>169</w:t>
            </w:r>
          </w:p>
        </w:tc>
        <w:tc>
          <w:tcPr>
            <w:tcW w:w="480" w:type="dxa"/>
            <w:vAlign w:val="bottom"/>
          </w:tcPr>
          <w:p>
            <w:pPr>
              <w:jc w:val="right"/>
              <w:spacing w:after="0"/>
              <w:rPr>
                <w:sz w:val="20"/>
                <w:szCs w:val="20"/>
                <w:color w:val="auto"/>
              </w:rPr>
            </w:pPr>
            <w:r>
              <w:rPr>
                <w:rFonts w:ascii="Arial" w:cs="Arial" w:eastAsia="Arial" w:hAnsi="Arial"/>
                <w:sz w:val="15"/>
                <w:szCs w:val="15"/>
                <w:color w:val="auto"/>
              </w:rPr>
              <w:t>33 %</w:t>
            </w: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SoCalGas(1)</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19"/>
                <w:szCs w:val="19"/>
                <w:color w:val="auto"/>
              </w:rPr>
            </w:pPr>
          </w:p>
        </w:tc>
        <w:tc>
          <w:tcPr>
            <w:tcW w:w="340" w:type="dxa"/>
            <w:vAlign w:val="bottom"/>
          </w:tcPr>
          <w:p>
            <w:pPr>
              <w:jc w:val="right"/>
              <w:ind w:right="87"/>
              <w:spacing w:after="0"/>
              <w:rPr>
                <w:sz w:val="20"/>
                <w:szCs w:val="20"/>
                <w:color w:val="auto"/>
              </w:rPr>
            </w:pPr>
            <w:r>
              <w:rPr>
                <w:rFonts w:ascii="Arial" w:cs="Arial" w:eastAsia="Arial" w:hAnsi="Arial"/>
                <w:sz w:val="15"/>
                <w:szCs w:val="15"/>
                <w:color w:val="auto"/>
                <w:w w:val="95"/>
              </w:rPr>
              <w:t>31</w:t>
            </w:r>
          </w:p>
        </w:tc>
        <w:tc>
          <w:tcPr>
            <w:tcW w:w="520" w:type="dxa"/>
            <w:vAlign w:val="bottom"/>
          </w:tcPr>
          <w:p>
            <w:pPr>
              <w:spacing w:after="0"/>
              <w:rPr>
                <w:sz w:val="19"/>
                <w:szCs w:val="19"/>
                <w:color w:val="auto"/>
              </w:rPr>
            </w:pP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65</w:t>
            </w:r>
          </w:p>
        </w:tc>
        <w:tc>
          <w:tcPr>
            <w:tcW w:w="460" w:type="dxa"/>
            <w:vAlign w:val="bottom"/>
          </w:tcPr>
          <w:p>
            <w:pPr>
              <w:jc w:val="right"/>
              <w:ind w:right="107"/>
              <w:spacing w:after="0"/>
              <w:rPr>
                <w:sz w:val="20"/>
                <w:szCs w:val="20"/>
                <w:color w:val="auto"/>
              </w:rPr>
            </w:pPr>
            <w:r>
              <w:rPr>
                <w:rFonts w:ascii="Arial" w:cs="Arial" w:eastAsia="Arial" w:hAnsi="Arial"/>
                <w:sz w:val="15"/>
                <w:szCs w:val="15"/>
                <w:color w:val="auto"/>
              </w:rPr>
              <w:t>33</w:t>
            </w:r>
          </w:p>
        </w:tc>
        <w:tc>
          <w:tcPr>
            <w:tcW w:w="340" w:type="dxa"/>
            <w:vAlign w:val="bottom"/>
          </w:tcPr>
          <w:p>
            <w:pPr>
              <w:spacing w:after="0"/>
              <w:rPr>
                <w:sz w:val="19"/>
                <w:szCs w:val="19"/>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134</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41</w:t>
            </w:r>
          </w:p>
        </w:tc>
        <w:tc>
          <w:tcPr>
            <w:tcW w:w="360" w:type="dxa"/>
            <w:vAlign w:val="bottom"/>
          </w:tcPr>
          <w:p>
            <w:pPr>
              <w:jc w:val="right"/>
              <w:spacing w:after="0"/>
              <w:rPr>
                <w:sz w:val="20"/>
                <w:szCs w:val="20"/>
                <w:color w:val="auto"/>
              </w:rPr>
            </w:pPr>
            <w:r>
              <w:rPr>
                <w:rFonts w:ascii="Arial" w:cs="Arial" w:eastAsia="Arial" w:hAnsi="Arial"/>
                <w:sz w:val="15"/>
                <w:szCs w:val="15"/>
                <w:color w:val="auto"/>
              </w:rPr>
              <w:t>124</w:t>
            </w:r>
          </w:p>
        </w:tc>
        <w:tc>
          <w:tcPr>
            <w:tcW w:w="600" w:type="dxa"/>
            <w:vAlign w:val="bottom"/>
          </w:tcPr>
          <w:p>
            <w:pPr>
              <w:jc w:val="right"/>
              <w:spacing w:after="0"/>
              <w:rPr>
                <w:sz w:val="20"/>
                <w:szCs w:val="20"/>
                <w:color w:val="auto"/>
              </w:rPr>
            </w:pPr>
            <w:r>
              <w:rPr>
                <w:rFonts w:ascii="Arial" w:cs="Arial" w:eastAsia="Arial" w:hAnsi="Arial"/>
                <w:sz w:val="15"/>
                <w:szCs w:val="15"/>
                <w:color w:val="auto"/>
              </w:rPr>
              <w:t>24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Commodities</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85</w:t>
            </w:r>
          </w:p>
        </w:tc>
        <w:tc>
          <w:tcPr>
            <w:tcW w:w="460" w:type="dxa"/>
            <w:vAlign w:val="bottom"/>
          </w:tcPr>
          <w:p>
            <w:pPr>
              <w:jc w:val="right"/>
              <w:ind w:right="107"/>
              <w:spacing w:after="0"/>
              <w:rPr>
                <w:sz w:val="20"/>
                <w:szCs w:val="20"/>
                <w:color w:val="auto"/>
              </w:rPr>
            </w:pPr>
            <w:r>
              <w:rPr>
                <w:rFonts w:ascii="Arial" w:cs="Arial" w:eastAsia="Arial" w:hAnsi="Arial"/>
                <w:sz w:val="15"/>
                <w:szCs w:val="15"/>
                <w:color w:val="auto"/>
              </w:rPr>
              <w:t>4 3</w:t>
            </w:r>
          </w:p>
        </w:tc>
        <w:tc>
          <w:tcPr>
            <w:tcW w:w="340" w:type="dxa"/>
            <w:vAlign w:val="bottom"/>
          </w:tcPr>
          <w:p>
            <w:pPr>
              <w:spacing w:after="0"/>
              <w:rPr>
                <w:sz w:val="19"/>
                <w:szCs w:val="19"/>
                <w:color w:val="auto"/>
              </w:rPr>
            </w:pPr>
          </w:p>
        </w:tc>
        <w:tc>
          <w:tcPr>
            <w:tcW w:w="4140" w:type="dxa"/>
            <w:vAlign w:val="bottom"/>
          </w:tcPr>
          <w:p>
            <w:pPr>
              <w:jc w:val="right"/>
              <w:ind w:right="3548"/>
              <w:spacing w:after="0"/>
              <w:rPr>
                <w:sz w:val="20"/>
                <w:szCs w:val="20"/>
                <w:color w:val="auto"/>
              </w:rPr>
            </w:pPr>
            <w:r>
              <w:rPr>
                <w:rFonts w:ascii="Arial" w:cs="Arial" w:eastAsia="Arial" w:hAnsi="Arial"/>
                <w:sz w:val="15"/>
                <w:szCs w:val="15"/>
                <w:color w:val="auto"/>
              </w:rPr>
              <w:t>(5)</w:t>
            </w: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199</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19"/>
        </w:trPr>
        <w:tc>
          <w:tcPr>
            <w:tcW w:w="2460" w:type="dxa"/>
            <w:vAlign w:val="bottom"/>
          </w:tcPr>
          <w:p>
            <w:pPr>
              <w:ind w:left="100"/>
              <w:spacing w:after="0"/>
              <w:rPr>
                <w:sz w:val="20"/>
                <w:szCs w:val="20"/>
                <w:color w:val="auto"/>
              </w:rPr>
            </w:pPr>
            <w:r>
              <w:rPr>
                <w:rFonts w:ascii="Arial" w:cs="Arial" w:eastAsia="Arial" w:hAnsi="Arial"/>
                <w:sz w:val="15"/>
                <w:szCs w:val="15"/>
                <w:color w:val="auto"/>
              </w:rPr>
              <w:t>Sempra Generation</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9"/>
                <w:szCs w:val="19"/>
                <w:color w:val="auto"/>
              </w:rPr>
            </w:pPr>
          </w:p>
        </w:tc>
        <w:tc>
          <w:tcPr>
            <w:tcW w:w="340" w:type="dxa"/>
            <w:vAlign w:val="bottom"/>
          </w:tcPr>
          <w:p>
            <w:pPr>
              <w:jc w:val="right"/>
              <w:ind w:right="87"/>
              <w:spacing w:after="0"/>
              <w:rPr>
                <w:sz w:val="20"/>
                <w:szCs w:val="20"/>
                <w:color w:val="auto"/>
              </w:rPr>
            </w:pPr>
            <w:r>
              <w:rPr>
                <w:rFonts w:ascii="Arial" w:cs="Arial" w:eastAsia="Arial" w:hAnsi="Arial"/>
                <w:sz w:val="15"/>
                <w:szCs w:val="15"/>
                <w:color w:val="auto"/>
                <w:w w:val="95"/>
              </w:rPr>
              <w:t>22</w:t>
            </w:r>
          </w:p>
        </w:tc>
        <w:tc>
          <w:tcPr>
            <w:tcW w:w="520" w:type="dxa"/>
            <w:vAlign w:val="bottom"/>
          </w:tcPr>
          <w:p>
            <w:pPr>
              <w:spacing w:after="0"/>
              <w:rPr>
                <w:sz w:val="19"/>
                <w:szCs w:val="19"/>
                <w:color w:val="auto"/>
              </w:rPr>
            </w:pP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33</w:t>
            </w:r>
          </w:p>
        </w:tc>
        <w:tc>
          <w:tcPr>
            <w:tcW w:w="460" w:type="dxa"/>
            <w:vAlign w:val="bottom"/>
          </w:tcPr>
          <w:p>
            <w:pPr>
              <w:jc w:val="right"/>
              <w:ind w:right="107"/>
              <w:spacing w:after="0"/>
              <w:rPr>
                <w:sz w:val="20"/>
                <w:szCs w:val="20"/>
                <w:color w:val="auto"/>
              </w:rPr>
            </w:pPr>
            <w:r>
              <w:rPr>
                <w:rFonts w:ascii="Arial" w:cs="Arial" w:eastAsia="Arial" w:hAnsi="Arial"/>
                <w:sz w:val="15"/>
                <w:szCs w:val="15"/>
                <w:color w:val="auto"/>
              </w:rPr>
              <w:t>17</w:t>
            </w:r>
          </w:p>
        </w:tc>
        <w:tc>
          <w:tcPr>
            <w:tcW w:w="340" w:type="dxa"/>
            <w:vAlign w:val="bottom"/>
          </w:tcPr>
          <w:p>
            <w:pPr>
              <w:spacing w:after="0"/>
              <w:rPr>
                <w:sz w:val="19"/>
                <w:szCs w:val="19"/>
                <w:color w:val="auto"/>
              </w:rPr>
            </w:pPr>
          </w:p>
        </w:tc>
        <w:tc>
          <w:tcPr>
            <w:tcW w:w="4140" w:type="dxa"/>
            <w:vAlign w:val="bottom"/>
          </w:tcPr>
          <w:p>
            <w:pPr>
              <w:jc w:val="right"/>
              <w:ind w:right="3548"/>
              <w:spacing w:after="0"/>
              <w:rPr>
                <w:sz w:val="20"/>
                <w:szCs w:val="20"/>
                <w:color w:val="auto"/>
              </w:rPr>
            </w:pPr>
            <w:r>
              <w:rPr>
                <w:rFonts w:ascii="Arial" w:cs="Arial" w:eastAsia="Arial" w:hAnsi="Arial"/>
                <w:sz w:val="15"/>
                <w:szCs w:val="15"/>
                <w:color w:val="auto"/>
              </w:rPr>
              <w:t>(5)</w:t>
            </w: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76</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Pipelines &amp; Storage</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9"/>
                <w:szCs w:val="19"/>
                <w:color w:val="auto"/>
              </w:rPr>
            </w:pPr>
          </w:p>
        </w:tc>
        <w:tc>
          <w:tcPr>
            <w:tcW w:w="340" w:type="dxa"/>
            <w:vAlign w:val="bottom"/>
          </w:tcPr>
          <w:p>
            <w:pPr>
              <w:jc w:val="right"/>
              <w:ind w:right="87"/>
              <w:spacing w:after="0"/>
              <w:rPr>
                <w:sz w:val="20"/>
                <w:szCs w:val="20"/>
                <w:color w:val="auto"/>
              </w:rPr>
            </w:pPr>
            <w:r>
              <w:rPr>
                <w:rFonts w:ascii="Arial" w:cs="Arial" w:eastAsia="Arial" w:hAnsi="Arial"/>
                <w:sz w:val="15"/>
                <w:szCs w:val="15"/>
                <w:color w:val="auto"/>
                <w:w w:val="95"/>
              </w:rPr>
              <w:t>17</w:t>
            </w: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(27)</w:t>
            </w:r>
          </w:p>
        </w:tc>
        <w:tc>
          <w:tcPr>
            <w:tcW w:w="460" w:type="dxa"/>
            <w:vAlign w:val="bottom"/>
          </w:tcPr>
          <w:p>
            <w:pPr>
              <w:jc w:val="right"/>
              <w:ind w:right="67"/>
              <w:spacing w:after="0"/>
              <w:rPr>
                <w:sz w:val="20"/>
                <w:szCs w:val="20"/>
                <w:color w:val="auto"/>
              </w:rPr>
            </w:pPr>
            <w:r>
              <w:rPr>
                <w:rFonts w:ascii="Arial" w:cs="Arial" w:eastAsia="Arial" w:hAnsi="Arial"/>
                <w:sz w:val="15"/>
                <w:szCs w:val="15"/>
                <w:color w:val="auto"/>
              </w:rPr>
              <w:t>(14)</w:t>
            </w:r>
          </w:p>
        </w:tc>
        <w:tc>
          <w:tcPr>
            <w:tcW w:w="340" w:type="dxa"/>
            <w:vAlign w:val="bottom"/>
          </w:tcPr>
          <w:p>
            <w:pPr>
              <w:spacing w:after="0"/>
              <w:rPr>
                <w:sz w:val="19"/>
                <w:szCs w:val="19"/>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77</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24</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Sempra LNG</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9"/>
                <w:szCs w:val="19"/>
                <w:color w:val="auto"/>
              </w:rPr>
            </w:pPr>
          </w:p>
        </w:tc>
        <w:tc>
          <w:tcPr>
            <w:tcW w:w="340" w:type="dxa"/>
            <w:vAlign w:val="bottom"/>
          </w:tcPr>
          <w:p>
            <w:pPr>
              <w:jc w:val="right"/>
              <w:ind w:right="87"/>
              <w:spacing w:after="0"/>
              <w:rPr>
                <w:sz w:val="20"/>
                <w:szCs w:val="20"/>
                <w:color w:val="auto"/>
              </w:rPr>
            </w:pPr>
            <w:r>
              <w:rPr>
                <w:rFonts w:ascii="Arial" w:cs="Arial" w:eastAsia="Arial" w:hAnsi="Arial"/>
                <w:sz w:val="15"/>
                <w:szCs w:val="15"/>
                <w:color w:val="auto"/>
              </w:rPr>
              <w:t>6</w:t>
            </w: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(12)</w:t>
            </w:r>
          </w:p>
        </w:tc>
        <w:tc>
          <w:tcPr>
            <w:tcW w:w="460" w:type="dxa"/>
            <w:vAlign w:val="bottom"/>
          </w:tcPr>
          <w:p>
            <w:pPr>
              <w:jc w:val="right"/>
              <w:ind w:right="67"/>
              <w:spacing w:after="0"/>
              <w:rPr>
                <w:sz w:val="20"/>
                <w:szCs w:val="20"/>
                <w:color w:val="auto"/>
              </w:rPr>
            </w:pPr>
            <w:r>
              <w:rPr>
                <w:rFonts w:ascii="Arial" w:cs="Arial" w:eastAsia="Arial" w:hAnsi="Arial"/>
                <w:sz w:val="15"/>
                <w:szCs w:val="15"/>
                <w:color w:val="auto"/>
              </w:rPr>
              <w:t>(6)</w:t>
            </w:r>
          </w:p>
        </w:tc>
        <w:tc>
          <w:tcPr>
            <w:tcW w:w="340" w:type="dxa"/>
            <w:vAlign w:val="bottom"/>
          </w:tcPr>
          <w:p>
            <w:pPr>
              <w:spacing w:after="0"/>
              <w:rPr>
                <w:sz w:val="19"/>
                <w:szCs w:val="19"/>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45</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14</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w:t>
            </w:r>
          </w:p>
        </w:tc>
        <w:tc>
          <w:tcPr>
            <w:tcW w:w="480" w:type="dxa"/>
            <w:vAlign w:val="bottom"/>
          </w:tcPr>
          <w:p>
            <w:pPr>
              <w:jc w:val="right"/>
              <w:ind w:right="107"/>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2"/>
        </w:trPr>
        <w:tc>
          <w:tcPr>
            <w:tcW w:w="2460" w:type="dxa"/>
            <w:vAlign w:val="bottom"/>
          </w:tcPr>
          <w:p>
            <w:pPr>
              <w:ind w:left="120"/>
              <w:spacing w:after="0"/>
              <w:rPr>
                <w:sz w:val="20"/>
                <w:szCs w:val="20"/>
                <w:color w:val="auto"/>
              </w:rPr>
            </w:pPr>
            <w:r>
              <w:rPr>
                <w:rFonts w:ascii="Arial" w:cs="Arial" w:eastAsia="Arial" w:hAnsi="Arial"/>
                <w:sz w:val="15"/>
                <w:szCs w:val="15"/>
                <w:color w:val="auto"/>
              </w:rPr>
              <w:t>All other</w:t>
            </w:r>
          </w:p>
        </w:tc>
        <w:tc>
          <w:tcPr>
            <w:tcW w:w="80" w:type="dxa"/>
            <w:vAlign w:val="bottom"/>
          </w:tcPr>
          <w:p>
            <w:pPr>
              <w:spacing w:after="0"/>
              <w:rPr>
                <w:sz w:val="18"/>
                <w:szCs w:val="18"/>
                <w:color w:val="auto"/>
              </w:rPr>
            </w:pPr>
          </w:p>
        </w:tc>
        <w:tc>
          <w:tcPr>
            <w:tcW w:w="800" w:type="dxa"/>
            <w:vAlign w:val="bottom"/>
            <w:gridSpan w:val="3"/>
          </w:tcPr>
          <w:p>
            <w:pPr>
              <w:jc w:val="right"/>
              <w:ind w:right="47"/>
              <w:spacing w:after="0"/>
              <w:rPr>
                <w:sz w:val="20"/>
                <w:szCs w:val="20"/>
                <w:color w:val="auto"/>
              </w:rPr>
            </w:pPr>
            <w:r>
              <w:rPr>
                <w:rFonts w:ascii="Arial" w:cs="Arial" w:eastAsia="Arial" w:hAnsi="Arial"/>
                <w:sz w:val="15"/>
                <w:szCs w:val="15"/>
                <w:color w:val="auto"/>
              </w:rPr>
              <w:t>(22) (10)</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(16)</w:t>
            </w:r>
          </w:p>
        </w:tc>
        <w:tc>
          <w:tcPr>
            <w:tcW w:w="460" w:type="dxa"/>
            <w:vAlign w:val="bottom"/>
          </w:tcPr>
          <w:p>
            <w:pPr>
              <w:jc w:val="right"/>
              <w:ind w:right="67"/>
              <w:spacing w:after="0"/>
              <w:rPr>
                <w:sz w:val="20"/>
                <w:szCs w:val="20"/>
                <w:color w:val="auto"/>
              </w:rPr>
            </w:pPr>
            <w:r>
              <w:rPr>
                <w:rFonts w:ascii="Arial" w:cs="Arial" w:eastAsia="Arial" w:hAnsi="Arial"/>
                <w:sz w:val="15"/>
                <w:szCs w:val="15"/>
                <w:color w:val="auto"/>
              </w:rPr>
              <w:t>(8)</w:t>
            </w:r>
          </w:p>
        </w:tc>
        <w:tc>
          <w:tcPr>
            <w:tcW w:w="340" w:type="dxa"/>
            <w:vAlign w:val="bottom"/>
          </w:tcPr>
          <w:p>
            <w:pPr>
              <w:spacing w:after="0"/>
              <w:rPr>
                <w:sz w:val="18"/>
                <w:szCs w:val="18"/>
                <w:color w:val="auto"/>
              </w:rPr>
            </w:pPr>
          </w:p>
        </w:tc>
        <w:tc>
          <w:tcPr>
            <w:tcW w:w="4140" w:type="dxa"/>
            <w:vAlign w:val="bottom"/>
          </w:tcPr>
          <w:p>
            <w:pPr>
              <w:jc w:val="right"/>
              <w:ind w:right="3548"/>
              <w:spacing w:after="0"/>
              <w:rPr>
                <w:sz w:val="20"/>
                <w:szCs w:val="20"/>
                <w:color w:val="auto"/>
              </w:rPr>
            </w:pPr>
            <w:r>
              <w:rPr>
                <w:rFonts w:ascii="Arial" w:cs="Arial" w:eastAsia="Arial" w:hAnsi="Arial"/>
                <w:sz w:val="15"/>
                <w:szCs w:val="15"/>
                <w:color w:val="auto"/>
              </w:rPr>
              <w:t>(76)</w:t>
            </w:r>
          </w:p>
        </w:tc>
        <w:tc>
          <w:tcPr>
            <w:tcW w:w="800" w:type="dxa"/>
            <w:vAlign w:val="bottom"/>
          </w:tcPr>
          <w:p>
            <w:pPr>
              <w:jc w:val="right"/>
              <w:spacing w:after="0"/>
              <w:rPr>
                <w:sz w:val="20"/>
                <w:szCs w:val="20"/>
                <w:color w:val="auto"/>
              </w:rPr>
            </w:pPr>
            <w:r>
              <w:rPr>
                <w:rFonts w:ascii="Arial" w:cs="Arial" w:eastAsia="Arial" w:hAnsi="Arial"/>
                <w:sz w:val="15"/>
                <w:szCs w:val="15"/>
                <w:color w:val="auto"/>
              </w:rPr>
              <w:t>(23)</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w:t>
            </w:r>
          </w:p>
        </w:tc>
        <w:tc>
          <w:tcPr>
            <w:tcW w:w="480" w:type="dxa"/>
            <w:vAlign w:val="bottom"/>
          </w:tcPr>
          <w:p>
            <w:pPr>
              <w:jc w:val="right"/>
              <w:ind w:right="107"/>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5"/>
                <w:szCs w:val="15"/>
                <w:color w:val="auto"/>
              </w:rPr>
              <w:t>222 100 %$</w:t>
            </w:r>
          </w:p>
        </w:tc>
        <w:tc>
          <w:tcPr>
            <w:tcW w:w="4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198</w:t>
            </w: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100 %$</w:t>
            </w:r>
          </w:p>
        </w:tc>
        <w:tc>
          <w:tcPr>
            <w:tcW w:w="4140" w:type="dxa"/>
            <w:vAlign w:val="bottom"/>
            <w:tcBorders>
              <w:bottom w:val="single" w:sz="8" w:color="auto"/>
            </w:tcBorders>
          </w:tcPr>
          <w:p>
            <w:pPr>
              <w:jc w:val="right"/>
              <w:ind w:right="3588"/>
              <w:spacing w:after="0"/>
              <w:rPr>
                <w:sz w:val="20"/>
                <w:szCs w:val="20"/>
                <w:color w:val="auto"/>
              </w:rPr>
            </w:pPr>
            <w:r>
              <w:rPr>
                <w:rFonts w:ascii="Arial" w:cs="Arial" w:eastAsia="Arial" w:hAnsi="Arial"/>
                <w:sz w:val="15"/>
                <w:szCs w:val="15"/>
                <w:color w:val="auto"/>
              </w:rPr>
              <w:t>328</w:t>
            </w:r>
          </w:p>
        </w:tc>
        <w:tc>
          <w:tcPr>
            <w:tcW w:w="1160" w:type="dxa"/>
            <w:vAlign w:val="bottom"/>
            <w:tcBorders>
              <w:bottom w:val="single" w:sz="8" w:color="auto"/>
            </w:tcBorders>
            <w:gridSpan w:val="2"/>
          </w:tcPr>
          <w:p>
            <w:pPr>
              <w:jc w:val="right"/>
              <w:ind w:right="148"/>
              <w:spacing w:after="0" w:line="212" w:lineRule="exact"/>
              <w:rPr>
                <w:sz w:val="20"/>
                <w:szCs w:val="20"/>
                <w:color w:val="auto"/>
              </w:rPr>
            </w:pPr>
            <w:r>
              <w:rPr>
                <w:rFonts w:ascii="Arial" w:cs="Arial" w:eastAsia="Arial" w:hAnsi="Arial"/>
                <w:sz w:val="19"/>
                <w:szCs w:val="19"/>
                <w:color w:val="auto"/>
              </w:rPr>
              <w:t xml:space="preserve">100 </w:t>
            </w: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100 %</w:t>
            </w:r>
          </w:p>
        </w:tc>
        <w:tc>
          <w:tcPr>
            <w:tcW w:w="0" w:type="dxa"/>
            <w:vAlign w:val="bottom"/>
          </w:tcPr>
          <w:p>
            <w:pPr>
              <w:spacing w:after="0"/>
              <w:rPr>
                <w:sz w:val="1"/>
                <w:szCs w:val="1"/>
                <w:color w:val="auto"/>
              </w:rPr>
            </w:pPr>
          </w:p>
        </w:tc>
      </w:tr>
      <w:tr>
        <w:trPr>
          <w:trHeight w:val="438"/>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Six months ended June 30,</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1608"/>
              <w:spacing w:after="0"/>
              <w:rPr>
                <w:sz w:val="20"/>
                <w:szCs w:val="20"/>
                <w:color w:val="auto"/>
              </w:rPr>
            </w:pPr>
            <w:r>
              <w:rPr>
                <w:rFonts w:ascii="Arial" w:cs="Arial" w:eastAsia="Arial" w:hAnsi="Arial"/>
                <w:sz w:val="13"/>
                <w:szCs w:val="13"/>
                <w:color w:val="auto"/>
              </w:rPr>
              <w:t>2010</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47"/>
              <w:spacing w:after="0" w:line="212" w:lineRule="exact"/>
              <w:rPr>
                <w:sz w:val="20"/>
                <w:szCs w:val="20"/>
                <w:color w:val="auto"/>
              </w:rPr>
            </w:pPr>
            <w:r>
              <w:rPr>
                <w:rFonts w:ascii="Arial" w:cs="Arial" w:eastAsia="Arial" w:hAnsi="Arial"/>
                <w:sz w:val="13"/>
                <w:szCs w:val="13"/>
                <w:color w:val="auto"/>
                <w:w w:val="97"/>
              </w:rPr>
              <w:t xml:space="preserve">2009 </w:t>
            </w:r>
            <w:r>
              <w:rPr>
                <w:rFonts w:ascii="Arial" w:cs="Arial" w:eastAsia="Arial" w:hAnsi="Arial"/>
                <w:sz w:val="19"/>
                <w:szCs w:val="19"/>
                <w:color w:val="auto"/>
                <w:w w:val="97"/>
              </w:rPr>
              <w:t>&lt; /p&gt;</w:t>
            </w:r>
          </w:p>
        </w:tc>
        <w:tc>
          <w:tcPr>
            <w:tcW w:w="0" w:type="dxa"/>
            <w:vAlign w:val="bottom"/>
          </w:tcPr>
          <w:p>
            <w:pPr>
              <w:spacing w:after="0"/>
              <w:rPr>
                <w:sz w:val="1"/>
                <w:szCs w:val="1"/>
                <w:color w:val="auto"/>
              </w:rPr>
            </w:pPr>
          </w:p>
        </w:tc>
      </w:tr>
      <w:tr>
        <w:trPr>
          <w:trHeight w:val="164"/>
        </w:trPr>
        <w:tc>
          <w:tcPr>
            <w:tcW w:w="3000" w:type="dxa"/>
            <w:vAlign w:val="bottom"/>
            <w:gridSpan w:val="4"/>
          </w:tcPr>
          <w:p>
            <w:pPr>
              <w:spacing w:after="0" w:line="164" w:lineRule="exact"/>
              <w:rPr>
                <w:sz w:val="20"/>
                <w:szCs w:val="20"/>
                <w:color w:val="auto"/>
              </w:rPr>
            </w:pPr>
            <w:r>
              <w:rPr>
                <w:rFonts w:ascii="Arial" w:cs="Arial" w:eastAsia="Arial" w:hAnsi="Arial"/>
                <w:sz w:val="15"/>
                <w:szCs w:val="15"/>
                <w:color w:val="auto"/>
                <w:w w:val="97"/>
              </w:rPr>
              <w:t>EXPENDITURES FOR PROPERTY PLANT &amp;</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5"/>
                <w:szCs w:val="15"/>
                <w:color w:val="auto"/>
              </w:rPr>
              <w:t>EQUIPMENT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SDG&amp;E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522</w:t>
            </w:r>
          </w:p>
        </w:tc>
        <w:tc>
          <w:tcPr>
            <w:tcW w:w="1160" w:type="dxa"/>
            <w:vAlign w:val="bottom"/>
            <w:gridSpan w:val="2"/>
          </w:tcPr>
          <w:p>
            <w:pPr>
              <w:jc w:val="right"/>
              <w:ind w:right="148"/>
              <w:spacing w:after="0"/>
              <w:rPr>
                <w:sz w:val="20"/>
                <w:szCs w:val="20"/>
                <w:color w:val="auto"/>
              </w:rPr>
            </w:pPr>
            <w:r>
              <w:rPr>
                <w:rFonts w:ascii="Arial" w:cs="Arial" w:eastAsia="Arial" w:hAnsi="Arial"/>
                <w:sz w:val="15"/>
                <w:szCs w:val="15"/>
                <w:color w:val="auto"/>
              </w:rPr>
              <w:t>62 %$</w:t>
            </w:r>
          </w:p>
        </w:tc>
        <w:tc>
          <w:tcPr>
            <w:tcW w:w="600" w:type="dxa"/>
            <w:vAlign w:val="bottom"/>
          </w:tcPr>
          <w:p>
            <w:pPr>
              <w:jc w:val="right"/>
              <w:spacing w:after="0"/>
              <w:rPr>
                <w:sz w:val="20"/>
                <w:szCs w:val="20"/>
                <w:color w:val="auto"/>
              </w:rPr>
            </w:pPr>
            <w:r>
              <w:rPr>
                <w:rFonts w:ascii="Arial" w:cs="Arial" w:eastAsia="Arial" w:hAnsi="Arial"/>
                <w:sz w:val="15"/>
                <w:szCs w:val="15"/>
                <w:color w:val="auto"/>
              </w:rPr>
              <w:t>443</w:t>
            </w:r>
          </w:p>
        </w:tc>
        <w:tc>
          <w:tcPr>
            <w:tcW w:w="480" w:type="dxa"/>
            <w:vAlign w:val="bottom"/>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Arial" w:cs="Arial" w:eastAsia="Arial" w:hAnsi="Arial"/>
                <w:sz w:val="15"/>
                <w:szCs w:val="15"/>
                <w:color w:val="auto"/>
              </w:rPr>
              <w:t>SoC alGas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vMerge w:val="restart"/>
          </w:tcPr>
          <w:p>
            <w:pPr>
              <w:spacing w:after="0"/>
              <w:rPr>
                <w:sz w:val="20"/>
                <w:szCs w:val="20"/>
                <w:color w:val="auto"/>
              </w:rPr>
            </w:pPr>
            <w:r>
              <w:rPr>
                <w:rFonts w:ascii="Arial" w:cs="Arial" w:eastAsia="Arial" w:hAnsi="Arial"/>
                <w:sz w:val="19"/>
                <w:szCs w:val="19"/>
                <w:color w:val="auto"/>
              </w:rPr>
              <w:t>&amp;nb</w:t>
            </w:r>
          </w:p>
        </w:tc>
        <w:tc>
          <w:tcPr>
            <w:tcW w:w="4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216</w:t>
            </w: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26</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227</w:t>
            </w:r>
          </w:p>
        </w:tc>
        <w:tc>
          <w:tcPr>
            <w:tcW w:w="600" w:type="dxa"/>
            <w:vAlign w:val="bottom"/>
          </w:tcPr>
          <w:p>
            <w:pPr>
              <w:jc w:val="right"/>
              <w:spacing w:after="0"/>
              <w:rPr>
                <w:sz w:val="20"/>
                <w:szCs w:val="20"/>
                <w:color w:val="auto"/>
              </w:rPr>
            </w:pPr>
            <w:r>
              <w:rPr>
                <w:rFonts w:ascii="Arial" w:cs="Arial" w:eastAsia="Arial" w:hAnsi="Arial"/>
                <w:sz w:val="15"/>
                <w:szCs w:val="15"/>
                <w:color w:val="auto"/>
              </w:rPr>
              <w:t>24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60" w:type="dxa"/>
            <w:vAlign w:val="bottom"/>
          </w:tcPr>
          <w:p>
            <w:pPr>
              <w:ind w:left="120"/>
              <w:spacing w:after="0"/>
              <w:rPr>
                <w:sz w:val="20"/>
                <w:szCs w:val="20"/>
                <w:color w:val="auto"/>
              </w:rPr>
            </w:pPr>
            <w:r>
              <w:rPr>
                <w:rFonts w:ascii="Arial" w:cs="Arial" w:eastAsia="Arial" w:hAnsi="Arial"/>
                <w:sz w:val="15"/>
                <w:szCs w:val="15"/>
                <w:color w:val="auto"/>
              </w:rPr>
              <w:t>Sempra Generation</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9"/>
                <w:szCs w:val="19"/>
                <w:color w:val="auto"/>
              </w:rPr>
              <w:t>sp;</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5</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1"/>
        </w:trPr>
        <w:tc>
          <w:tcPr>
            <w:tcW w:w="2460" w:type="dxa"/>
            <w:vAlign w:val="bottom"/>
          </w:tcPr>
          <w:p>
            <w:pPr>
              <w:ind w:left="120"/>
              <w:spacing w:after="0"/>
              <w:rPr>
                <w:sz w:val="20"/>
                <w:szCs w:val="20"/>
                <w:color w:val="auto"/>
              </w:rPr>
            </w:pPr>
            <w:r>
              <w:rPr>
                <w:rFonts w:ascii="Arial" w:cs="Arial" w:eastAsia="Arial" w:hAnsi="Arial"/>
                <w:sz w:val="15"/>
                <w:szCs w:val="15"/>
                <w:color w:val="auto"/>
              </w:rPr>
              <w:t>Sempra Pipelines &amp; Storage</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90</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116</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48"/>
        </w:trPr>
        <w:tc>
          <w:tcPr>
            <w:tcW w:w="2460" w:type="dxa"/>
            <w:vAlign w:val="bottom"/>
          </w:tcPr>
          <w:p>
            <w:pPr>
              <w:ind w:left="120"/>
              <w:spacing w:after="0"/>
              <w:rPr>
                <w:sz w:val="20"/>
                <w:szCs w:val="20"/>
                <w:color w:val="auto"/>
              </w:rPr>
            </w:pPr>
            <w:r>
              <w:rPr>
                <w:rFonts w:ascii="Arial" w:cs="Arial" w:eastAsia="Arial" w:hAnsi="Arial"/>
                <w:sz w:val="15"/>
                <w:szCs w:val="15"/>
                <w:color w:val="auto"/>
              </w:rPr>
              <w:t>Sempra LNG</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4</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600" w:type="dxa"/>
            <w:vAlign w:val="bottom"/>
          </w:tcPr>
          <w:p>
            <w:pPr>
              <w:jc w:val="right"/>
              <w:ind w:right="6"/>
              <w:spacing w:after="0"/>
              <w:rPr>
                <w:sz w:val="20"/>
                <w:szCs w:val="20"/>
                <w:color w:val="auto"/>
              </w:rPr>
            </w:pPr>
            <w:r>
              <w:rPr>
                <w:rFonts w:ascii="Arial" w:cs="Arial" w:eastAsia="Arial" w:hAnsi="Arial"/>
                <w:sz w:val="19"/>
                <w:szCs w:val="19"/>
                <w:color w:val="auto"/>
              </w:rPr>
              <w:t>142</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10"/>
        </w:trPr>
        <w:tc>
          <w:tcPr>
            <w:tcW w:w="2460" w:type="dxa"/>
            <w:vAlign w:val="bottom"/>
          </w:tcPr>
          <w:p>
            <w:pPr>
              <w:ind w:left="120"/>
              <w:spacing w:after="0"/>
              <w:rPr>
                <w:sz w:val="20"/>
                <w:szCs w:val="20"/>
                <w:color w:val="auto"/>
              </w:rPr>
            </w:pPr>
            <w:r>
              <w:rPr>
                <w:rFonts w:ascii="Arial" w:cs="Arial" w:eastAsia="Arial" w:hAnsi="Arial"/>
                <w:sz w:val="15"/>
                <w:szCs w:val="15"/>
                <w:color w:val="auto"/>
              </w:rPr>
              <w:t>All 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3588"/>
              <w:spacing w:after="0"/>
              <w:rPr>
                <w:sz w:val="20"/>
                <w:szCs w:val="20"/>
                <w:color w:val="auto"/>
              </w:rPr>
            </w:pPr>
            <w:r>
              <w:rPr>
                <w:rFonts w:ascii="Arial" w:cs="Arial" w:eastAsia="Arial" w:hAnsi="Arial"/>
                <w:sz w:val="15"/>
                <w:szCs w:val="15"/>
                <w:color w:val="auto"/>
              </w:rPr>
              <w:t>2</w:t>
            </w: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4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Borders>
              <w:bottom w:val="single" w:sz="8" w:color="auto"/>
            </w:tcBorders>
          </w:tcPr>
          <w:p>
            <w:pPr>
              <w:jc w:val="right"/>
              <w:ind w:right="3588"/>
              <w:spacing w:after="0"/>
              <w:rPr>
                <w:sz w:val="20"/>
                <w:szCs w:val="20"/>
                <w:color w:val="auto"/>
              </w:rPr>
            </w:pPr>
            <w:r>
              <w:rPr>
                <w:rFonts w:ascii="Arial" w:cs="Arial" w:eastAsia="Arial" w:hAnsi="Arial"/>
                <w:sz w:val="15"/>
                <w:szCs w:val="15"/>
                <w:color w:val="auto"/>
              </w:rPr>
              <w:t>839</w:t>
            </w:r>
          </w:p>
        </w:tc>
        <w:tc>
          <w:tcPr>
            <w:tcW w:w="11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5"/>
                <w:szCs w:val="15"/>
                <w:color w:val="auto"/>
              </w:rPr>
              <w:t>100 %$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100 %</w:t>
            </w:r>
          </w:p>
        </w:tc>
        <w:tc>
          <w:tcPr>
            <w:tcW w:w="0" w:type="dxa"/>
            <w:vAlign w:val="bottom"/>
          </w:tcPr>
          <w:p>
            <w:pPr>
              <w:spacing w:after="0"/>
              <w:rPr>
                <w:sz w:val="1"/>
                <w:szCs w:val="1"/>
                <w:color w:val="auto"/>
              </w:rPr>
            </w:pPr>
          </w:p>
        </w:tc>
      </w:tr>
      <w:tr>
        <w:trPr>
          <w:trHeight w:val="438"/>
        </w:trPr>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1328"/>
              <w:spacing w:after="0"/>
              <w:rPr>
                <w:sz w:val="20"/>
                <w:szCs w:val="20"/>
                <w:color w:val="auto"/>
              </w:rPr>
            </w:pPr>
            <w:r>
              <w:rPr>
                <w:rFonts w:ascii="Arial" w:cs="Arial" w:eastAsia="Arial" w:hAnsi="Arial"/>
                <w:sz w:val="13"/>
                <w:szCs w:val="13"/>
                <w:color w:val="auto"/>
              </w:rPr>
              <w:t>June 30, 2010</w:t>
            </w: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color w:val="auto"/>
              </w:rPr>
              <w:t>December 31, 2009</w:t>
            </w:r>
          </w:p>
        </w:tc>
        <w:tc>
          <w:tcPr>
            <w:tcW w:w="0" w:type="dxa"/>
            <w:vAlign w:val="bottom"/>
          </w:tcPr>
          <w:p>
            <w:pPr>
              <w:spacing w:after="0"/>
              <w:rPr>
                <w:sz w:val="1"/>
                <w:szCs w:val="1"/>
                <w:color w:val="auto"/>
              </w:rPr>
            </w:pPr>
          </w:p>
        </w:tc>
      </w:tr>
      <w:tr>
        <w:trPr>
          <w:trHeight w:val="219"/>
        </w:trPr>
        <w:tc>
          <w:tcPr>
            <w:tcW w:w="2460" w:type="dxa"/>
            <w:vAlign w:val="bottom"/>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 xml:space="preserve">36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5"/>
                <w:szCs w:val="15"/>
                <w:color w:val="auto"/>
              </w:rPr>
              <w:t>SDG&amp;E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10,727</w:t>
            </w:r>
          </w:p>
        </w:tc>
        <w:tc>
          <w:tcPr>
            <w:tcW w:w="1160" w:type="dxa"/>
            <w:vAlign w:val="bottom"/>
            <w:gridSpan w:val="2"/>
          </w:tcPr>
          <w:p>
            <w:pPr>
              <w:jc w:val="right"/>
              <w:ind w:right="148"/>
              <w:spacing w:after="0"/>
              <w:rPr>
                <w:sz w:val="20"/>
                <w:szCs w:val="20"/>
                <w:color w:val="auto"/>
              </w:rPr>
            </w:pPr>
            <w:r>
              <w:rPr>
                <w:rFonts w:ascii="Arial" w:cs="Arial" w:eastAsia="Arial" w:hAnsi="Arial"/>
                <w:sz w:val="15"/>
                <w:szCs w:val="15"/>
                <w:color w:val="auto"/>
              </w:rPr>
              <w:t>37 %$</w:t>
            </w:r>
          </w:p>
        </w:tc>
        <w:tc>
          <w:tcPr>
            <w:tcW w:w="600" w:type="dxa"/>
            <w:vAlign w:val="bottom"/>
          </w:tcPr>
          <w:p>
            <w:pPr>
              <w:jc w:val="right"/>
              <w:spacing w:after="0"/>
              <w:rPr>
                <w:sz w:val="20"/>
                <w:szCs w:val="20"/>
                <w:color w:val="auto"/>
              </w:rPr>
            </w:pPr>
            <w:r>
              <w:rPr>
                <w:rFonts w:ascii="Arial" w:cs="Arial" w:eastAsia="Arial" w:hAnsi="Arial"/>
                <w:sz w:val="15"/>
                <w:szCs w:val="15"/>
                <w:color w:val="auto"/>
              </w:rPr>
              <w:t>10,229</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60" w:type="dxa"/>
            <w:vAlign w:val="bottom"/>
          </w:tcPr>
          <w:p>
            <w:pPr>
              <w:ind w:left="120"/>
              <w:spacing w:after="0"/>
              <w:rPr>
                <w:sz w:val="20"/>
                <w:szCs w:val="20"/>
                <w:color w:val="auto"/>
              </w:rPr>
            </w:pPr>
            <w:r>
              <w:rPr>
                <w:rFonts w:ascii="Arial" w:cs="Arial" w:eastAsia="Arial" w:hAnsi="Arial"/>
                <w:sz w:val="15"/>
                <w:szCs w:val="15"/>
                <w:color w:val="auto"/>
              </w:rPr>
              <w:t>SoCalGas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Pr>
          <w:p>
            <w:pPr>
              <w:jc w:val="right"/>
              <w:ind w:right="3588"/>
              <w:spacing w:after="0"/>
              <w:rPr>
                <w:sz w:val="20"/>
                <w:szCs w:val="20"/>
                <w:color w:val="auto"/>
              </w:rPr>
            </w:pPr>
            <w:r>
              <w:rPr>
                <w:rFonts w:ascii="Arial" w:cs="Arial" w:eastAsia="Arial" w:hAnsi="Arial"/>
                <w:sz w:val="15"/>
                <w:szCs w:val="15"/>
                <w:color w:val="auto"/>
              </w:rPr>
              <w:t>7, 362</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25</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7,287</w:t>
            </w:r>
          </w:p>
        </w:tc>
        <w:tc>
          <w:tcPr>
            <w:tcW w:w="480" w:type="dxa"/>
            <w:vAlign w:val="bottom"/>
          </w:tcPr>
          <w:p>
            <w:pPr>
              <w:jc w:val="right"/>
              <w:ind w:right="147"/>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bl>
    <w:p>
      <w:pPr>
        <w:ind w:left="5583" w:right="1540" w:firstLine="6"/>
        <w:spacing w:after="0" w:line="255" w:lineRule="auto"/>
        <w:tabs>
          <w:tab w:leader="none" w:pos="5741"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p style="MARGIN:0in 0in 0pt; TEXT-ALIGN:right" align=right&gt; </w:t>
      </w:r>
      <w:r>
        <w:rPr>
          <w:rFonts w:ascii="Arial" w:cs="Arial" w:eastAsia="Arial" w:hAnsi="Arial"/>
          <w:sz w:val="14"/>
          <w:szCs w:val="14"/>
          <w:color w:val="auto"/>
        </w:rPr>
        <w:t>7</w:t>
      </w:r>
    </w:p>
    <w:p>
      <w:pPr>
        <w:spacing w:after="0" w:line="3" w:lineRule="exact"/>
        <w:rPr>
          <w:sz w:val="20"/>
          <w:szCs w:val="20"/>
          <w:color w:val="auto"/>
        </w:rPr>
      </w:pPr>
    </w:p>
    <w:tbl>
      <w:tblPr>
        <w:tblLayout w:type="fixed"/>
        <w:tblInd w:w="3" w:type="dxa"/>
        <w:tblCellMar>
          <w:top w:w="0" w:type="dxa"/>
          <w:left w:w="0" w:type="dxa"/>
          <w:bottom w:w="0" w:type="dxa"/>
          <w:right w:w="0" w:type="dxa"/>
        </w:tblCellMar>
      </w:tblPr>
      <w:tr>
        <w:trPr>
          <w:trHeight w:val="176"/>
        </w:trPr>
        <w:tc>
          <w:tcPr>
            <w:tcW w:w="3600" w:type="dxa"/>
            <w:vAlign w:val="bottom"/>
          </w:tcPr>
          <w:p>
            <w:pPr>
              <w:ind w:left="120"/>
              <w:spacing w:after="0"/>
              <w:rPr>
                <w:sz w:val="20"/>
                <w:szCs w:val="20"/>
                <w:color w:val="auto"/>
              </w:rPr>
            </w:pPr>
            <w:r>
              <w:rPr>
                <w:rFonts w:ascii="Arial" w:cs="Arial" w:eastAsia="Arial" w:hAnsi="Arial"/>
                <w:sz w:val="15"/>
                <w:szCs w:val="15"/>
                <w:color w:val="auto"/>
              </w:rPr>
              <w:t>Sempra Commodities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2,141</w:t>
            </w:r>
          </w:p>
        </w:tc>
        <w:tc>
          <w:tcPr>
            <w:tcW w:w="26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2,255</w:t>
            </w:r>
          </w:p>
        </w:tc>
        <w:tc>
          <w:tcPr>
            <w:tcW w:w="300" w:type="dxa"/>
            <w:vAlign w:val="bottom"/>
          </w:tcPr>
          <w:p>
            <w:pPr>
              <w:jc w:val="right"/>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5"/>
                <w:szCs w:val="15"/>
                <w:color w:val="auto"/>
              </w:rPr>
            </w:pPr>
          </w:p>
        </w:tc>
      </w:tr>
      <w:tr>
        <w:trPr>
          <w:trHeight w:val="219"/>
        </w:trPr>
        <w:tc>
          <w:tcPr>
            <w:tcW w:w="3600" w:type="dxa"/>
            <w:vAlign w:val="bottom"/>
          </w:tcPr>
          <w:p>
            <w:pPr>
              <w:ind w:left="120"/>
              <w:spacing w:after="0"/>
              <w:rPr>
                <w:sz w:val="20"/>
                <w:szCs w:val="20"/>
                <w:color w:val="auto"/>
              </w:rPr>
            </w:pPr>
            <w:r>
              <w:rPr>
                <w:rFonts w:ascii="Arial" w:cs="Arial" w:eastAsia="Arial" w:hAnsi="Arial"/>
                <w:sz w:val="15"/>
                <w:szCs w:val="15"/>
                <w:color w:val="auto"/>
              </w:rPr>
              <w:t>Sempra Generation</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2,281</w:t>
            </w:r>
          </w:p>
        </w:tc>
        <w:tc>
          <w:tcPr>
            <w:tcW w:w="2680" w:type="dxa"/>
            <w:vAlign w:val="bottom"/>
          </w:tcPr>
          <w:p>
            <w:pPr>
              <w:jc w:val="right"/>
              <w:ind w:right="327"/>
              <w:spacing w:after="0"/>
              <w:rPr>
                <w:sz w:val="20"/>
                <w:szCs w:val="20"/>
                <w:color w:val="auto"/>
              </w:rPr>
            </w:pPr>
            <w:r>
              <w:rPr>
                <w:rFonts w:ascii="Arial" w:cs="Arial" w:eastAsia="Arial" w:hAnsi="Arial"/>
                <w:sz w:val="15"/>
                <w:szCs w:val="15"/>
                <w:color w:val="auto"/>
              </w:rPr>
              <w:t>8</w:t>
            </w:r>
          </w:p>
        </w:tc>
        <w:tc>
          <w:tcPr>
            <w:tcW w:w="660" w:type="dxa"/>
            <w:vAlign w:val="bottom"/>
          </w:tcPr>
          <w:p>
            <w:pPr>
              <w:jc w:val="right"/>
              <w:spacing w:after="0"/>
              <w:rPr>
                <w:sz w:val="20"/>
                <w:szCs w:val="20"/>
                <w:color w:val="auto"/>
              </w:rPr>
            </w:pPr>
            <w:r>
              <w:rPr>
                <w:rFonts w:ascii="Arial" w:cs="Arial" w:eastAsia="Arial" w:hAnsi="Arial"/>
                <w:sz w:val="15"/>
                <w:szCs w:val="15"/>
                <w:color w:val="auto"/>
              </w:rPr>
              <w:t>2,048</w:t>
            </w:r>
          </w:p>
        </w:tc>
        <w:tc>
          <w:tcPr>
            <w:tcW w:w="300" w:type="dxa"/>
            <w:vAlign w:val="bottom"/>
          </w:tcPr>
          <w:p>
            <w:pPr>
              <w:jc w:val="right"/>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9"/>
                <w:szCs w:val="19"/>
                <w:color w:val="auto"/>
              </w:rPr>
            </w:pPr>
          </w:p>
        </w:tc>
      </w:tr>
      <w:tr>
        <w:trPr>
          <w:trHeight w:val="219"/>
        </w:trPr>
        <w:tc>
          <w:tcPr>
            <w:tcW w:w="3600" w:type="dxa"/>
            <w:vAlign w:val="bottom"/>
          </w:tcPr>
          <w:p>
            <w:pPr>
              <w:ind w:left="120"/>
              <w:spacing w:after="0"/>
              <w:rPr>
                <w:sz w:val="20"/>
                <w:szCs w:val="20"/>
                <w:color w:val="auto"/>
              </w:rPr>
            </w:pPr>
            <w:r>
              <w:rPr>
                <w:rFonts w:ascii="Arial" w:cs="Arial" w:eastAsia="Arial" w:hAnsi="Arial"/>
                <w:sz w:val="15"/>
                <w:szCs w:val="15"/>
                <w:color w:val="auto"/>
              </w:rPr>
              <w:t>Sempra Pipelines &amp; Storage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4,948</w:t>
            </w:r>
          </w:p>
        </w:tc>
        <w:tc>
          <w:tcPr>
            <w:tcW w:w="2680" w:type="dxa"/>
            <w:vAlign w:val="bottom"/>
          </w:tcPr>
          <w:p>
            <w:pPr>
              <w:jc w:val="right"/>
              <w:ind w:right="327"/>
              <w:spacing w:after="0"/>
              <w:rPr>
                <w:sz w:val="20"/>
                <w:szCs w:val="20"/>
                <w:color w:val="auto"/>
              </w:rPr>
            </w:pPr>
            <w:r>
              <w:rPr>
                <w:rFonts w:ascii="Arial" w:cs="Arial" w:eastAsia="Arial" w:hAnsi="Arial"/>
                <w:sz w:val="15"/>
                <w:szCs w:val="15"/>
                <w:color w:val="auto"/>
              </w:rPr>
              <w:t>17</w:t>
            </w:r>
          </w:p>
        </w:tc>
        <w:tc>
          <w:tcPr>
            <w:tcW w:w="660" w:type="dxa"/>
            <w:vAlign w:val="bottom"/>
          </w:tcPr>
          <w:p>
            <w:pPr>
              <w:jc w:val="right"/>
              <w:spacing w:after="0"/>
              <w:rPr>
                <w:sz w:val="20"/>
                <w:szCs w:val="20"/>
                <w:color w:val="auto"/>
              </w:rPr>
            </w:pPr>
            <w:r>
              <w:rPr>
                <w:rFonts w:ascii="Arial" w:cs="Arial" w:eastAsia="Arial" w:hAnsi="Arial"/>
                <w:sz w:val="15"/>
                <w:szCs w:val="15"/>
                <w:color w:val="auto"/>
              </w:rPr>
              <w:t>4,485</w:t>
            </w:r>
          </w:p>
        </w:tc>
        <w:tc>
          <w:tcPr>
            <w:tcW w:w="300" w:type="dxa"/>
            <w:vAlign w:val="bottom"/>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9"/>
                <w:szCs w:val="19"/>
                <w:color w:val="auto"/>
              </w:rPr>
            </w:pPr>
          </w:p>
        </w:tc>
      </w:tr>
      <w:tr>
        <w:trPr>
          <w:trHeight w:val="219"/>
        </w:trPr>
        <w:tc>
          <w:tcPr>
            <w:tcW w:w="3600" w:type="dxa"/>
            <w:vAlign w:val="bottom"/>
          </w:tcPr>
          <w:p>
            <w:pPr>
              <w:ind w:left="120"/>
              <w:spacing w:after="0"/>
              <w:rPr>
                <w:sz w:val="20"/>
                <w:szCs w:val="20"/>
                <w:color w:val="auto"/>
              </w:rPr>
            </w:pPr>
            <w:r>
              <w:rPr>
                <w:rFonts w:ascii="Arial" w:cs="Arial" w:eastAsia="Arial" w:hAnsi="Arial"/>
                <w:sz w:val="15"/>
                <w:szCs w:val="15"/>
                <w:color w:val="auto"/>
              </w:rPr>
              <w:t>Sempra LNG</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2,292</w:t>
            </w:r>
          </w:p>
        </w:tc>
        <w:tc>
          <w:tcPr>
            <w:tcW w:w="2680" w:type="dxa"/>
            <w:vAlign w:val="bottom"/>
          </w:tcPr>
          <w:p>
            <w:pPr>
              <w:jc w:val="right"/>
              <w:ind w:right="327"/>
              <w:spacing w:after="0"/>
              <w:rPr>
                <w:sz w:val="20"/>
                <w:szCs w:val="20"/>
                <w:color w:val="auto"/>
              </w:rPr>
            </w:pPr>
            <w:r>
              <w:rPr>
                <w:rFonts w:ascii="Arial" w:cs="Arial" w:eastAsia="Arial" w:hAnsi="Arial"/>
                <w:sz w:val="15"/>
                <w:szCs w:val="15"/>
                <w:color w:val="auto"/>
              </w:rPr>
              <w:t>8</w:t>
            </w:r>
          </w:p>
        </w:tc>
        <w:tc>
          <w:tcPr>
            <w:tcW w:w="660" w:type="dxa"/>
            <w:vAlign w:val="bottom"/>
          </w:tcPr>
          <w:p>
            <w:pPr>
              <w:jc w:val="right"/>
              <w:spacing w:after="0"/>
              <w:rPr>
                <w:sz w:val="20"/>
                <w:szCs w:val="20"/>
                <w:color w:val="auto"/>
              </w:rPr>
            </w:pPr>
            <w:r>
              <w:rPr>
                <w:rFonts w:ascii="Arial" w:cs="Arial" w:eastAsia="Arial" w:hAnsi="Arial"/>
                <w:sz w:val="15"/>
                <w:szCs w:val="15"/>
                <w:color w:val="auto"/>
              </w:rPr>
              <w:t>2,277</w:t>
            </w:r>
          </w:p>
        </w:tc>
        <w:tc>
          <w:tcPr>
            <w:tcW w:w="300" w:type="dxa"/>
            <w:vAlign w:val="bottom"/>
          </w:tcPr>
          <w:p>
            <w:pPr>
              <w:jc w:val="right"/>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9"/>
                <w:szCs w:val="19"/>
                <w:color w:val="auto"/>
              </w:rPr>
            </w:pPr>
          </w:p>
        </w:tc>
      </w:tr>
      <w:tr>
        <w:trPr>
          <w:trHeight w:val="219"/>
        </w:trPr>
        <w:tc>
          <w:tcPr>
            <w:tcW w:w="3600" w:type="dxa"/>
            <w:vAlign w:val="bottom"/>
          </w:tcPr>
          <w:p>
            <w:pPr>
              <w:ind w:left="120"/>
              <w:spacing w:after="0"/>
              <w:rPr>
                <w:sz w:val="20"/>
                <w:szCs w:val="20"/>
                <w:color w:val="auto"/>
              </w:rPr>
            </w:pPr>
            <w:r>
              <w:rPr>
                <w:rFonts w:ascii="Arial" w:cs="Arial" w:eastAsia="Arial" w:hAnsi="Arial"/>
                <w:sz w:val="15"/>
                <w:szCs w:val="15"/>
                <w:color w:val="auto"/>
              </w:rPr>
              <w:t>All other</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618</w:t>
            </w:r>
          </w:p>
        </w:tc>
        <w:tc>
          <w:tcPr>
            <w:tcW w:w="2680" w:type="dxa"/>
            <w:vAlign w:val="bottom"/>
          </w:tcPr>
          <w:p>
            <w:pPr>
              <w:jc w:val="right"/>
              <w:ind w:right="327"/>
              <w:spacing w:after="0"/>
              <w:rPr>
                <w:sz w:val="20"/>
                <w:szCs w:val="20"/>
                <w:color w:val="auto"/>
              </w:rPr>
            </w:pP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5"/>
                <w:szCs w:val="15"/>
                <w:color w:val="auto"/>
              </w:rPr>
              <w:t>596</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9"/>
                <w:szCs w:val="19"/>
                <w:color w:val="auto"/>
              </w:rPr>
            </w:pPr>
          </w:p>
        </w:tc>
      </w:tr>
      <w:tr>
        <w:trPr>
          <w:trHeight w:val="212"/>
        </w:trPr>
        <w:tc>
          <w:tcPr>
            <w:tcW w:w="3600" w:type="dxa"/>
            <w:vAlign w:val="bottom"/>
          </w:tcPr>
          <w:p>
            <w:pPr>
              <w:ind w:left="120"/>
              <w:spacing w:after="0"/>
              <w:rPr>
                <w:sz w:val="20"/>
                <w:szCs w:val="20"/>
                <w:color w:val="auto"/>
              </w:rPr>
            </w:pPr>
            <w:r>
              <w:rPr>
                <w:rFonts w:ascii="Arial" w:cs="Arial" w:eastAsia="Arial" w:hAnsi="Arial"/>
                <w:sz w:val="15"/>
                <w:szCs w:val="15"/>
                <w:color w:val="auto"/>
              </w:rPr>
              <w:t>Intersegment receivables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1967"/>
              <w:spacing w:after="0"/>
              <w:rPr>
                <w:sz w:val="20"/>
                <w:szCs w:val="20"/>
                <w:color w:val="auto"/>
              </w:rPr>
            </w:pPr>
            <w:r>
              <w:rPr>
                <w:rFonts w:ascii="Arial" w:cs="Arial" w:eastAsia="Arial" w:hAnsi="Arial"/>
                <w:sz w:val="15"/>
                <w:szCs w:val="15"/>
                <w:color w:val="auto"/>
              </w:rPr>
              <w:t>(1,283)</w:t>
            </w:r>
          </w:p>
        </w:tc>
        <w:tc>
          <w:tcPr>
            <w:tcW w:w="268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rPr>
              <w:t>(4)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w:t>
            </w: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(2)</w:t>
            </w:r>
          </w:p>
        </w:tc>
      </w:tr>
      <w:tr>
        <w:trPr>
          <w:trHeight w:val="216"/>
        </w:trPr>
        <w:tc>
          <w:tcPr>
            <w:tcW w:w="36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2007"/>
              <w:spacing w:after="0"/>
              <w:rPr>
                <w:sz w:val="20"/>
                <w:szCs w:val="20"/>
                <w:color w:val="auto"/>
              </w:rPr>
            </w:pPr>
            <w:r>
              <w:rPr>
                <w:rFonts w:ascii="Arial" w:cs="Arial" w:eastAsia="Arial" w:hAnsi="Arial"/>
                <w:sz w:val="15"/>
                <w:szCs w:val="15"/>
                <w:color w:val="auto"/>
              </w:rPr>
              <w:t>29,086</w:t>
            </w:r>
          </w:p>
        </w:tc>
        <w:tc>
          <w:tcPr>
            <w:tcW w:w="26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100 %$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28,512</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98"/>
              </w:rPr>
              <w:t>100 %</w:t>
            </w:r>
          </w:p>
        </w:tc>
      </w:tr>
      <w:tr>
        <w:trPr>
          <w:trHeight w:val="172"/>
        </w:trPr>
        <w:tc>
          <w:tcPr>
            <w:tcW w:w="3600" w:type="dxa"/>
            <w:vAlign w:val="bottom"/>
          </w:tcPr>
          <w:p>
            <w:pPr>
              <w:spacing w:after="0"/>
              <w:rPr>
                <w:sz w:val="20"/>
                <w:szCs w:val="20"/>
                <w:color w:val="auto"/>
              </w:rPr>
            </w:pPr>
            <w:r>
              <w:rPr>
                <w:rFonts w:ascii="Arial" w:cs="Arial" w:eastAsia="Arial" w:hAnsi="Arial"/>
                <w:sz w:val="15"/>
                <w:szCs w:val="15"/>
                <w:color w:val="auto"/>
              </w:rPr>
              <w:t>INVESTMENTS IN EQUITY METHOD</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3"/>
        </w:trPr>
        <w:tc>
          <w:tcPr>
            <w:tcW w:w="3600" w:type="dxa"/>
            <w:vAlign w:val="bottom"/>
          </w:tcPr>
          <w:p>
            <w:pPr>
              <w:spacing w:after="0" w:line="163" w:lineRule="exact"/>
              <w:rPr>
                <w:sz w:val="20"/>
                <w:szCs w:val="20"/>
                <w:color w:val="auto"/>
              </w:rPr>
            </w:pPr>
            <w:r>
              <w:rPr>
                <w:rFonts w:ascii="Arial" w:cs="Arial" w:eastAsia="Arial" w:hAnsi="Arial"/>
                <w:sz w:val="15"/>
                <w:szCs w:val="15"/>
                <w:color w:val="auto"/>
              </w:rPr>
              <w:t>INVESTEES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4"/>
        </w:trPr>
        <w:tc>
          <w:tcPr>
            <w:tcW w:w="3600" w:type="dxa"/>
            <w:vAlign w:val="bottom"/>
          </w:tcPr>
          <w:p>
            <w:pPr>
              <w:ind w:left="160"/>
              <w:spacing w:after="0"/>
              <w:rPr>
                <w:sz w:val="20"/>
                <w:szCs w:val="20"/>
                <w:color w:val="auto"/>
              </w:rPr>
            </w:pPr>
            <w:r>
              <w:rPr>
                <w:rFonts w:ascii="Arial" w:cs="Arial" w:eastAsia="Arial" w:hAnsi="Arial"/>
                <w:sz w:val="19"/>
                <w:szCs w:val="19"/>
                <w:color w:val="auto"/>
              </w:rPr>
              <w:t>Sempra Commodities</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1,956</w:t>
            </w:r>
          </w:p>
        </w:tc>
        <w:tc>
          <w:tcPr>
            <w:tcW w:w="26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2,172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7"/>
        </w:trPr>
        <w:tc>
          <w:tcPr>
            <w:tcW w:w="3600" w:type="dxa"/>
            <w:vAlign w:val="bottom"/>
          </w:tcPr>
          <w:p>
            <w:pPr>
              <w:ind w:left="120"/>
              <w:spacing w:after="0"/>
              <w:rPr>
                <w:sz w:val="20"/>
                <w:szCs w:val="20"/>
                <w:color w:val="auto"/>
              </w:rPr>
            </w:pPr>
            <w:r>
              <w:rPr>
                <w:rFonts w:ascii="Arial" w:cs="Arial" w:eastAsia="Arial" w:hAnsi="Arial"/>
                <w:sz w:val="15"/>
                <w:szCs w:val="15"/>
                <w:color w:val="auto"/>
              </w:rPr>
              <w:t>Sempra Generation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428</w:t>
            </w:r>
          </w:p>
        </w:tc>
        <w:tc>
          <w:tcPr>
            <w:tcW w:w="2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3600" w:type="dxa"/>
            <w:vAlign w:val="bottom"/>
          </w:tcPr>
          <w:p>
            <w:pPr>
              <w:ind w:left="120"/>
              <w:spacing w:after="0"/>
              <w:rPr>
                <w:sz w:val="20"/>
                <w:szCs w:val="20"/>
                <w:color w:val="auto"/>
              </w:rPr>
            </w:pPr>
            <w:r>
              <w:rPr>
                <w:rFonts w:ascii="Arial" w:cs="Arial" w:eastAsia="Arial" w:hAnsi="Arial"/>
                <w:sz w:val="15"/>
                <w:szCs w:val="15"/>
                <w:color w:val="auto"/>
              </w:rPr>
              <w:t>Sempra Pipelines &amp; Storage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tcPr>
          <w:p>
            <w:pPr>
              <w:jc w:val="right"/>
              <w:ind w:right="2007"/>
              <w:spacing w:after="0"/>
              <w:rPr>
                <w:sz w:val="20"/>
                <w:szCs w:val="20"/>
                <w:color w:val="auto"/>
              </w:rPr>
            </w:pPr>
            <w:r>
              <w:rPr>
                <w:rFonts w:ascii="Arial" w:cs="Arial" w:eastAsia="Arial" w:hAnsi="Arial"/>
                <w:sz w:val="15"/>
                <w:szCs w:val="15"/>
                <w:color w:val="auto"/>
              </w:rPr>
              <w:t>1,721</w:t>
            </w:r>
          </w:p>
        </w:tc>
        <w:tc>
          <w:tcPr>
            <w:tcW w:w="2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1,429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3600" w:type="dxa"/>
            <w:vAlign w:val="bottom"/>
          </w:tcPr>
          <w:p>
            <w:pPr>
              <w:ind w:left="120"/>
              <w:spacing w:after="0"/>
              <w:rPr>
                <w:sz w:val="20"/>
                <w:szCs w:val="20"/>
                <w:color w:val="auto"/>
              </w:rPr>
            </w:pPr>
            <w:r>
              <w:rPr>
                <w:rFonts w:ascii="Arial" w:cs="Arial" w:eastAsia="Arial" w:hAnsi="Arial"/>
                <w:sz w:val="15"/>
                <w:szCs w:val="15"/>
                <w:color w:val="auto"/>
              </w:rPr>
              <w:t>All other</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2007"/>
              <w:spacing w:after="0"/>
              <w:rPr>
                <w:sz w:val="20"/>
                <w:szCs w:val="20"/>
                <w:color w:val="auto"/>
              </w:rPr>
            </w:pPr>
            <w:r>
              <w:rPr>
                <w:rFonts w:ascii="Arial" w:cs="Arial" w:eastAsia="Arial" w:hAnsi="Arial"/>
                <w:sz w:val="15"/>
                <w:szCs w:val="15"/>
                <w:color w:val="auto"/>
              </w:rPr>
              <w:t>19</w:t>
            </w:r>
          </w:p>
        </w:tc>
        <w:tc>
          <w:tcPr>
            <w:tcW w:w="2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36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2007"/>
              <w:spacing w:after="0"/>
              <w:rPr>
                <w:sz w:val="20"/>
                <w:szCs w:val="20"/>
                <w:color w:val="auto"/>
              </w:rPr>
            </w:pPr>
            <w:r>
              <w:rPr>
                <w:rFonts w:ascii="Arial" w:cs="Arial" w:eastAsia="Arial" w:hAnsi="Arial"/>
                <w:sz w:val="15"/>
                <w:szCs w:val="15"/>
                <w:color w:val="auto"/>
              </w:rPr>
              <w:t>4,124</w:t>
            </w:r>
          </w:p>
        </w:tc>
        <w:tc>
          <w:tcPr>
            <w:tcW w:w="26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4,056</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bl>
    <w:p>
      <w:pPr>
        <w:spacing w:after="0" w:line="63"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(1) After preferred dividends.</w:t>
      </w:r>
    </w:p>
    <w:p>
      <w:pPr>
        <w:spacing w:after="0" w:line="139" w:lineRule="exact"/>
        <w:rPr>
          <w:sz w:val="20"/>
          <w:szCs w:val="20"/>
          <w:color w:val="auto"/>
        </w:rPr>
      </w:pPr>
    </w:p>
    <w:p>
      <w:pPr>
        <w:ind w:left="3" w:right="980"/>
        <w:spacing w:after="0" w:line="274" w:lineRule="auto"/>
        <w:rPr>
          <w:sz w:val="20"/>
          <w:szCs w:val="20"/>
          <w:color w:val="auto"/>
        </w:rPr>
      </w:pPr>
      <w:r>
        <w:rPr>
          <w:rFonts w:ascii="Arial" w:cs="Arial" w:eastAsia="Arial" w:hAnsi="Arial"/>
          <w:sz w:val="22"/>
          <w:szCs w:val="22"/>
          <w:i w:val="1"/>
          <w:iCs w:val="1"/>
          <w:color w:val="auto"/>
        </w:rPr>
        <w:t>ITEM 2. MANAGEMENT'S DISCUSSION AND ANALYSIS OF FINANCIAL CONDITION AND RESULTS OF OPERATIONS</w:t>
      </w:r>
    </w:p>
    <w:p>
      <w:pPr>
        <w:spacing w:after="0" w:line="109" w:lineRule="exact"/>
        <w:rPr>
          <w:sz w:val="20"/>
          <w:szCs w:val="20"/>
          <w:color w:val="auto"/>
        </w:rPr>
      </w:pPr>
    </w:p>
    <w:p>
      <w:pPr>
        <w:ind w:left="3" w:right="20"/>
        <w:spacing w:after="0" w:line="265" w:lineRule="auto"/>
        <w:rPr>
          <w:sz w:val="20"/>
          <w:szCs w:val="20"/>
          <w:color w:val="auto"/>
        </w:rPr>
      </w:pPr>
      <w:r>
        <w:rPr>
          <w:rFonts w:ascii="Arial" w:cs="Arial" w:eastAsia="Arial" w:hAnsi="Arial"/>
          <w:sz w:val="16"/>
          <w:szCs w:val="16"/>
          <w:i w:val="1"/>
          <w:iCs w:val="1"/>
          <w:color w:val="auto"/>
        </w:rPr>
        <w:t>You should read the followin g discussion in conjunction with the financial statements contained in this Form 10-Q, "Management's Discussion and Analysis of Financial Condition and Results of Operations" contained in our 2009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599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OVERVIEW</w:t>
      </w:r>
    </w:p>
    <w:p>
      <w:pPr>
        <w:sectPr>
          <w:pgSz w:w="11900" w:h="16838" w:orient="portrait"/>
          <w:cols w:equalWidth="0" w:num="1">
            <w:col w:w="11443"/>
          </w:cols>
          <w:pgMar w:left="237" w:top="131" w:right="219" w:bottom="0" w:gutter="0" w:footer="0" w:header="0"/>
          <w:type w:val="continuous"/>
        </w:sectPr>
      </w:pPr>
    </w:p>
    <w:p>
      <w:pPr>
        <w:spacing w:after="0" w:line="100" w:lineRule="exact"/>
        <w:rPr>
          <w:sz w:val="20"/>
          <w:szCs w:val="20"/>
          <w:color w:val="auto"/>
        </w:rPr>
      </w:pPr>
    </w:p>
    <w:p>
      <w:pPr>
        <w:ind w:left="3" w:right="160"/>
        <w:spacing w:after="0" w:line="350" w:lineRule="auto"/>
        <w:rPr>
          <w:sz w:val="20"/>
          <w:szCs w:val="20"/>
          <w:color w:val="auto"/>
        </w:rPr>
      </w:pPr>
      <w:r>
        <w:rPr>
          <w:rFonts w:ascii="Arial" w:cs="Arial" w:eastAsia="Arial" w:hAnsi="Arial"/>
          <w:sz w:val="14"/>
          <w:szCs w:val="14"/>
          <w:i w:val="1"/>
          <w:iCs w:val="1"/>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w:t>
      </w:r>
    </w:p>
    <w:p>
      <w:pPr>
        <w:sectPr>
          <w:pgSz w:w="11900" w:h="16838" w:orient="portrait"/>
          <w:cols w:equalWidth="0" w:num="1">
            <w:col w:w="11443"/>
          </w:cols>
          <w:pgMar w:left="237" w:top="131" w:right="219" w:bottom="0" w:gutter="0" w:footer="0" w:header="0"/>
          <w:type w:val="continuous"/>
        </w:sectPr>
      </w:pPr>
    </w:p>
    <w:bookmarkStart w:id="40" w:name="page41"/>
    <w:bookmarkEnd w:id="40"/>
    <w:p>
      <w:pPr>
        <w:ind w:right="40"/>
        <w:spacing w:after="0" w:line="276" w:lineRule="auto"/>
        <w:rPr>
          <w:sz w:val="20"/>
          <w:szCs w:val="20"/>
          <w:color w:val="auto"/>
        </w:rPr>
      </w:pPr>
      <w:r>
        <w:rPr>
          <w:rFonts w:ascii="Arial" w:cs="Arial" w:eastAsia="Arial" w:hAnsi="Arial"/>
          <w:sz w:val="16"/>
          <w:szCs w:val="16"/>
          <w:i w:val="1"/>
          <w:iCs w:val="1"/>
          <w:color w:val="auto"/>
        </w:rPr>
        <w:t>Diego Gas &amp; Electric Company (SDG&amp;E) and 2) South ern California Gas Company (SoCalGas). Sempra Global consists of businesses engaged in providing energy products and services.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report includes information for the following separate registrants:</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§Sempra Energy and its consolidated entities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§SDG&amp;E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§Pacific Enterprises (PE), the holding company for SoCalGas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§SoCalGas</w:t>
      </w:r>
    </w:p>
    <w:p>
      <w:pPr>
        <w:spacing w:after="0" w:line="157"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i w:val="1"/>
          <w:iCs w:val="1"/>
          <w:color w:val="auto"/>
        </w:rPr>
        <w:t>References in this report to "we," "our" and "Sempra Energy Consoli dated" are to Sempra Energy and its consolidated entities, collectively, unless otherwise indicated by the context.</w:t>
      </w:r>
    </w:p>
    <w:p>
      <w:pPr>
        <w:spacing w:after="0" w:line="64" w:lineRule="exact"/>
        <w:rPr>
          <w:sz w:val="20"/>
          <w:szCs w:val="20"/>
          <w:color w:val="auto"/>
        </w:rPr>
      </w:pPr>
    </w:p>
    <w:p>
      <w:pPr>
        <w:ind w:right="720"/>
        <w:spacing w:after="0" w:line="276" w:lineRule="auto"/>
        <w:rPr>
          <w:sz w:val="20"/>
          <w:szCs w:val="20"/>
          <w:color w:val="auto"/>
        </w:rPr>
      </w:pPr>
      <w:r>
        <w:rPr>
          <w:rFonts w:ascii="Arial" w:cs="Arial" w:eastAsia="Arial" w:hAnsi="Arial"/>
          <w:sz w:val="16"/>
          <w:szCs w:val="16"/>
          <w:i w:val="1"/>
          <w:iCs w:val="1"/>
          <w:color w:val="auto"/>
        </w:rPr>
        <w:t>PE's operations consist solely of those of SoCalGas and additional items (e.g., cash, intercompany accounts and equity) attributable to serving as a holding company for SoCalGas.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Below are the summary descriptions of our operating business units.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BUSINESS UNITS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337185</wp:posOffset>
            </wp:positionV>
            <wp:extent cx="7259955" cy="185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955" cy="18542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820" w:type="dxa"/>
            <w:vAlign w:val="bottom"/>
          </w:tcPr>
          <w:p>
            <w:pPr>
              <w:spacing w:after="0"/>
              <w:rPr>
                <w:sz w:val="22"/>
                <w:szCs w:val="22"/>
                <w:color w:val="auto"/>
              </w:rPr>
            </w:pPr>
          </w:p>
        </w:tc>
        <w:tc>
          <w:tcPr>
            <w:tcW w:w="3820" w:type="dxa"/>
            <w:vAlign w:val="bottom"/>
          </w:tcPr>
          <w:p>
            <w:pPr>
              <w:ind w:left="1640"/>
              <w:spacing w:after="0"/>
              <w:rPr>
                <w:sz w:val="20"/>
                <w:szCs w:val="20"/>
                <w:color w:val="auto"/>
              </w:rPr>
            </w:pPr>
            <w:r>
              <w:rPr>
                <w:rFonts w:ascii="Arial" w:cs="Arial" w:eastAsia="Arial" w:hAnsi="Arial"/>
                <w:sz w:val="13"/>
                <w:szCs w:val="13"/>
                <w:b w:val="1"/>
                <w:bCs w:val="1"/>
                <w:color w:val="auto"/>
              </w:rPr>
              <w:t>MARKET</w:t>
            </w:r>
          </w:p>
        </w:tc>
        <w:tc>
          <w:tcPr>
            <w:tcW w:w="3800" w:type="dxa"/>
            <w:vAlign w:val="bottom"/>
          </w:tcPr>
          <w:p>
            <w:pPr>
              <w:ind w:left="1020"/>
              <w:spacing w:after="0"/>
              <w:rPr>
                <w:sz w:val="20"/>
                <w:szCs w:val="20"/>
                <w:color w:val="auto"/>
              </w:rPr>
            </w:pPr>
            <w:r>
              <w:rPr>
                <w:rFonts w:ascii="Arial" w:cs="Arial" w:eastAsia="Arial" w:hAnsi="Arial"/>
                <w:sz w:val="13"/>
                <w:szCs w:val="13"/>
                <w:b w:val="1"/>
                <w:bCs w:val="1"/>
                <w:color w:val="auto"/>
              </w:rPr>
              <w:t xml:space="preserve">SERVICE </w:t>
            </w:r>
            <w:r>
              <w:rPr>
                <w:rFonts w:ascii="Arial" w:cs="Arial" w:eastAsia="Arial" w:hAnsi="Arial"/>
                <w:sz w:val="19"/>
                <w:szCs w:val="19"/>
                <w:b w:val="1"/>
                <w:bCs w:val="1"/>
                <w:color w:val="auto"/>
              </w:rPr>
              <w:t>&lt; /b&gt;</w:t>
            </w:r>
            <w:r>
              <w:rPr>
                <w:rFonts w:ascii="Arial" w:cs="Arial" w:eastAsia="Arial" w:hAnsi="Arial"/>
                <w:sz w:val="13"/>
                <w:szCs w:val="13"/>
                <w:b w:val="1"/>
                <w:bCs w:val="1"/>
                <w:color w:val="auto"/>
              </w:rPr>
              <w:t>TERRITORY</w:t>
            </w:r>
          </w:p>
        </w:tc>
        <w:tc>
          <w:tcPr>
            <w:tcW w:w="0" w:type="dxa"/>
            <w:vAlign w:val="bottom"/>
          </w:tcPr>
          <w:p>
            <w:pPr>
              <w:spacing w:after="0"/>
              <w:rPr>
                <w:sz w:val="1"/>
                <w:szCs w:val="1"/>
                <w:color w:val="auto"/>
              </w:rPr>
            </w:pPr>
          </w:p>
        </w:tc>
      </w:tr>
      <w:tr>
        <w:trPr>
          <w:trHeight w:val="52"/>
        </w:trPr>
        <w:tc>
          <w:tcPr>
            <w:tcW w:w="382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SAN DIEGO GAS &amp; ELECTRIC COMPANY</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§Provides electricity to 3.5 million consumers (1.4</w:t>
            </w:r>
          </w:p>
        </w:tc>
        <w:tc>
          <w:tcPr>
            <w:tcW w:w="3800" w:type="dxa"/>
            <w:vAlign w:val="bottom"/>
          </w:tcPr>
          <w:p>
            <w:pPr>
              <w:ind w:left="60"/>
              <w:spacing w:after="0"/>
              <w:rPr>
                <w:sz w:val="20"/>
                <w:szCs w:val="20"/>
                <w:color w:val="auto"/>
              </w:rPr>
            </w:pPr>
            <w:r>
              <w:rPr>
                <w:rFonts w:ascii="Arial" w:cs="Arial" w:eastAsia="Arial" w:hAnsi="Arial"/>
                <w:sz w:val="15"/>
                <w:szCs w:val="15"/>
                <w:color w:val="auto"/>
              </w:rPr>
              <w:t>Serves the county of San Diego, CA and an adjacent</w:t>
            </w:r>
          </w:p>
        </w:tc>
        <w:tc>
          <w:tcPr>
            <w:tcW w:w="0" w:type="dxa"/>
            <w:vAlign w:val="bottom"/>
          </w:tcPr>
          <w:p>
            <w:pPr>
              <w:spacing w:after="0"/>
              <w:rPr>
                <w:sz w:val="1"/>
                <w:szCs w:val="1"/>
                <w:color w:val="auto"/>
              </w:rPr>
            </w:pPr>
          </w:p>
        </w:tc>
      </w:tr>
      <w:tr>
        <w:trPr>
          <w:trHeight w:val="177"/>
        </w:trPr>
        <w:tc>
          <w:tcPr>
            <w:tcW w:w="382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6"/>
                <w:szCs w:val="16"/>
                <w:b w:val="1"/>
                <w:bCs w:val="1"/>
                <w:color w:val="auto"/>
              </w:rPr>
              <w:t>(SDG&amp;E)</w:t>
            </w:r>
          </w:p>
        </w:tc>
        <w:tc>
          <w:tcPr>
            <w:tcW w:w="382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6"/>
                <w:szCs w:val="16"/>
                <w:color w:val="auto"/>
              </w:rPr>
              <w:t>million meters)</w:t>
            </w:r>
          </w:p>
        </w:tc>
        <w:tc>
          <w:tcPr>
            <w:tcW w:w="3800" w:type="dxa"/>
            <w:vAlign w:val="bottom"/>
          </w:tcPr>
          <w:p>
            <w:pPr>
              <w:ind w:left="60"/>
              <w:spacing w:after="0"/>
              <w:rPr>
                <w:sz w:val="20"/>
                <w:szCs w:val="20"/>
                <w:color w:val="auto"/>
              </w:rPr>
            </w:pPr>
            <w:r>
              <w:rPr>
                <w:rFonts w:ascii="Arial" w:cs="Arial" w:eastAsia="Arial" w:hAnsi="Arial"/>
                <w:sz w:val="15"/>
                <w:szCs w:val="15"/>
                <w:color w:val="auto"/>
              </w:rPr>
              <w:t>portion of southern Orange County covering 4,100</w:t>
            </w:r>
          </w:p>
        </w:tc>
        <w:tc>
          <w:tcPr>
            <w:tcW w:w="0" w:type="dxa"/>
            <w:vAlign w:val="bottom"/>
          </w:tcPr>
          <w:p>
            <w:pPr>
              <w:spacing w:after="0"/>
              <w:rPr>
                <w:sz w:val="1"/>
                <w:szCs w:val="1"/>
                <w:color w:val="auto"/>
              </w:rPr>
            </w:pPr>
          </w:p>
        </w:tc>
      </w:tr>
      <w:tr>
        <w:trPr>
          <w:trHeight w:val="195"/>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 regulated public utility; infrastructure supports</w:t>
            </w:r>
          </w:p>
        </w:tc>
        <w:tc>
          <w:tcPr>
            <w:tcW w:w="3820" w:type="dxa"/>
            <w:vAlign w:val="bottom"/>
            <w:tcBorders>
              <w:right w:val="single" w:sz="8" w:color="auto"/>
            </w:tcBorders>
          </w:tcPr>
          <w:p>
            <w:pPr>
              <w:spacing w:after="0"/>
              <w:rPr>
                <w:sz w:val="16"/>
                <w:szCs w:val="16"/>
                <w:color w:val="auto"/>
              </w:rPr>
            </w:pPr>
          </w:p>
        </w:tc>
        <w:tc>
          <w:tcPr>
            <w:tcW w:w="3800" w:type="dxa"/>
            <w:vAlign w:val="bottom"/>
          </w:tcPr>
          <w:p>
            <w:pPr>
              <w:ind w:left="60"/>
              <w:spacing w:after="0"/>
              <w:rPr>
                <w:sz w:val="20"/>
                <w:szCs w:val="20"/>
                <w:color w:val="auto"/>
              </w:rPr>
            </w:pPr>
            <w:r>
              <w:rPr>
                <w:rFonts w:ascii="Arial" w:cs="Arial" w:eastAsia="Arial" w:hAnsi="Arial"/>
                <w:sz w:val="15"/>
                <w:szCs w:val="15"/>
                <w:color w:val="auto"/>
              </w:rPr>
              <w:t>square miles</w:t>
            </w:r>
          </w:p>
        </w:tc>
        <w:tc>
          <w:tcPr>
            <w:tcW w:w="0" w:type="dxa"/>
            <w:vAlign w:val="bottom"/>
          </w:tcPr>
          <w:p>
            <w:pPr>
              <w:spacing w:after="0"/>
              <w:rPr>
                <w:sz w:val="1"/>
                <w:szCs w:val="1"/>
                <w:color w:val="auto"/>
              </w:rPr>
            </w:pPr>
          </w:p>
        </w:tc>
      </w:tr>
      <w:tr>
        <w:trPr>
          <w:trHeight w:val="181"/>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electric generation, transmission and distribution, and</w:t>
            </w:r>
          </w:p>
        </w:tc>
        <w:tc>
          <w:tcPr>
            <w:tcW w:w="3820" w:type="dxa"/>
            <w:vAlign w:val="bottom"/>
            <w:tcBorders>
              <w:right w:val="single" w:sz="8" w:color="auto"/>
            </w:tcBorders>
          </w:tcPr>
          <w:p>
            <w:pPr>
              <w:ind w:left="240"/>
              <w:spacing w:after="0" w:line="181" w:lineRule="exact"/>
              <w:rPr>
                <w:sz w:val="20"/>
                <w:szCs w:val="20"/>
                <w:color w:val="auto"/>
              </w:rPr>
            </w:pPr>
            <w:r>
              <w:rPr>
                <w:rFonts w:ascii="Arial" w:cs="Arial" w:eastAsia="Arial" w:hAnsi="Arial"/>
                <w:sz w:val="16"/>
                <w:szCs w:val="16"/>
                <w:color w:val="auto"/>
              </w:rPr>
              <w:t>§Provides natural gas to 3.2 million consumers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natural gas distribution</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(845,000 meters)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3820" w:type="dxa"/>
            <w:vAlign w:val="bottom"/>
            <w:tcBorders>
              <w:right w:val="single" w:sz="8" w:color="auto"/>
            </w:tcBorders>
          </w:tcPr>
          <w:p>
            <w:pPr>
              <w:spacing w:after="0"/>
              <w:rPr>
                <w:sz w:val="5"/>
                <w:szCs w:val="5"/>
                <w:color w:val="auto"/>
              </w:rPr>
            </w:pPr>
          </w:p>
        </w:tc>
        <w:tc>
          <w:tcPr>
            <w:tcW w:w="3820" w:type="dxa"/>
            <w:vAlign w:val="bottom"/>
            <w:tcBorders>
              <w:right w:val="single" w:sz="8" w:color="auto"/>
            </w:tcBorders>
            <w:vMerge w:val="continue"/>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820" w:type="dxa"/>
            <w:vAlign w:val="bottom"/>
            <w:tcBorders>
              <w:bottom w:val="single" w:sz="8" w:color="auto"/>
              <w:right w:val="single" w:sz="8" w:color="auto"/>
            </w:tcBorders>
          </w:tcPr>
          <w:p>
            <w:pPr>
              <w:spacing w:after="0"/>
              <w:rPr>
                <w:sz w:val="7"/>
                <w:szCs w:val="7"/>
                <w:color w:val="auto"/>
              </w:rPr>
            </w:pPr>
          </w:p>
        </w:tc>
        <w:tc>
          <w:tcPr>
            <w:tcW w:w="3820" w:type="dxa"/>
            <w:vAlign w:val="bottom"/>
            <w:tcBorders>
              <w:bottom w:val="single" w:sz="8" w:color="auto"/>
              <w:right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SOUTHERN CALIFORNIA GAS COMPANY</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§Residential, commercial, industrial, utility</w:t>
            </w:r>
          </w:p>
        </w:tc>
        <w:tc>
          <w:tcPr>
            <w:tcW w:w="3800" w:type="dxa"/>
            <w:vAlign w:val="bottom"/>
          </w:tcPr>
          <w:p>
            <w:pPr>
              <w:ind w:left="60"/>
              <w:spacing w:after="0"/>
              <w:rPr>
                <w:sz w:val="20"/>
                <w:szCs w:val="20"/>
                <w:color w:val="auto"/>
              </w:rPr>
            </w:pPr>
            <w:r>
              <w:rPr>
                <w:rFonts w:ascii="Arial" w:cs="Arial" w:eastAsia="Arial" w:hAnsi="Arial"/>
                <w:sz w:val="15"/>
                <w:szCs w:val="15"/>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2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6"/>
                <w:szCs w:val="16"/>
                <w:b w:val="1"/>
                <w:bCs w:val="1"/>
                <w:color w:val="auto"/>
              </w:rPr>
              <w:t>(SOCALGAS)</w:t>
            </w:r>
          </w:p>
        </w:tc>
        <w:tc>
          <w:tcPr>
            <w:tcW w:w="3820" w:type="dxa"/>
            <w:vAlign w:val="bottom"/>
            <w:tcBorders>
              <w:right w:val="single" w:sz="8" w:color="auto"/>
            </w:tcBorders>
          </w:tcPr>
          <w:p>
            <w:pPr>
              <w:ind w:left="240"/>
              <w:spacing w:after="0" w:line="178" w:lineRule="exact"/>
              <w:rPr>
                <w:sz w:val="20"/>
                <w:szCs w:val="20"/>
                <w:color w:val="auto"/>
              </w:rPr>
            </w:pPr>
            <w:r>
              <w:rPr>
                <w:rFonts w:ascii="Arial" w:cs="Arial" w:eastAsia="Arial" w:hAnsi="Arial"/>
                <w:sz w:val="16"/>
                <w:szCs w:val="16"/>
                <w:color w:val="auto"/>
              </w:rPr>
              <w:t>electric generation and wh olesale customers</w:t>
            </w:r>
          </w:p>
        </w:tc>
        <w:tc>
          <w:tcPr>
            <w:tcW w:w="3800" w:type="dxa"/>
            <w:vAlign w:val="bottom"/>
          </w:tcPr>
          <w:p>
            <w:pPr>
              <w:ind w:left="60"/>
              <w:spacing w:after="0"/>
              <w:rPr>
                <w:sz w:val="20"/>
                <w:szCs w:val="20"/>
                <w:color w:val="auto"/>
              </w:rPr>
            </w:pPr>
            <w:r>
              <w:rPr>
                <w:rFonts w:ascii="Arial" w:cs="Arial" w:eastAsia="Arial" w:hAnsi="Arial"/>
                <w:sz w:val="15"/>
                <w:szCs w:val="15"/>
                <w:color w:val="auto"/>
              </w:rPr>
              <w:t>(excluding San Diego County, the city of Long Beach</w:t>
            </w:r>
          </w:p>
        </w:tc>
        <w:tc>
          <w:tcPr>
            <w:tcW w:w="0" w:type="dxa"/>
            <w:vAlign w:val="bottom"/>
          </w:tcPr>
          <w:p>
            <w:pPr>
              <w:spacing w:after="0"/>
              <w:rPr>
                <w:sz w:val="1"/>
                <w:szCs w:val="1"/>
                <w:color w:val="auto"/>
              </w:rPr>
            </w:pPr>
          </w:p>
        </w:tc>
      </w:tr>
      <w:tr>
        <w:trPr>
          <w:trHeight w:val="170"/>
        </w:trPr>
        <w:tc>
          <w:tcPr>
            <w:tcW w:w="38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A regulated public utility; infrastructure supports natural</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§Covers a population of 20.7 million (5.8 million</w:t>
            </w:r>
          </w:p>
        </w:tc>
        <w:tc>
          <w:tcPr>
            <w:tcW w:w="3800" w:type="dxa"/>
            <w:vAlign w:val="bottom"/>
          </w:tcPr>
          <w:p>
            <w:pPr>
              <w:ind w:left="60"/>
              <w:spacing w:after="0" w:line="171" w:lineRule="exact"/>
              <w:rPr>
                <w:sz w:val="20"/>
                <w:szCs w:val="20"/>
                <w:color w:val="auto"/>
              </w:rPr>
            </w:pPr>
            <w:r>
              <w:rPr>
                <w:rFonts w:ascii="Arial" w:cs="Arial" w:eastAsia="Arial" w:hAnsi="Arial"/>
                <w:sz w:val="15"/>
                <w:szCs w:val="15"/>
                <w:color w:val="auto"/>
              </w:rPr>
              <w:t>and the desert area of San Bernardino County)</w:t>
            </w:r>
          </w:p>
        </w:tc>
        <w:tc>
          <w:tcPr>
            <w:tcW w:w="0" w:type="dxa"/>
            <w:vAlign w:val="bottom"/>
          </w:tcPr>
          <w:p>
            <w:pPr>
              <w:spacing w:after="0"/>
              <w:rPr>
                <w:sz w:val="1"/>
                <w:szCs w:val="1"/>
                <w:color w:val="auto"/>
              </w:rPr>
            </w:pPr>
          </w:p>
        </w:tc>
      </w:tr>
      <w:tr>
        <w:trPr>
          <w:trHeight w:val="105"/>
        </w:trPr>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gas distribution, transmission and storage</w:t>
            </w:r>
          </w:p>
        </w:tc>
        <w:tc>
          <w:tcPr>
            <w:tcW w:w="3820" w:type="dxa"/>
            <w:vAlign w:val="bottom"/>
            <w:tcBorders>
              <w:right w:val="single" w:sz="8" w:color="auto"/>
            </w:tcBorders>
            <w:vMerge w:val="continue"/>
          </w:tcPr>
          <w:p>
            <w:pPr>
              <w:spacing w:after="0"/>
              <w:rPr>
                <w:sz w:val="9"/>
                <w:szCs w:val="9"/>
                <w:color w:val="auto"/>
              </w:rPr>
            </w:pPr>
          </w:p>
        </w:tc>
        <w:tc>
          <w:tcPr>
            <w:tcW w:w="3800" w:type="dxa"/>
            <w:vAlign w:val="bottom"/>
            <w:vMerge w:val="restart"/>
          </w:tcPr>
          <w:p>
            <w:pPr>
              <w:ind w:left="60"/>
              <w:spacing w:after="0"/>
              <w:rPr>
                <w:sz w:val="20"/>
                <w:szCs w:val="20"/>
                <w:color w:val="auto"/>
              </w:rPr>
            </w:pPr>
            <w:r>
              <w:rPr>
                <w:rFonts w:ascii="Arial" w:cs="Arial" w:eastAsia="Arial" w:hAnsi="Arial"/>
                <w:sz w:val="15"/>
                <w:szCs w:val="15"/>
                <w:color w:val="auto"/>
              </w:rPr>
              <w:t>covering 20,000 square miles</w:t>
            </w:r>
          </w:p>
        </w:tc>
        <w:tc>
          <w:tcPr>
            <w:tcW w:w="0" w:type="dxa"/>
            <w:vAlign w:val="bottom"/>
          </w:tcPr>
          <w:p>
            <w:pPr>
              <w:spacing w:after="0"/>
              <w:rPr>
                <w:sz w:val="1"/>
                <w:szCs w:val="1"/>
                <w:color w:val="auto"/>
              </w:rPr>
            </w:pPr>
          </w:p>
        </w:tc>
      </w:tr>
      <w:tr>
        <w:trPr>
          <w:trHeight w:val="95"/>
        </w:trPr>
        <w:tc>
          <w:tcPr>
            <w:tcW w:w="3820" w:type="dxa"/>
            <w:vAlign w:val="bottom"/>
            <w:tcBorders>
              <w:right w:val="single" w:sz="8" w:color="auto"/>
            </w:tcBorders>
            <w:vMerge w:val="continue"/>
          </w:tcPr>
          <w:p>
            <w:pPr>
              <w:spacing w:after="0"/>
              <w:rPr>
                <w:sz w:val="8"/>
                <w:szCs w:val="8"/>
                <w:color w:val="auto"/>
              </w:rPr>
            </w:pP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meters)</w:t>
            </w: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20" w:type="dxa"/>
            <w:vAlign w:val="bottom"/>
            <w:tcBorders>
              <w:right w:val="single" w:sz="8" w:color="auto"/>
            </w:tcBorders>
          </w:tcPr>
          <w:p>
            <w:pPr>
              <w:spacing w:after="0"/>
              <w:rPr>
                <w:sz w:val="8"/>
                <w:szCs w:val="8"/>
                <w:color w:val="auto"/>
              </w:rPr>
            </w:pPr>
          </w:p>
        </w:tc>
        <w:tc>
          <w:tcPr>
            <w:tcW w:w="3820" w:type="dxa"/>
            <w:vAlign w:val="bottom"/>
            <w:tcBorders>
              <w:right w:val="single" w:sz="8" w:color="auto"/>
            </w:tcBorders>
            <w:vMerge w:val="continue"/>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820" w:type="dxa"/>
            <w:vAlign w:val="bottom"/>
            <w:tcBorders>
              <w:bottom w:val="single" w:sz="8" w:color="C0C0C0"/>
              <w:right w:val="single" w:sz="8" w:color="auto"/>
            </w:tcBorders>
          </w:tcPr>
          <w:p>
            <w:pPr>
              <w:spacing w:after="0"/>
              <w:rPr>
                <w:sz w:val="10"/>
                <w:szCs w:val="10"/>
                <w:color w:val="auto"/>
              </w:rPr>
            </w:pPr>
          </w:p>
        </w:tc>
        <w:tc>
          <w:tcPr>
            <w:tcW w:w="3820" w:type="dxa"/>
            <w:vAlign w:val="bottom"/>
            <w:tcBorders>
              <w:bottom w:val="single" w:sz="8" w:color="C0C0C0"/>
              <w:right w:val="single" w:sz="8" w:color="auto"/>
            </w:tcBorders>
          </w:tcPr>
          <w:p>
            <w:pPr>
              <w:spacing w:after="0"/>
              <w:rPr>
                <w:sz w:val="10"/>
                <w:szCs w:val="10"/>
                <w:color w:val="auto"/>
              </w:rPr>
            </w:pPr>
          </w:p>
        </w:tc>
        <w:tc>
          <w:tcPr>
            <w:tcW w:w="3800" w:type="dxa"/>
            <w:vAlign w:val="bottom"/>
            <w:tcBorders>
              <w:bottom w:val="single" w:sz="8" w:color="C0C0C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i w:val="1"/>
          <w:iCs w:val="1"/>
          <w:color w:val="auto"/>
        </w:rPr>
        <w:t>Sempra Global is a holding company for most of our subsidiaries that are not subject to California utility regulation. Sempra Global's principal business units, which provide energy-related products and services, are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§Sempra Commodities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§Sempra Generation</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§Sempra Pipelines &amp; Storage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59955" cy="185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955" cy="185420"/>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SEMPRA GLOBAL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3820" w:type="dxa"/>
            <w:vAlign w:val="bottom"/>
          </w:tcPr>
          <w:p>
            <w:pPr>
              <w:ind w:left="1640"/>
              <w:spacing w:after="0"/>
              <w:rPr>
                <w:sz w:val="20"/>
                <w:szCs w:val="20"/>
                <w:color w:val="auto"/>
              </w:rPr>
            </w:pPr>
            <w:r>
              <w:rPr>
                <w:rFonts w:ascii="Arial" w:cs="Arial" w:eastAsia="Arial" w:hAnsi="Arial"/>
                <w:sz w:val="13"/>
                <w:szCs w:val="13"/>
                <w:b w:val="1"/>
                <w:bCs w:val="1"/>
                <w:color w:val="auto"/>
              </w:rPr>
              <w:t>MARKET</w:t>
            </w:r>
          </w:p>
        </w:tc>
        <w:tc>
          <w:tcPr>
            <w:tcW w:w="3800" w:type="dxa"/>
            <w:vAlign w:val="bottom"/>
          </w:tcPr>
          <w:p>
            <w:pPr>
              <w:ind w:left="1180"/>
              <w:spacing w:after="0"/>
              <w:rPr>
                <w:sz w:val="20"/>
                <w:szCs w:val="20"/>
                <w:color w:val="auto"/>
              </w:rPr>
            </w:pPr>
            <w:r>
              <w:rPr>
                <w:rFonts w:ascii="Arial" w:cs="Arial" w:eastAsia="Arial" w:hAnsi="Arial"/>
                <w:sz w:val="13"/>
                <w:szCs w:val="13"/>
                <w:b w:val="1"/>
                <w:bCs w:val="1"/>
                <w:color w:val="auto"/>
              </w:rPr>
              <w:t>GEOGRAPHIC REGION</w:t>
            </w:r>
          </w:p>
        </w:tc>
        <w:tc>
          <w:tcPr>
            <w:tcW w:w="0" w:type="dxa"/>
            <w:vAlign w:val="bottom"/>
          </w:tcPr>
          <w:p>
            <w:pPr>
              <w:spacing w:after="0"/>
              <w:rPr>
                <w:sz w:val="1"/>
                <w:szCs w:val="1"/>
                <w:color w:val="auto"/>
              </w:rPr>
            </w:pPr>
          </w:p>
        </w:tc>
      </w:tr>
      <w:tr>
        <w:trPr>
          <w:trHeight w:val="23"/>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SEMPRA COMMODITIES</w:t>
            </w:r>
          </w:p>
        </w:tc>
        <w:tc>
          <w:tcPr>
            <w:tcW w:w="3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820" w:type="dxa"/>
            <w:vAlign w:val="bottom"/>
            <w:vMerge w:val="continue"/>
          </w:tcPr>
          <w:p>
            <w:pPr>
              <w:spacing w:after="0"/>
              <w:rPr>
                <w:sz w:val="14"/>
                <w:szCs w:val="14"/>
                <w:color w:val="auto"/>
              </w:rPr>
            </w:pPr>
          </w:p>
        </w:tc>
        <w:tc>
          <w:tcPr>
            <w:tcW w:w="38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Natural gas; natural gas liquids</w:t>
            </w: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§Global</w:t>
            </w:r>
          </w:p>
        </w:tc>
        <w:tc>
          <w:tcPr>
            <w:tcW w:w="0" w:type="dxa"/>
            <w:vAlign w:val="bottom"/>
          </w:tcPr>
          <w:p>
            <w:pPr>
              <w:spacing w:after="0"/>
              <w:rPr>
                <w:sz w:val="1"/>
                <w:szCs w:val="1"/>
                <w:color w:val="auto"/>
              </w:rPr>
            </w:pPr>
          </w:p>
        </w:tc>
      </w:tr>
      <w:tr>
        <w:trPr>
          <w:trHeight w:val="170"/>
        </w:trPr>
        <w:tc>
          <w:tcPr>
            <w:tcW w:w="3820" w:type="dxa"/>
            <w:vAlign w:val="bottom"/>
          </w:tcPr>
          <w:p>
            <w:pPr>
              <w:spacing w:after="0" w:line="171" w:lineRule="exact"/>
              <w:rPr>
                <w:sz w:val="20"/>
                <w:szCs w:val="20"/>
                <w:color w:val="auto"/>
              </w:rPr>
            </w:pPr>
            <w:r>
              <w:rPr>
                <w:rFonts w:ascii="Arial" w:cs="Arial" w:eastAsia="Arial" w:hAnsi="Arial"/>
                <w:sz w:val="15"/>
                <w:szCs w:val="15"/>
                <w:color w:val="auto"/>
              </w:rPr>
              <w:t>Holds an interest in RBS Sempra Commodities LLP, a</w:t>
            </w:r>
          </w:p>
        </w:tc>
        <w:tc>
          <w:tcPr>
            <w:tcW w:w="3820" w:type="dxa"/>
            <w:vAlign w:val="bottom"/>
            <w:tcBorders>
              <w:right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line="171" w:lineRule="exact"/>
              <w:rPr>
                <w:sz w:val="20"/>
                <w:szCs w:val="20"/>
                <w:color w:val="auto"/>
              </w:rPr>
            </w:pPr>
            <w:r>
              <w:rPr>
                <w:rFonts w:ascii="Arial" w:cs="Arial" w:eastAsia="Arial" w:hAnsi="Arial"/>
                <w:sz w:val="15"/>
                <w:szCs w:val="15"/>
                <w:color w:val="auto"/>
              </w:rPr>
              <w:t>commodities-marketing business joint venture with The</w:t>
            </w:r>
          </w:p>
        </w:tc>
        <w:tc>
          <w:tcPr>
            <w:tcW w:w="3820" w:type="dxa"/>
            <w:vAlign w:val="bottom"/>
            <w:tcBorders>
              <w:right w:val="single" w:sz="8" w:color="auto"/>
            </w:tcBorders>
          </w:tcPr>
          <w:p>
            <w:pPr>
              <w:ind w:left="220"/>
              <w:spacing w:after="0" w:line="171" w:lineRule="exact"/>
              <w:rPr>
                <w:sz w:val="20"/>
                <w:szCs w:val="20"/>
                <w:color w:val="auto"/>
              </w:rPr>
            </w:pPr>
            <w:r>
              <w:rPr>
                <w:rFonts w:ascii="Arial" w:cs="Arial" w:eastAsia="Arial" w:hAnsi="Arial"/>
                <w:sz w:val="16"/>
                <w:szCs w:val="16"/>
                <w:color w:val="auto"/>
              </w:rPr>
              <w:t>§Power</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Royal Bank of Scotland (RBS)</w:t>
            </w:r>
          </w:p>
        </w:tc>
        <w:tc>
          <w:tcPr>
            <w:tcW w:w="3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Prior to July 1, 2010:</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820" w:type="dxa"/>
            <w:vAlign w:val="bottom"/>
          </w:tcPr>
          <w:p>
            <w:pPr>
              <w:spacing w:after="0"/>
              <w:rPr>
                <w:sz w:val="20"/>
                <w:szCs w:val="20"/>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§Petroleum and petroleum products</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§Coal</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§Emissions</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§Ethanol</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§Base metals</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3820" w:type="dxa"/>
            <w:vAlign w:val="bottom"/>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SEMPRA GENERATION</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§Wholesale electricity</w:t>
            </w:r>
          </w:p>
        </w:tc>
        <w:tc>
          <w:tcPr>
            <w:tcW w:w="3800" w:type="dxa"/>
            <w:vAlign w:val="bottom"/>
          </w:tcPr>
          <w:p>
            <w:pPr>
              <w:ind w:left="2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81"/>
        </w:trPr>
        <w:tc>
          <w:tcPr>
            <w:tcW w:w="3820" w:type="dxa"/>
            <w:vAlign w:val="bottom"/>
            <w:tcBorders>
              <w:right w:val="single" w:sz="8" w:color="auto"/>
            </w:tcBorders>
            <w:vMerge w:val="continue"/>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70"/>
        </w:trPr>
        <w:tc>
          <w:tcPr>
            <w:tcW w:w="38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Develops, owns and operates, or holds interests in,</w:t>
            </w:r>
          </w:p>
        </w:tc>
        <w:tc>
          <w:tcPr>
            <w:tcW w:w="3820" w:type="dxa"/>
            <w:vAlign w:val="bottom"/>
            <w:tcBorders>
              <w:right w:val="single" w:sz="8" w:color="auto"/>
            </w:tcBorders>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electric power plants and energy projects</w:t>
            </w:r>
          </w:p>
        </w:tc>
        <w:tc>
          <w:tcPr>
            <w:tcW w:w="3820" w:type="dxa"/>
            <w:vAlign w:val="bottom"/>
            <w:tcBorders>
              <w:right w:val="single" w:sz="8" w:color="auto"/>
            </w:tcBorders>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SEMPRA PIPELINES &amp; STORAGE</w:t>
            </w:r>
          </w:p>
        </w:tc>
        <w:tc>
          <w:tcPr>
            <w:tcW w:w="3820" w:type="dxa"/>
            <w:vAlign w:val="bottom"/>
            <w:tcBorders>
              <w:bottom w:val="single" w:sz="8" w:color="auto"/>
              <w:right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3820" w:type="dxa"/>
            <w:vAlign w:val="bottom"/>
            <w:tcBorders>
              <w:right w:val="single" w:sz="8" w:color="auto"/>
            </w:tcBorders>
            <w:vMerge w:val="continue"/>
          </w:tcPr>
          <w:p>
            <w:pPr>
              <w:spacing w:after="0"/>
              <w:rPr>
                <w:sz w:val="23"/>
                <w:szCs w:val="23"/>
                <w:color w:val="auto"/>
              </w:rPr>
            </w:pP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§Natural gas</w:t>
            </w:r>
          </w:p>
        </w:tc>
        <w:tc>
          <w:tcPr>
            <w:tcW w:w="3800" w:type="dxa"/>
            <w:vAlign w:val="bottom"/>
          </w:tcPr>
          <w:p>
            <w:pPr>
              <w:ind w:left="2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0"/>
        </w:trPr>
        <w:tc>
          <w:tcPr>
            <w:tcW w:w="38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Develops, owns and operates, or holds interests in,</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§Electricity</w:t>
            </w: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93"/>
        </w:trPr>
        <w:tc>
          <w:tcPr>
            <w:tcW w:w="3820" w:type="dxa"/>
            <w:vAlign w:val="bottom"/>
            <w:tcBorders>
              <w:right w:val="single" w:sz="8" w:color="auto"/>
            </w:tcBorders>
            <w:vMerge w:val="restart"/>
          </w:tcPr>
          <w:p>
            <w:pPr>
              <w:ind w:left="60"/>
              <w:spacing w:after="0" w:line="171" w:lineRule="exact"/>
              <w:rPr>
                <w:sz w:val="20"/>
                <w:szCs w:val="20"/>
                <w:color w:val="auto"/>
              </w:rPr>
            </w:pPr>
            <w:r>
              <w:rPr>
                <w:rFonts w:ascii="Arial" w:cs="Arial" w:eastAsia="Arial" w:hAnsi="Arial"/>
                <w:sz w:val="15"/>
                <w:szCs w:val="15"/>
                <w:color w:val="auto"/>
              </w:rPr>
              <w:t>natural gas and propane pipelines and natural gas</w:t>
            </w:r>
          </w:p>
        </w:tc>
        <w:tc>
          <w:tcPr>
            <w:tcW w:w="3820" w:type="dxa"/>
            <w:vAlign w:val="bottom"/>
            <w:tcBorders>
              <w:right w:val="single" w:sz="8" w:color="auto"/>
            </w:tcBorders>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820" w:type="dxa"/>
            <w:vAlign w:val="bottom"/>
            <w:tcBorders>
              <w:right w:val="single" w:sz="8" w:color="auto"/>
            </w:tcBorders>
            <w:vMerge w:val="continue"/>
          </w:tcPr>
          <w:p>
            <w:pPr>
              <w:spacing w:after="0"/>
              <w:rPr>
                <w:sz w:val="6"/>
                <w:szCs w:val="6"/>
                <w:color w:val="auto"/>
              </w:rPr>
            </w:pPr>
          </w:p>
        </w:tc>
        <w:tc>
          <w:tcPr>
            <w:tcW w:w="3820" w:type="dxa"/>
            <w:vAlign w:val="bottom"/>
            <w:tcBorders>
              <w:right w:val="single" w:sz="8" w:color="auto"/>
            </w:tcBorders>
          </w:tcPr>
          <w:p>
            <w:pPr>
              <w:spacing w:after="0"/>
              <w:rPr>
                <w:sz w:val="6"/>
                <w:szCs w:val="6"/>
                <w:color w:val="auto"/>
              </w:rPr>
            </w:pP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170"/>
        </w:trPr>
        <w:tc>
          <w:tcPr>
            <w:tcW w:w="38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storage facilities, and natural gas and electric service</w:t>
            </w:r>
          </w:p>
        </w:tc>
        <w:tc>
          <w:tcPr>
            <w:tcW w:w="3820" w:type="dxa"/>
            <w:vAlign w:val="bottom"/>
            <w:tcBorders>
              <w:right w:val="single" w:sz="8" w:color="auto"/>
            </w:tcBorders>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providers</w:t>
            </w:r>
          </w:p>
        </w:tc>
        <w:tc>
          <w:tcPr>
            <w:tcW w:w="3820" w:type="dxa"/>
            <w:vAlign w:val="bottom"/>
            <w:tcBorders>
              <w:right w:val="single" w:sz="8" w:color="auto"/>
            </w:tcBorders>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244"/>
        </w:trPr>
        <w:tc>
          <w:tcPr>
            <w:tcW w:w="3820" w:type="dxa"/>
            <w:vAlign w:val="bottom"/>
            <w:tcBorders>
              <w:right w:val="single" w:sz="8" w:color="auto"/>
            </w:tcBorders>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3800" w:type="dxa"/>
            <w:vAlign w:val="bottom"/>
          </w:tcPr>
          <w:p>
            <w:pPr>
              <w:ind w:left="360"/>
              <w:spacing w:after="0"/>
              <w:rPr>
                <w:sz w:val="20"/>
                <w:szCs w:val="20"/>
                <w:color w:val="auto"/>
              </w:rPr>
            </w:pPr>
            <w:r>
              <w:rPr>
                <w:rFonts w:ascii="Arial" w:cs="Arial" w:eastAsia="Arial" w:hAnsi="Arial"/>
                <w:sz w:val="16"/>
                <w:szCs w:val="16"/>
                <w:color w:val="auto"/>
              </w:rPr>
              <w:t>67;Peru</w:t>
            </w:r>
          </w:p>
        </w:tc>
        <w:tc>
          <w:tcPr>
            <w:tcW w:w="0" w:type="dxa"/>
            <w:vAlign w:val="bottom"/>
          </w:tcPr>
          <w:p>
            <w:pPr>
              <w:spacing w:after="0"/>
              <w:rPr>
                <w:sz w:val="1"/>
                <w:szCs w:val="1"/>
                <w:color w:val="auto"/>
              </w:rPr>
            </w:pPr>
          </w:p>
        </w:tc>
      </w:tr>
      <w:tr>
        <w:trPr>
          <w:trHeight w:val="100"/>
        </w:trPr>
        <w:tc>
          <w:tcPr>
            <w:tcW w:w="3820" w:type="dxa"/>
            <w:vAlign w:val="bottom"/>
            <w:tcBorders>
              <w:bottom w:val="single" w:sz="8" w:color="auto"/>
              <w:right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SEMPRA LNG</w:t>
            </w: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§Liquefied natural gas</w:t>
            </w:r>
          </w:p>
        </w:tc>
        <w:tc>
          <w:tcPr>
            <w:tcW w:w="3800" w:type="dxa"/>
            <w:vAlign w:val="bottom"/>
          </w:tcPr>
          <w:p>
            <w:pPr>
              <w:ind w:left="2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0"/>
        </w:trPr>
        <w:tc>
          <w:tcPr>
            <w:tcW w:w="38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Develops, owns and operates receipt terminals for</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§Natural gas</w:t>
            </w:r>
          </w:p>
        </w:tc>
        <w:tc>
          <w:tcPr>
            <w:tcW w:w="3800" w:type="dxa"/>
            <w:vAlign w:val="bottom"/>
            <w:vMerge w:val="restart"/>
          </w:tcPr>
          <w:p>
            <w:pPr>
              <w:ind w:left="2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81"/>
        </w:trPr>
        <w:tc>
          <w:tcPr>
            <w:tcW w:w="3820" w:type="dxa"/>
            <w:vAlign w:val="bottom"/>
            <w:tcBorders>
              <w:right w:val="single" w:sz="8" w:color="auto"/>
            </w:tcBorders>
            <w:vMerge w:val="restart"/>
          </w:tcPr>
          <w:p>
            <w:pPr>
              <w:ind w:left="60"/>
              <w:spacing w:after="0" w:line="171" w:lineRule="exact"/>
              <w:rPr>
                <w:sz w:val="20"/>
                <w:szCs w:val="20"/>
                <w:color w:val="auto"/>
              </w:rPr>
            </w:pPr>
            <w:r>
              <w:rPr>
                <w:rFonts w:ascii="Arial" w:cs="Arial" w:eastAsia="Arial" w:hAnsi="Arial"/>
                <w:sz w:val="15"/>
                <w:szCs w:val="15"/>
                <w:color w:val="auto"/>
              </w:rPr>
              <w:t>importation of liquefied natural gas (LNG) and sale of</w:t>
            </w:r>
          </w:p>
        </w:tc>
        <w:tc>
          <w:tcPr>
            <w:tcW w:w="3820" w:type="dxa"/>
            <w:vAlign w:val="bottom"/>
            <w:tcBorders>
              <w:right w:val="single" w:sz="8" w:color="auto"/>
            </w:tcBorders>
            <w:vMerge w:val="continue"/>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20" w:type="dxa"/>
            <w:vAlign w:val="bottom"/>
            <w:tcBorders>
              <w:right w:val="single" w:sz="8" w:color="auto"/>
            </w:tcBorders>
            <w:vMerge w:val="continue"/>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natural gas</w:t>
            </w:r>
          </w:p>
        </w:tc>
        <w:tc>
          <w:tcPr>
            <w:tcW w:w="3820" w:type="dxa"/>
            <w:vAlign w:val="bottom"/>
            <w:tcBorders>
              <w:right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820" w:type="dxa"/>
            <w:vAlign w:val="bottom"/>
            <w:tcBorders>
              <w:top w:val="single" w:sz="8" w:color="C0C0C0"/>
              <w:bottom w:val="single" w:sz="8" w:color="auto"/>
            </w:tcBorders>
          </w:tcPr>
          <w:p>
            <w:pPr>
              <w:spacing w:after="0"/>
              <w:rPr>
                <w:sz w:val="24"/>
                <w:szCs w:val="24"/>
                <w:color w:val="auto"/>
              </w:rPr>
            </w:pPr>
          </w:p>
        </w:tc>
        <w:tc>
          <w:tcPr>
            <w:tcW w:w="3820" w:type="dxa"/>
            <w:vAlign w:val="bottom"/>
            <w:tcBorders>
              <w:top w:val="single" w:sz="8" w:color="C0C0C0"/>
              <w:bottom w:val="single" w:sz="8" w:color="auto"/>
            </w:tcBorders>
          </w:tcPr>
          <w:p>
            <w:pPr>
              <w:spacing w:after="0"/>
              <w:rPr>
                <w:sz w:val="24"/>
                <w:szCs w:val="24"/>
                <w:color w:val="auto"/>
              </w:rPr>
            </w:pPr>
          </w:p>
        </w:tc>
        <w:tc>
          <w:tcPr>
            <w:tcW w:w="3800" w:type="dxa"/>
            <w:vAlign w:val="bottom"/>
            <w:tcBorders>
              <w:top w:val="single" w:sz="8" w:color="C0C0C0"/>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RESULTS OF OPERATIONS</w:t>
      </w:r>
    </w:p>
    <w:p>
      <w:pPr>
        <w:sectPr>
          <w:pgSz w:w="11900" w:h="16838" w:orient="portrait"/>
          <w:cols w:equalWidth="0" w:num="1">
            <w:col w:w="11440"/>
          </w:cols>
          <w:pgMar w:left="240" w:top="131" w:right="219" w:bottom="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discuss the following in Results of Operations: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§Overall results of our operations and factors affecting those results</w:t>
      </w:r>
    </w:p>
    <w:p>
      <w:pPr>
        <w:sectPr>
          <w:pgSz w:w="11900" w:h="16838" w:orient="portrait"/>
          <w:cols w:equalWidth="0" w:num="1">
            <w:col w:w="11440"/>
          </w:cols>
          <w:pgMar w:left="240" w:top="131" w:right="219" w:bottom="0" w:gutter="0" w:footer="0" w:header="0"/>
          <w:type w:val="continuous"/>
        </w:sectPr>
      </w:pPr>
    </w:p>
    <w:bookmarkStart w:id="41" w:name="page42"/>
    <w:bookmarkEnd w:id="41"/>
    <w:p>
      <w:pPr>
        <w:ind w:left="140"/>
        <w:spacing w:after="0"/>
        <w:rPr>
          <w:sz w:val="20"/>
          <w:szCs w:val="20"/>
          <w:color w:val="auto"/>
        </w:rPr>
      </w:pPr>
      <w:r>
        <w:rPr>
          <w:rFonts w:ascii="Arial" w:cs="Arial" w:eastAsia="Arial" w:hAnsi="Arial"/>
          <w:sz w:val="16"/>
          <w:szCs w:val="16"/>
          <w:i w:val="1"/>
          <w:iCs w:val="1"/>
          <w:color w:val="auto"/>
        </w:rPr>
        <w:t>§Our business unit results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§Significant changes in revenues, costs and earnings between periods</w:t>
      </w:r>
    </w:p>
    <w:p>
      <w:pPr>
        <w:spacing w:after="0" w:line="157" w:lineRule="exact"/>
        <w:rPr>
          <w:sz w:val="20"/>
          <w:szCs w:val="20"/>
          <w:color w:val="auto"/>
        </w:rPr>
      </w:pPr>
    </w:p>
    <w:p>
      <w:pPr>
        <w:jc w:val="both"/>
        <w:ind w:right="200"/>
        <w:spacing w:after="0" w:line="350" w:lineRule="auto"/>
        <w:rPr>
          <w:sz w:val="20"/>
          <w:szCs w:val="20"/>
          <w:color w:val="auto"/>
        </w:rPr>
      </w:pPr>
      <w:r>
        <w:rPr>
          <w:rFonts w:ascii="Arial" w:cs="Arial" w:eastAsia="Arial" w:hAnsi="Arial"/>
          <w:sz w:val="14"/>
          <w:szCs w:val="14"/>
          <w:i w:val="1"/>
          <w:iCs w:val="1"/>
          <w:color w:val="auto"/>
        </w:rPr>
        <w:t>In the three months ended June 30, 2010, our earnings increased by $24 million (12%) to $222 million primarily due to improved results at Sempra Pipelines &amp; Storage, Sempra LNG and Sempra Generation. Diluted earnings per share for the three-month period increased by $0.09 (11%) per share to $0.89 per share, primarily from the higher earnings.</w:t>
      </w:r>
    </w:p>
    <w:p>
      <w:pPr>
        <w:spacing w:after="0" w:line="17"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i w:val="1"/>
          <w:iCs w:val="1"/>
          <w:color w:val="auto"/>
        </w:rPr>
        <w:t>In the six months ended June 30, 2010, our earnings decreased by $186 million (36%) to $328 million primarily due to losses at Sempra Commodities and Sempra Generation in 2010 compared to earnings in 2009. In the first quarter of 2010, Sempra Generation and Sempra Commodities recorded after-tax litigation expense of $84 million and $12 million, respectively, related to the agreement in principle to settle certain energy crisis litigation, as we discuss in Note 10 of the Notes to Condensed Consolidated Financial Statements herein. Diluted earnings per share for the six months decreased by $0.78 (37%) per share to $1.31 per share, primarily from the lower earnings in 2010.</w:t>
      </w:r>
    </w:p>
    <w:p>
      <w:pPr>
        <w:spacing w:after="0" w:line="4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i w:val="1"/>
          <w:iCs w:val="1"/>
          <w:color w:val="auto"/>
        </w:rPr>
        <w:t>Earnings in both the three-month and six-month periods of 2009 were negatively impacted by an after-tax asset write-off of $64 million related to assets at Sempra Pipelines &amp; Storage’s Liberty Gas Storage (Liberty) project.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table shows our earnings by business unit, which we discuss below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7259955" cy="294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 EARNINGS (LOSSES) BY BUSINESS UNIT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60" w:type="dxa"/>
            <w:vAlign w:val="bottom"/>
            <w:gridSpan w:val="2"/>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6"/>
        </w:trPr>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3"/>
                <w:szCs w:val="13"/>
                <w:color w:val="auto"/>
              </w:rPr>
              <w:t>Three months ended June 30,</w:t>
            </w:r>
          </w:p>
        </w:tc>
        <w:tc>
          <w:tcPr>
            <w:tcW w:w="1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9"/>
        </w:trPr>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color w:val="auto"/>
              </w:rPr>
              <w:t>2010</w:t>
            </w:r>
          </w:p>
        </w:tc>
        <w:tc>
          <w:tcPr>
            <w:tcW w:w="7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2009</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19"/>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Sempra Utilities:</w:t>
            </w:r>
          </w:p>
        </w:tc>
        <w:tc>
          <w:tcPr>
            <w:tcW w:w="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5"/>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SDG&amp;E(1)</w:t>
            </w:r>
          </w:p>
        </w:tc>
        <w:tc>
          <w:tcPr>
            <w:tcW w:w="46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75</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34</w:t>
            </w:r>
          </w:p>
        </w:tc>
        <w:tc>
          <w:tcPr>
            <w:tcW w:w="60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0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70</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35</w:t>
            </w:r>
          </w:p>
        </w:tc>
        <w:tc>
          <w:tcPr>
            <w:tcW w:w="800" w:type="dxa"/>
            <w:vAlign w:val="bottom"/>
          </w:tcPr>
          <w:p>
            <w:pPr>
              <w:jc w:val="right"/>
              <w:ind w:right="507"/>
              <w:spacing w:after="0"/>
              <w:rPr>
                <w:sz w:val="20"/>
                <w:szCs w:val="20"/>
                <w:color w:val="auto"/>
              </w:rPr>
            </w:pPr>
            <w:r>
              <w:rPr>
                <w:rFonts w:ascii="Arial" w:cs="Arial" w:eastAsia="Arial" w:hAnsi="Arial"/>
                <w:sz w:val="15"/>
                <w:szCs w:val="15"/>
                <w:color w:val="auto"/>
              </w:rPr>
              <w:t>%</w:t>
            </w: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SoCalGas(1)</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69</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31</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65</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33</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Sempra Global:</w:t>
            </w:r>
          </w:p>
        </w:tc>
        <w:tc>
          <w:tcPr>
            <w:tcW w:w="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Commodities</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85</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43</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Generation</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48</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22</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33</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17</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Pipelines &amp; Storage</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39</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17</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08"/>
              <w:spacing w:after="0"/>
              <w:rPr>
                <w:sz w:val="20"/>
                <w:szCs w:val="20"/>
                <w:color w:val="auto"/>
              </w:rPr>
            </w:pPr>
            <w:r>
              <w:rPr>
                <w:rFonts w:ascii="Arial" w:cs="Arial" w:eastAsia="Arial" w:hAnsi="Arial"/>
                <w:sz w:val="15"/>
                <w:szCs w:val="15"/>
                <w:color w:val="auto"/>
              </w:rPr>
              <w:t>(27)</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(14)</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LNG</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13</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6</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08"/>
              <w:spacing w:after="0"/>
              <w:rPr>
                <w:sz w:val="20"/>
                <w:szCs w:val="20"/>
                <w:color w:val="auto"/>
              </w:rPr>
            </w:pPr>
            <w:r>
              <w:rPr>
                <w:rFonts w:ascii="Arial" w:cs="Arial" w:eastAsia="Arial" w:hAnsi="Arial"/>
                <w:sz w:val="15"/>
                <w:szCs w:val="15"/>
                <w:color w:val="auto"/>
              </w:rPr>
              <w:t>(12)</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(6)</w:t>
            </w:r>
          </w:p>
        </w:tc>
        <w:tc>
          <w:tcPr>
            <w:tcW w:w="800" w:type="dxa"/>
            <w:vAlign w:val="bottom"/>
          </w:tcPr>
          <w:p>
            <w:pPr>
              <w:spacing w:after="0"/>
              <w:rPr>
                <w:sz w:val="19"/>
                <w:szCs w:val="19"/>
                <w:color w:val="auto"/>
              </w:rPr>
            </w:pPr>
          </w:p>
        </w:tc>
      </w:tr>
      <w:tr>
        <w:trPr>
          <w:trHeight w:val="212"/>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Parent and other(2)</w:t>
            </w:r>
          </w:p>
        </w:tc>
        <w:tc>
          <w:tcPr>
            <w:tcW w:w="4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rPr>
              <w:t>(16)</w:t>
            </w: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w:t>
            </w:r>
          </w:p>
        </w:tc>
        <w:tc>
          <w:tcPr>
            <w:tcW w:w="800" w:type="dxa"/>
            <w:vAlign w:val="bottom"/>
            <w:tcBorders>
              <w:bottom w:val="single" w:sz="8" w:color="auto"/>
            </w:tcBorders>
          </w:tcPr>
          <w:p>
            <w:pPr>
              <w:spacing w:after="0"/>
              <w:rPr>
                <w:sz w:val="18"/>
                <w:szCs w:val="18"/>
                <w:color w:val="auto"/>
              </w:rPr>
            </w:pPr>
          </w:p>
        </w:tc>
      </w:tr>
      <w:tr>
        <w:trPr>
          <w:trHeight w:val="179"/>
        </w:trPr>
        <w:tc>
          <w:tcPr>
            <w:tcW w:w="2960" w:type="dxa"/>
            <w:vAlign w:val="bottom"/>
            <w:gridSpan w:val="2"/>
          </w:tcPr>
          <w:p>
            <w:pPr>
              <w:ind w:left="100"/>
              <w:spacing w:after="0" w:line="163" w:lineRule="exact"/>
              <w:rPr>
                <w:sz w:val="20"/>
                <w:szCs w:val="20"/>
                <w:color w:val="auto"/>
              </w:rPr>
            </w:pPr>
            <w:r>
              <w:rPr>
                <w:rFonts w:ascii="Arial" w:cs="Arial" w:eastAsia="Arial" w:hAnsi="Arial"/>
                <w:sz w:val="15"/>
                <w:szCs w:val="15"/>
                <w:color w:val="auto"/>
              </w:rPr>
              <w:t>Ea rnings</w:t>
            </w:r>
          </w:p>
        </w:tc>
        <w:tc>
          <w:tcPr>
            <w:tcW w:w="460" w:type="dxa"/>
            <w:vAlign w:val="bottom"/>
            <w:tcBorders>
              <w:bottom w:val="single" w:sz="8" w:color="auto"/>
            </w:tcBorders>
          </w:tcPr>
          <w:p>
            <w:pPr>
              <w:jc w:val="right"/>
              <w:ind w:right="207"/>
              <w:spacing w:after="0" w:line="163" w:lineRule="exact"/>
              <w:rPr>
                <w:sz w:val="20"/>
                <w:szCs w:val="20"/>
                <w:color w:val="auto"/>
              </w:rPr>
            </w:pPr>
            <w:r>
              <w:rPr>
                <w:rFonts w:ascii="Arial" w:cs="Arial" w:eastAsia="Arial" w:hAnsi="Arial"/>
                <w:sz w:val="15"/>
                <w:szCs w:val="15"/>
                <w:color w:val="auto"/>
              </w:rPr>
              <w:t>$</w:t>
            </w:r>
          </w:p>
        </w:tc>
        <w:tc>
          <w:tcPr>
            <w:tcW w:w="2500" w:type="dxa"/>
            <w:vAlign w:val="bottom"/>
            <w:tcBorders>
              <w:bottom w:val="single" w:sz="8" w:color="auto"/>
            </w:tcBorders>
          </w:tcPr>
          <w:p>
            <w:pPr>
              <w:jc w:val="right"/>
              <w:ind w:right="387"/>
              <w:spacing w:after="0" w:line="163" w:lineRule="exact"/>
              <w:rPr>
                <w:sz w:val="20"/>
                <w:szCs w:val="20"/>
                <w:color w:val="auto"/>
              </w:rPr>
            </w:pPr>
            <w:r>
              <w:rPr>
                <w:rFonts w:ascii="Arial" w:cs="Arial" w:eastAsia="Arial" w:hAnsi="Arial"/>
                <w:sz w:val="15"/>
                <w:szCs w:val="15"/>
                <w:color w:val="auto"/>
              </w:rPr>
              <w:t>222</w:t>
            </w:r>
          </w:p>
        </w:tc>
        <w:tc>
          <w:tcPr>
            <w:tcW w:w="780" w:type="dxa"/>
            <w:vAlign w:val="bottom"/>
            <w:tcBorders>
              <w:bottom w:val="single" w:sz="8" w:color="auto"/>
            </w:tcBorders>
          </w:tcPr>
          <w:p>
            <w:pPr>
              <w:jc w:val="right"/>
              <w:ind w:right="8"/>
              <w:spacing w:after="0" w:line="163" w:lineRule="exact"/>
              <w:rPr>
                <w:sz w:val="20"/>
                <w:szCs w:val="20"/>
                <w:color w:val="auto"/>
              </w:rPr>
            </w:pPr>
            <w:r>
              <w:rPr>
                <w:rFonts w:ascii="Arial" w:cs="Arial" w:eastAsia="Arial" w:hAnsi="Arial"/>
                <w:sz w:val="15"/>
                <w:szCs w:val="15"/>
                <w:color w:val="auto"/>
              </w:rPr>
              <w:t>100</w:t>
            </w:r>
          </w:p>
        </w:tc>
        <w:tc>
          <w:tcPr>
            <w:tcW w:w="600" w:type="dxa"/>
            <w:vAlign w:val="bottom"/>
            <w:tcBorders>
              <w:bottom w:val="single" w:sz="8" w:color="auto"/>
            </w:tcBorders>
          </w:tcPr>
          <w:p>
            <w:pPr>
              <w:jc w:val="right"/>
              <w:ind w:right="247"/>
              <w:spacing w:after="0" w:line="163"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807"/>
              <w:spacing w:after="0" w:line="163"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548"/>
              <w:spacing w:after="0" w:line="163" w:lineRule="exact"/>
              <w:rPr>
                <w:sz w:val="20"/>
                <w:szCs w:val="20"/>
                <w:color w:val="auto"/>
              </w:rPr>
            </w:pPr>
            <w:r>
              <w:rPr>
                <w:rFonts w:ascii="Arial" w:cs="Arial" w:eastAsia="Arial" w:hAnsi="Arial"/>
                <w:sz w:val="15"/>
                <w:szCs w:val="15"/>
                <w:color w:val="auto"/>
              </w:rPr>
              <w:t>198</w:t>
            </w:r>
          </w:p>
        </w:tc>
        <w:tc>
          <w:tcPr>
            <w:tcW w:w="70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100</w:t>
            </w:r>
          </w:p>
        </w:tc>
        <w:tc>
          <w:tcPr>
            <w:tcW w:w="800" w:type="dxa"/>
            <w:vAlign w:val="bottom"/>
            <w:tcBorders>
              <w:bottom w:val="single" w:sz="8" w:color="auto"/>
            </w:tcBorders>
          </w:tcPr>
          <w:p>
            <w:pPr>
              <w:jc w:val="right"/>
              <w:ind w:right="507"/>
              <w:spacing w:after="0" w:line="163" w:lineRule="exact"/>
              <w:rPr>
                <w:sz w:val="20"/>
                <w:szCs w:val="20"/>
                <w:color w:val="auto"/>
              </w:rPr>
            </w:pPr>
            <w:r>
              <w:rPr>
                <w:rFonts w:ascii="Arial" w:cs="Arial" w:eastAsia="Arial" w:hAnsi="Arial"/>
                <w:sz w:val="15"/>
                <w:szCs w:val="15"/>
                <w:color w:val="auto"/>
              </w:rPr>
              <w:t>%</w:t>
            </w:r>
          </w:p>
        </w:tc>
      </w:tr>
      <w:tr>
        <w:trPr>
          <w:trHeight w:val="195"/>
        </w:trPr>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3"/>
                <w:szCs w:val="13"/>
                <w:color w:val="auto"/>
              </w:rPr>
              <w:t>Six months ended June 30,</w:t>
            </w:r>
          </w:p>
        </w:tc>
        <w:tc>
          <w:tcPr>
            <w:tcW w:w="1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9"/>
        </w:trPr>
        <w:tc>
          <w:tcPr>
            <w:tcW w:w="76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color w:val="auto"/>
              </w:rPr>
              <w:t>2010</w:t>
            </w:r>
          </w:p>
        </w:tc>
        <w:tc>
          <w:tcPr>
            <w:tcW w:w="7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2009</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Sempra Utilities:</w:t>
            </w:r>
          </w:p>
        </w:tc>
        <w:tc>
          <w:tcPr>
            <w:tcW w:w="460" w:type="dxa"/>
            <w:vAlign w:val="bottom"/>
          </w:tcPr>
          <w:p>
            <w:pPr>
              <w:spacing w:after="0"/>
              <w:rPr>
                <w:sz w:val="20"/>
                <w:szCs w:val="20"/>
                <w:color w:val="auto"/>
              </w:rPr>
            </w:pPr>
          </w:p>
        </w:tc>
        <w:tc>
          <w:tcPr>
            <w:tcW w:w="2500" w:type="dxa"/>
            <w:vAlign w:val="bottom"/>
          </w:tcPr>
          <w:p>
            <w:pPr>
              <w:jc w:val="right"/>
              <w:ind w:right="1527"/>
              <w:spacing w:after="0"/>
              <w:rPr>
                <w:sz w:val="20"/>
                <w:szCs w:val="20"/>
                <w:color w:val="auto"/>
              </w:rPr>
            </w:pPr>
            <w:r>
              <w:rPr>
                <w:rFonts w:ascii="Arial" w:cs="Arial" w:eastAsia="Arial" w:hAnsi="Arial"/>
                <w:sz w:val="19"/>
                <w:szCs w:val="19"/>
                <w:color w:val="auto"/>
              </w:rPr>
              <w:t>&amp; nbsp;</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76"/>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SDG&amp;E(1)</w:t>
            </w:r>
          </w:p>
        </w:tc>
        <w:tc>
          <w:tcPr>
            <w:tcW w:w="46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158</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48</w:t>
            </w:r>
          </w:p>
        </w:tc>
        <w:tc>
          <w:tcPr>
            <w:tcW w:w="6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0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169</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33</w:t>
            </w:r>
          </w:p>
        </w:tc>
        <w:tc>
          <w:tcPr>
            <w:tcW w:w="800" w:type="dxa"/>
            <w:vAlign w:val="bottom"/>
          </w:tcPr>
          <w:p>
            <w:pPr>
              <w:jc w:val="right"/>
              <w:ind w:right="507"/>
              <w:spacing w:after="0"/>
              <w:rPr>
                <w:sz w:val="20"/>
                <w:szCs w:val="20"/>
                <w:color w:val="auto"/>
              </w:rPr>
            </w:pPr>
            <w:r>
              <w:rPr>
                <w:rFonts w:ascii="Arial" w:cs="Arial" w:eastAsia="Arial" w:hAnsi="Arial"/>
                <w:sz w:val="15"/>
                <w:szCs w:val="15"/>
                <w:color w:val="auto"/>
              </w:rPr>
              <w:t>%</w:t>
            </w: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SoCalGas(1)</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134</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41</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124</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24</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Sempra Global:</w:t>
            </w:r>
          </w:p>
        </w:tc>
        <w:tc>
          <w:tcPr>
            <w:tcW w:w="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Commodities</w:t>
            </w:r>
          </w:p>
        </w:tc>
        <w:tc>
          <w:tcPr>
            <w:tcW w:w="460" w:type="dxa"/>
            <w:vAlign w:val="bottom"/>
          </w:tcPr>
          <w:p>
            <w:pPr>
              <w:spacing w:after="0"/>
              <w:rPr>
                <w:sz w:val="19"/>
                <w:szCs w:val="19"/>
                <w:color w:val="auto"/>
              </w:rPr>
            </w:pPr>
          </w:p>
        </w:tc>
        <w:tc>
          <w:tcPr>
            <w:tcW w:w="2500" w:type="dxa"/>
            <w:vAlign w:val="bottom"/>
          </w:tcPr>
          <w:p>
            <w:pPr>
              <w:jc w:val="right"/>
              <w:ind w:right="347"/>
              <w:spacing w:after="0"/>
              <w:rPr>
                <w:sz w:val="20"/>
                <w:szCs w:val="20"/>
                <w:color w:val="auto"/>
              </w:rPr>
            </w:pP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199</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39</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Generation</w:t>
            </w:r>
          </w:p>
        </w:tc>
        <w:tc>
          <w:tcPr>
            <w:tcW w:w="460" w:type="dxa"/>
            <w:vAlign w:val="bottom"/>
          </w:tcPr>
          <w:p>
            <w:pPr>
              <w:spacing w:after="0"/>
              <w:rPr>
                <w:sz w:val="19"/>
                <w:szCs w:val="19"/>
                <w:color w:val="auto"/>
              </w:rPr>
            </w:pPr>
          </w:p>
        </w:tc>
        <w:tc>
          <w:tcPr>
            <w:tcW w:w="2500" w:type="dxa"/>
            <w:vAlign w:val="bottom"/>
          </w:tcPr>
          <w:p>
            <w:pPr>
              <w:jc w:val="right"/>
              <w:ind w:right="347"/>
              <w:spacing w:after="0"/>
              <w:rPr>
                <w:sz w:val="20"/>
                <w:szCs w:val="20"/>
                <w:color w:val="auto"/>
              </w:rPr>
            </w:pP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76</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15</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Pipelines &amp; Storage</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77</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24</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48"/>
              <w:spacing w:after="0"/>
              <w:rPr>
                <w:sz w:val="20"/>
                <w:szCs w:val="20"/>
                <w:color w:val="auto"/>
              </w:rPr>
            </w:pPr>
            <w:r>
              <w:rPr>
                <w:rFonts w:ascii="Arial" w:cs="Arial" w:eastAsia="Arial" w:hAnsi="Arial"/>
                <w:sz w:val="15"/>
                <w:szCs w:val="15"/>
                <w:color w:val="auto"/>
              </w:rPr>
              <w:t>10</w:t>
            </w:r>
          </w:p>
        </w:tc>
        <w:tc>
          <w:tcPr>
            <w:tcW w:w="700" w:type="dxa"/>
            <w:vAlign w:val="bottom"/>
          </w:tcPr>
          <w:p>
            <w:pPr>
              <w:jc w:val="right"/>
              <w:ind w:right="67"/>
              <w:spacing w:after="0"/>
              <w:rPr>
                <w:sz w:val="20"/>
                <w:szCs w:val="20"/>
                <w:color w:val="auto"/>
              </w:rPr>
            </w:pPr>
            <w:r>
              <w:rPr>
                <w:rFonts w:ascii="Arial" w:cs="Arial" w:eastAsia="Arial" w:hAnsi="Arial"/>
                <w:sz w:val="15"/>
                <w:szCs w:val="15"/>
                <w:color w:val="auto"/>
              </w:rPr>
              <w:t>2</w:t>
            </w:r>
          </w:p>
        </w:tc>
        <w:tc>
          <w:tcPr>
            <w:tcW w:w="800" w:type="dxa"/>
            <w:vAlign w:val="bottom"/>
          </w:tcPr>
          <w:p>
            <w:pPr>
              <w:spacing w:after="0"/>
              <w:rPr>
                <w:sz w:val="19"/>
                <w:szCs w:val="19"/>
                <w:color w:val="auto"/>
              </w:rPr>
            </w:pPr>
          </w:p>
        </w:tc>
      </w:tr>
      <w:tr>
        <w:trPr>
          <w:trHeight w:val="219"/>
        </w:trPr>
        <w:tc>
          <w:tcPr>
            <w:tcW w:w="2960" w:type="dxa"/>
            <w:vAlign w:val="bottom"/>
            <w:gridSpan w:val="2"/>
          </w:tcPr>
          <w:p>
            <w:pPr>
              <w:ind w:left="260"/>
              <w:spacing w:after="0"/>
              <w:rPr>
                <w:sz w:val="20"/>
                <w:szCs w:val="20"/>
                <w:color w:val="auto"/>
              </w:rPr>
            </w:pPr>
            <w:r>
              <w:rPr>
                <w:rFonts w:ascii="Arial" w:cs="Arial" w:eastAsia="Arial" w:hAnsi="Arial"/>
                <w:sz w:val="15"/>
                <w:szCs w:val="15"/>
                <w:color w:val="auto"/>
              </w:rPr>
              <w:t>Sempra LNG</w:t>
            </w:r>
          </w:p>
        </w:tc>
        <w:tc>
          <w:tcPr>
            <w:tcW w:w="460" w:type="dxa"/>
            <w:vAlign w:val="bottom"/>
          </w:tcPr>
          <w:p>
            <w:pPr>
              <w:spacing w:after="0"/>
              <w:rPr>
                <w:sz w:val="19"/>
                <w:szCs w:val="19"/>
                <w:color w:val="auto"/>
              </w:rPr>
            </w:pPr>
          </w:p>
        </w:tc>
        <w:tc>
          <w:tcPr>
            <w:tcW w:w="2500" w:type="dxa"/>
            <w:vAlign w:val="bottom"/>
          </w:tcPr>
          <w:p>
            <w:pPr>
              <w:jc w:val="right"/>
              <w:ind w:right="387"/>
              <w:spacing w:after="0"/>
              <w:rPr>
                <w:sz w:val="20"/>
                <w:szCs w:val="20"/>
                <w:color w:val="auto"/>
              </w:rPr>
            </w:pPr>
            <w:r>
              <w:rPr>
                <w:rFonts w:ascii="Arial" w:cs="Arial" w:eastAsia="Arial" w:hAnsi="Arial"/>
                <w:sz w:val="15"/>
                <w:szCs w:val="15"/>
                <w:color w:val="auto"/>
              </w:rPr>
              <w:t>45</w:t>
            </w: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14</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jc w:val="right"/>
              <w:ind w:right="508"/>
              <w:spacing w:after="0"/>
              <w:rPr>
                <w:sz w:val="20"/>
                <w:szCs w:val="20"/>
                <w:color w:val="auto"/>
              </w:rPr>
            </w:pPr>
            <w:r>
              <w:rPr>
                <w:rFonts w:ascii="Arial" w:cs="Arial" w:eastAsia="Arial" w:hAnsi="Arial"/>
                <w:sz w:val="15"/>
                <w:szCs w:val="15"/>
                <w:color w:val="auto"/>
              </w:rPr>
              <w:t>(19)</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(4)</w:t>
            </w:r>
          </w:p>
        </w:tc>
        <w:tc>
          <w:tcPr>
            <w:tcW w:w="800" w:type="dxa"/>
            <w:vAlign w:val="bottom"/>
          </w:tcPr>
          <w:p>
            <w:pPr>
              <w:spacing w:after="0"/>
              <w:rPr>
                <w:sz w:val="19"/>
                <w:szCs w:val="19"/>
                <w:color w:val="auto"/>
              </w:rPr>
            </w:pPr>
          </w:p>
        </w:tc>
      </w:tr>
      <w:tr>
        <w:trPr>
          <w:trHeight w:val="212"/>
        </w:trPr>
        <w:tc>
          <w:tcPr>
            <w:tcW w:w="2960" w:type="dxa"/>
            <w:vAlign w:val="bottom"/>
            <w:gridSpan w:val="2"/>
          </w:tcPr>
          <w:p>
            <w:pPr>
              <w:ind w:left="100"/>
              <w:spacing w:after="0"/>
              <w:rPr>
                <w:sz w:val="20"/>
                <w:szCs w:val="20"/>
                <w:color w:val="auto"/>
              </w:rPr>
            </w:pPr>
            <w:r>
              <w:rPr>
                <w:rFonts w:ascii="Arial" w:cs="Arial" w:eastAsia="Arial" w:hAnsi="Arial"/>
                <w:sz w:val="15"/>
                <w:szCs w:val="15"/>
                <w:color w:val="auto"/>
              </w:rPr>
              <w:t>Parent and other(2)</w:t>
            </w:r>
          </w:p>
        </w:tc>
        <w:tc>
          <w:tcPr>
            <w:tcW w:w="4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(76)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rPr>
              <w:t>(45)</w:t>
            </w: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w:t>
            </w:r>
          </w:p>
        </w:tc>
        <w:tc>
          <w:tcPr>
            <w:tcW w:w="800" w:type="dxa"/>
            <w:vAlign w:val="bottom"/>
            <w:tcBorders>
              <w:bottom w:val="single" w:sz="8" w:color="auto"/>
            </w:tcBorders>
          </w:tcPr>
          <w:p>
            <w:pPr>
              <w:spacing w:after="0"/>
              <w:rPr>
                <w:sz w:val="18"/>
                <w:szCs w:val="18"/>
                <w:color w:val="auto"/>
              </w:rPr>
            </w:pPr>
          </w:p>
        </w:tc>
      </w:tr>
      <w:tr>
        <w:trPr>
          <w:trHeight w:val="179"/>
        </w:trPr>
        <w:tc>
          <w:tcPr>
            <w:tcW w:w="2960" w:type="dxa"/>
            <w:vAlign w:val="bottom"/>
            <w:tcBorders>
              <w:bottom w:val="single" w:sz="8" w:color="auto"/>
            </w:tcBorders>
            <w:gridSpan w:val="2"/>
          </w:tcPr>
          <w:p>
            <w:pPr>
              <w:ind w:left="100"/>
              <w:spacing w:after="0" w:line="163" w:lineRule="exact"/>
              <w:rPr>
                <w:sz w:val="20"/>
                <w:szCs w:val="20"/>
                <w:color w:val="auto"/>
              </w:rPr>
            </w:pPr>
            <w:r>
              <w:rPr>
                <w:rFonts w:ascii="Arial" w:cs="Arial" w:eastAsia="Arial" w:hAnsi="Arial"/>
                <w:sz w:val="15"/>
                <w:szCs w:val="15"/>
                <w:color w:val="auto"/>
              </w:rPr>
              <w:t>Earnings</w:t>
            </w:r>
          </w:p>
        </w:tc>
        <w:tc>
          <w:tcPr>
            <w:tcW w:w="460" w:type="dxa"/>
            <w:vAlign w:val="bottom"/>
            <w:tcBorders>
              <w:bottom w:val="single" w:sz="8" w:color="auto"/>
            </w:tcBorders>
          </w:tcPr>
          <w:p>
            <w:pPr>
              <w:jc w:val="right"/>
              <w:ind w:right="207"/>
              <w:spacing w:after="0" w:line="163" w:lineRule="exact"/>
              <w:rPr>
                <w:sz w:val="20"/>
                <w:szCs w:val="20"/>
                <w:color w:val="auto"/>
              </w:rPr>
            </w:pPr>
            <w:r>
              <w:rPr>
                <w:rFonts w:ascii="Arial" w:cs="Arial" w:eastAsia="Arial" w:hAnsi="Arial"/>
                <w:sz w:val="15"/>
                <w:szCs w:val="15"/>
                <w:color w:val="auto"/>
              </w:rPr>
              <w:t>$</w:t>
            </w:r>
          </w:p>
        </w:tc>
        <w:tc>
          <w:tcPr>
            <w:tcW w:w="2500" w:type="dxa"/>
            <w:vAlign w:val="bottom"/>
            <w:tcBorders>
              <w:bottom w:val="single" w:sz="8" w:color="auto"/>
            </w:tcBorders>
          </w:tcPr>
          <w:p>
            <w:pPr>
              <w:jc w:val="right"/>
              <w:ind w:right="387"/>
              <w:spacing w:after="0" w:line="163" w:lineRule="exact"/>
              <w:rPr>
                <w:sz w:val="20"/>
                <w:szCs w:val="20"/>
                <w:color w:val="auto"/>
              </w:rPr>
            </w:pPr>
            <w:r>
              <w:rPr>
                <w:rFonts w:ascii="Arial" w:cs="Arial" w:eastAsia="Arial" w:hAnsi="Arial"/>
                <w:sz w:val="15"/>
                <w:szCs w:val="15"/>
                <w:color w:val="auto"/>
              </w:rPr>
              <w:t>328</w:t>
            </w:r>
          </w:p>
        </w:tc>
        <w:tc>
          <w:tcPr>
            <w:tcW w:w="780" w:type="dxa"/>
            <w:vAlign w:val="bottom"/>
            <w:tcBorders>
              <w:bottom w:val="single" w:sz="8" w:color="auto"/>
            </w:tcBorders>
          </w:tcPr>
          <w:p>
            <w:pPr>
              <w:jc w:val="right"/>
              <w:ind w:right="8"/>
              <w:spacing w:after="0" w:line="163" w:lineRule="exact"/>
              <w:rPr>
                <w:sz w:val="20"/>
                <w:szCs w:val="20"/>
                <w:color w:val="auto"/>
              </w:rPr>
            </w:pPr>
            <w:r>
              <w:rPr>
                <w:rFonts w:ascii="Arial" w:cs="Arial" w:eastAsia="Arial" w:hAnsi="Arial"/>
                <w:sz w:val="15"/>
                <w:szCs w:val="15"/>
                <w:color w:val="auto"/>
              </w:rPr>
              <w:t>100</w:t>
            </w:r>
          </w:p>
        </w:tc>
        <w:tc>
          <w:tcPr>
            <w:tcW w:w="600" w:type="dxa"/>
            <w:vAlign w:val="bottom"/>
            <w:tcBorders>
              <w:bottom w:val="single" w:sz="8" w:color="auto"/>
            </w:tcBorders>
          </w:tcPr>
          <w:p>
            <w:pPr>
              <w:jc w:val="right"/>
              <w:ind w:right="247"/>
              <w:spacing w:after="0" w:line="163"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807"/>
              <w:spacing w:after="0" w:line="163"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548"/>
              <w:spacing w:after="0" w:line="163" w:lineRule="exact"/>
              <w:rPr>
                <w:sz w:val="20"/>
                <w:szCs w:val="20"/>
                <w:color w:val="auto"/>
              </w:rPr>
            </w:pPr>
            <w:r>
              <w:rPr>
                <w:rFonts w:ascii="Arial" w:cs="Arial" w:eastAsia="Arial" w:hAnsi="Arial"/>
                <w:sz w:val="15"/>
                <w:szCs w:val="15"/>
                <w:color w:val="auto"/>
              </w:rPr>
              <w:t>514</w:t>
            </w:r>
          </w:p>
        </w:tc>
        <w:tc>
          <w:tcPr>
            <w:tcW w:w="700" w:type="dxa"/>
            <w:vAlign w:val="bottom"/>
            <w:tcBorders>
              <w:bottom w:val="single" w:sz="8" w:color="auto"/>
            </w:tcBorders>
          </w:tcPr>
          <w:p>
            <w:pPr>
              <w:jc w:val="right"/>
              <w:ind w:right="67"/>
              <w:spacing w:after="0" w:line="163" w:lineRule="exact"/>
              <w:rPr>
                <w:sz w:val="20"/>
                <w:szCs w:val="20"/>
                <w:color w:val="auto"/>
              </w:rPr>
            </w:pPr>
            <w:r>
              <w:rPr>
                <w:rFonts w:ascii="Arial" w:cs="Arial" w:eastAsia="Arial" w:hAnsi="Arial"/>
                <w:sz w:val="15"/>
                <w:szCs w:val="15"/>
                <w:color w:val="auto"/>
              </w:rPr>
              <w:t>100</w:t>
            </w:r>
          </w:p>
        </w:tc>
        <w:tc>
          <w:tcPr>
            <w:tcW w:w="800" w:type="dxa"/>
            <w:vAlign w:val="bottom"/>
            <w:tcBorders>
              <w:bottom w:val="single" w:sz="8" w:color="auto"/>
            </w:tcBorders>
          </w:tcPr>
          <w:p>
            <w:pPr>
              <w:jc w:val="right"/>
              <w:ind w:right="507"/>
              <w:spacing w:after="0" w:line="163" w:lineRule="exact"/>
              <w:rPr>
                <w:sz w:val="20"/>
                <w:szCs w:val="20"/>
                <w:color w:val="auto"/>
              </w:rPr>
            </w:pPr>
            <w:r>
              <w:rPr>
                <w:rFonts w:ascii="Arial" w:cs="Arial" w:eastAsia="Arial" w:hAnsi="Arial"/>
                <w:sz w:val="15"/>
                <w:szCs w:val="15"/>
                <w:color w:val="auto"/>
              </w:rPr>
              <w:t>%</w:t>
            </w:r>
          </w:p>
        </w:tc>
      </w:tr>
    </w:tbl>
    <w:p>
      <w:pPr>
        <w:ind w:left="840" w:hanging="544"/>
        <w:spacing w:after="0"/>
        <w:tabs>
          <w:tab w:leader="none" w:pos="84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After preferred divi dends.</w:t>
      </w:r>
    </w:p>
    <w:p>
      <w:pPr>
        <w:spacing w:after="0" w:line="23" w:lineRule="exact"/>
        <w:rPr>
          <w:rFonts w:ascii="Arial" w:cs="Arial" w:eastAsia="Arial" w:hAnsi="Arial"/>
          <w:sz w:val="13"/>
          <w:szCs w:val="13"/>
          <w:i w:val="1"/>
          <w:iCs w:val="1"/>
          <w:color w:val="auto"/>
        </w:rPr>
      </w:pPr>
    </w:p>
    <w:p>
      <w:pPr>
        <w:ind w:left="840" w:right="320" w:hanging="544"/>
        <w:spacing w:after="0" w:line="266" w:lineRule="auto"/>
        <w:tabs>
          <w:tab w:leader="none" w:pos="84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after-tax interest expense ($37 million and $33 million for the three months ended June 30, 2010 and 2009, respectively, and $75 million and $67 million for the six months ended June 30, 2010 and 2009, respectively), intercompany eliminations recorded in consolidation and certai n corporate costs.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UNIT RESULTS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259715</wp:posOffset>
            </wp:positionV>
            <wp:extent cx="7259955" cy="294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EARNINGS BY BUSINESS UNIT – SEMPRA UTILITIES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131445</wp:posOffset>
            </wp:positionV>
            <wp:extent cx="123825" cy="1238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533400</wp:posOffset>
            </wp:positionV>
            <wp:extent cx="123825" cy="1238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SDG&amp;E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 business unit earnings were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§$75 million in the three months ended June 30, 2010 ($76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§$70 million in the three months ended June 30, 2009 ($71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§$158 million for the first six months of 2010 ($160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§$169 million for the first six months of 2009 ($171 million before preferred dividends)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of $5 million (7%) in the three months ended June 30, 2010 was due to:</w:t>
      </w:r>
    </w:p>
    <w:p>
      <w:pPr>
        <w:spacing w:after="0" w:line="60" w:lineRule="exact"/>
        <w:rPr>
          <w:sz w:val="20"/>
          <w:szCs w:val="20"/>
          <w:color w:val="auto"/>
        </w:rPr>
      </w:pPr>
    </w:p>
    <w:p>
      <w:pPr>
        <w:ind w:left="140" w:right="5220"/>
        <w:spacing w:after="0" w:line="317" w:lineRule="auto"/>
        <w:rPr>
          <w:sz w:val="20"/>
          <w:szCs w:val="20"/>
          <w:color w:val="auto"/>
        </w:rPr>
      </w:pPr>
      <w:r>
        <w:rPr>
          <w:rFonts w:ascii="Arial" w:cs="Arial" w:eastAsia="Arial" w:hAnsi="Arial"/>
          <w:sz w:val="16"/>
          <w:szCs w:val="16"/>
          <w:i w:val="1"/>
          <w:iCs w:val="1"/>
          <w:color w:val="auto"/>
        </w:rPr>
        <w:t>§$9 million from the resolution of regulatory matters in 2009 that adversely impacted earnings; §$5 million favorable impact from a decrease in litigation reserves in 2010;</w:t>
      </w:r>
    </w:p>
    <w:p>
      <w:pPr>
        <w:spacing w:after="0" w:line="1" w:lineRule="exact"/>
        <w:rPr>
          <w:sz w:val="20"/>
          <w:szCs w:val="20"/>
          <w:color w:val="auto"/>
        </w:rPr>
      </w:pPr>
    </w:p>
    <w:p>
      <w:pPr>
        <w:ind w:left="140" w:right="1880"/>
        <w:spacing w:after="0" w:line="317" w:lineRule="auto"/>
        <w:rPr>
          <w:sz w:val="20"/>
          <w:szCs w:val="20"/>
          <w:color w:val="auto"/>
        </w:rPr>
      </w:pPr>
      <w:r>
        <w:rPr>
          <w:rFonts w:ascii="Arial" w:cs="Arial" w:eastAsia="Arial" w:hAnsi="Arial"/>
          <w:sz w:val="16"/>
          <w:szCs w:val="16"/>
          <w:i w:val="1"/>
          <w:iCs w:val="1"/>
          <w:color w:val="auto"/>
        </w:rPr>
        <w:t xml:space="preserve">§$4 million higher California Public Utilities Commission (CPUC) authorized margin in excess of higher operation and maintenance expenses; and §$2 million higher electric transmission margin; </w:t>
      </w:r>
      <w:r>
        <w:rPr>
          <w:rFonts w:ascii="Arial" w:cs="Arial" w:eastAsia="Arial" w:hAnsi="Arial"/>
          <w:sz w:val="16"/>
          <w:szCs w:val="16"/>
          <w:b w:val="1"/>
          <w:bCs w:val="1"/>
          <w:i w:val="1"/>
          <w:iCs w:val="1"/>
          <w:color w:val="auto"/>
        </w:rPr>
        <w:t>offset by</w:t>
      </w:r>
    </w:p>
    <w:p>
      <w:pPr>
        <w:spacing w:after="0" w:line="1" w:lineRule="exact"/>
        <w:rPr>
          <w:sz w:val="20"/>
          <w:szCs w:val="20"/>
          <w:color w:val="auto"/>
        </w:rPr>
      </w:pPr>
    </w:p>
    <w:p>
      <w:pPr>
        <w:ind w:left="140" w:right="5540"/>
        <w:spacing w:after="0" w:line="339" w:lineRule="auto"/>
        <w:rPr>
          <w:sz w:val="20"/>
          <w:szCs w:val="20"/>
          <w:color w:val="auto"/>
        </w:rPr>
      </w:pPr>
      <w:r>
        <w:rPr>
          <w:rFonts w:ascii="Arial" w:cs="Arial" w:eastAsia="Arial" w:hAnsi="Arial"/>
          <w:sz w:val="16"/>
          <w:szCs w:val="16"/>
          <w:i w:val="1"/>
          <w:iCs w:val="1"/>
          <w:color w:val="auto"/>
        </w:rPr>
        <w:t>§$10 million due to the favorable resolution of prior years’ income tax issues in 2009; and §$6 million higher liability insurance premiums for wildfire coverage.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decrease of $11 million (7%) in the first six months of 2010 was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§$11 million higher liability insurance premiums for wildfire coverage;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§$10 million due to the favorable resolution of prior years’ income tax issues in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 million due to the favorable resolution of litigation in 2009; and</w:t>
      </w:r>
    </w:p>
    <w:p>
      <w:pPr>
        <w:sectPr>
          <w:pgSz w:w="11900" w:h="16838" w:orient="portrait"/>
          <w:cols w:equalWidth="0" w:num="1">
            <w:col w:w="11440"/>
          </w:cols>
          <w:pgMar w:left="240" w:top="131" w:right="219" w:bottom="0" w:gutter="0" w:footer="0" w:header="0"/>
        </w:sectPr>
      </w:pPr>
    </w:p>
    <w:bookmarkStart w:id="42" w:name="page43"/>
    <w:bookmarkEnd w:id="42"/>
    <w:p>
      <w:pPr>
        <w:spacing w:after="0" w:line="41" w:lineRule="exact"/>
        <w:rPr>
          <w:sz w:val="20"/>
          <w:szCs w:val="20"/>
          <w:color w:val="auto"/>
        </w:rPr>
      </w:pPr>
    </w:p>
    <w:p>
      <w:pPr>
        <w:jc w:val="both"/>
        <w:ind w:left="140" w:right="1180"/>
        <w:spacing w:after="0" w:line="265" w:lineRule="auto"/>
        <w:rPr>
          <w:sz w:val="20"/>
          <w:szCs w:val="20"/>
          <w:color w:val="auto"/>
        </w:rPr>
      </w:pPr>
      <w:r>
        <w:rPr>
          <w:rFonts w:ascii="Arial" w:cs="Arial" w:eastAsia="Arial" w:hAnsi="Arial"/>
          <w:sz w:val="16"/>
          <w:szCs w:val="16"/>
          <w:i w:val="1"/>
          <w:iCs w:val="1"/>
          <w:color w:val="auto"/>
        </w:rPr>
        <w:t xml:space="preserve">§$3 million due to the write-down of deferred tax assets as a result of the change in U.S. tax law regarding the Medicare Part D subsidy, which we discuss in "Changes in Revenues, Costs and Earnings – Income Taxes" below and in Note 5 of the Notes to Condensed Consolidated Financial Statements herein; </w:t>
      </w:r>
      <w:r>
        <w:rPr>
          <w:rFonts w:ascii="Arial" w:cs="Arial" w:eastAsia="Arial" w:hAnsi="Arial"/>
          <w:sz w:val="16"/>
          <w:szCs w:val="16"/>
          <w:b w:val="1"/>
          <w:bCs w:val="1"/>
          <w:i w:val="1"/>
          <w:iCs w:val="1"/>
          <w:color w:val="auto"/>
        </w:rPr>
        <w:t>offset</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by</w:t>
      </w:r>
    </w:p>
    <w:p>
      <w:pPr>
        <w:spacing w:after="0" w:line="24" w:lineRule="exact"/>
        <w:rPr>
          <w:sz w:val="20"/>
          <w:szCs w:val="20"/>
          <w:color w:val="auto"/>
        </w:rPr>
      </w:pPr>
    </w:p>
    <w:p>
      <w:pPr>
        <w:ind w:left="140" w:right="4860"/>
        <w:spacing w:after="0" w:line="339" w:lineRule="auto"/>
        <w:rPr>
          <w:sz w:val="20"/>
          <w:szCs w:val="20"/>
          <w:color w:val="auto"/>
        </w:rPr>
      </w:pPr>
      <w:r>
        <w:rPr>
          <w:rFonts w:ascii="Arial" w:cs="Arial" w:eastAsia="Arial" w:hAnsi="Arial"/>
          <w:sz w:val="16"/>
          <w:szCs w:val="16"/>
          <w:i w:val="1"/>
          <w:iCs w:val="1"/>
          <w:color w:val="auto"/>
        </w:rPr>
        <w:t>§$9 million from the resolution of regulatory matters in 2009 that adversely impacted earnings; and §$5 million higher electric transmission margin.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SoCalGas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SoCalGas business unit earnings were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§$69 million in the three months ended June 30, 2010 ($70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§$65 million in the three months ended June 30, 2009 ($66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§$134 million for the first six months of 2010 ($135 million before preferred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§$124 million for the first six months of 2009 ($125 million before preferred dividends)</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increase of $4 million (6%) in the three months ended June 30, 2010 was primarily due to a lower effective tax rate in 2010, which we discuss in “Changes in Revenues, Costs and Earnings – Income Taxes” below.</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of $10 million (8%) in the first six months of 2010 was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§$8 million higher CPUC authorized margin in excess of higher operation and maintenance expenses;</w:t>
      </w:r>
    </w:p>
    <w:p>
      <w:pPr>
        <w:spacing w:after="0" w:line="60" w:lineRule="exact"/>
        <w:rPr>
          <w:sz w:val="20"/>
          <w:szCs w:val="20"/>
          <w:color w:val="auto"/>
        </w:rPr>
      </w:pPr>
    </w:p>
    <w:p>
      <w:pPr>
        <w:ind w:left="140" w:right="2720"/>
        <w:spacing w:after="0" w:line="317" w:lineRule="auto"/>
        <w:rPr>
          <w:sz w:val="20"/>
          <w:szCs w:val="20"/>
          <w:color w:val="auto"/>
        </w:rPr>
      </w:pPr>
      <w:r>
        <w:rPr>
          <w:rFonts w:ascii="Arial" w:cs="Arial" w:eastAsia="Arial" w:hAnsi="Arial"/>
          <w:sz w:val="16"/>
          <w:szCs w:val="16"/>
          <w:i w:val="1"/>
          <w:iCs w:val="1"/>
          <w:color w:val="auto"/>
        </w:rPr>
        <w:t>§$4 million net favorable earnings impact primarily due to the effect of self-developed software costs on the effective income tax rate; §$3 million higher regulatory awards;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§$3 million lower net bad debt expense;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§$13 million due to the write-down of deferred tax assets associated with the Medicare Part D subsidy, which we discuss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9955" cy="294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BUSINESS UNIT – SEMPRA GLOBAL</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193040</wp:posOffset>
            </wp:positionV>
            <wp:extent cx="123825" cy="123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703580</wp:posOffset>
            </wp:positionV>
            <wp:extent cx="123825" cy="123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Commodities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Commodities recorded business unit earnings (losses) of:</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§$0 million in the three months ended June 30,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§$85 million in the three months ended June 30,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 million for the first six months of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§$199 million for the first six months of 2009</w:t>
      </w:r>
    </w:p>
    <w:p>
      <w:pPr>
        <w:spacing w:after="0" w:line="1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i w:val="1"/>
          <w:iCs w:val="1"/>
          <w:color w:val="auto"/>
        </w:rPr>
        <w:t>The change in earnings for both the three months and six months ended June 30, 2010 was due to approximately break-even performance in 2010 from the RBS Sempra Commodities LLP joint venture compared to positive earnings in 2009, primarily due to lower results from crude oil, oil p roducts and natural gas, and higher employee retention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Generation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Generation recorded business unit earnings (losses) of:</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§$48 million in the three months ended June 30,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§$33 million in the three months ended June 30,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 million for the first six months of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§$76 million for the first six months of 2009</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of $15 million (45%) in the three months ended June 30, 2010 was due to:</w:t>
      </w:r>
    </w:p>
    <w:p>
      <w:pPr>
        <w:spacing w:after="0" w:line="60" w:lineRule="exact"/>
        <w:rPr>
          <w:sz w:val="20"/>
          <w:szCs w:val="20"/>
          <w:color w:val="auto"/>
        </w:rPr>
      </w:pPr>
    </w:p>
    <w:p>
      <w:pPr>
        <w:ind w:left="140" w:right="1680"/>
        <w:spacing w:after="0" w:line="276" w:lineRule="auto"/>
        <w:rPr>
          <w:sz w:val="20"/>
          <w:szCs w:val="20"/>
          <w:color w:val="auto"/>
        </w:rPr>
      </w:pPr>
      <w:r>
        <w:rPr>
          <w:rFonts w:ascii="Arial" w:cs="Arial" w:eastAsia="Arial" w:hAnsi="Arial"/>
          <w:sz w:val="16"/>
          <w:szCs w:val="16"/>
          <w:i w:val="1"/>
          <w:iCs w:val="1"/>
          <w:color w:val="auto"/>
        </w:rPr>
        <w:t>§$22 million higher renewable energy tax credits due to additional investments in the Copper Mountain Solar project and adjustments to the expected completion date of the project; and</w:t>
      </w:r>
    </w:p>
    <w:p>
      <w:pPr>
        <w:spacing w:after="0" w:line="15" w:lineRule="exact"/>
        <w:rPr>
          <w:sz w:val="20"/>
          <w:szCs w:val="20"/>
          <w:color w:val="auto"/>
        </w:rPr>
      </w:pPr>
    </w:p>
    <w:p>
      <w:pPr>
        <w:ind w:left="140" w:right="1180"/>
        <w:spacing w:after="0" w:line="276" w:lineRule="auto"/>
        <w:rPr>
          <w:sz w:val="20"/>
          <w:szCs w:val="20"/>
          <w:color w:val="auto"/>
        </w:rPr>
      </w:pPr>
      <w:r>
        <w:rPr>
          <w:rFonts w:ascii="Arial" w:cs="Arial" w:eastAsia="Arial" w:hAnsi="Arial"/>
          <w:sz w:val="16"/>
          <w:szCs w:val="16"/>
          <w:i w:val="1"/>
          <w:iCs w:val="1"/>
          <w:color w:val="auto"/>
        </w:rPr>
        <w:t xml:space="preserve">§$1 million income tax benefit related to Mexican currency translation and inflation adjustments in 2010 compared to $4 million income tax expense in 2009; </w:t>
      </w:r>
      <w:r>
        <w:rPr>
          <w:rFonts w:ascii="Arial" w:cs="Arial" w:eastAsia="Arial" w:hAnsi="Arial"/>
          <w:sz w:val="16"/>
          <w:szCs w:val="16"/>
          <w:b w:val="1"/>
          <w:bCs w:val="1"/>
          <w:i w:val="1"/>
          <w:iCs w:val="1"/>
          <w:color w:val="auto"/>
        </w:rPr>
        <w:t>offset by</w:t>
      </w:r>
    </w:p>
    <w:p>
      <w:pPr>
        <w:spacing w:after="0" w:line="15" w:lineRule="exact"/>
        <w:rPr>
          <w:sz w:val="20"/>
          <w:szCs w:val="20"/>
          <w:color w:val="auto"/>
        </w:rPr>
      </w:pPr>
    </w:p>
    <w:p>
      <w:pPr>
        <w:ind w:left="140" w:right="1440"/>
        <w:spacing w:after="0" w:line="276" w:lineRule="auto"/>
        <w:rPr>
          <w:sz w:val="20"/>
          <w:szCs w:val="20"/>
          <w:color w:val="auto"/>
        </w:rPr>
      </w:pPr>
      <w:r>
        <w:rPr>
          <w:rFonts w:ascii="Arial" w:cs="Arial" w:eastAsia="Arial" w:hAnsi="Arial"/>
          <w:sz w:val="16"/>
          <w:szCs w:val="16"/>
          <w:i w:val="1"/>
          <w:iCs w:val="1"/>
          <w:color w:val="auto"/>
        </w:rPr>
        <w:t>§$7 million lower earnings from operations, p rimarily from increased scheduled plant maintenance and associated down time in 2010, and expenses and associated down time from earthquake damage to our Mexicali power plant; and</w:t>
      </w:r>
    </w:p>
    <w:p>
      <w:pPr>
        <w:spacing w:after="0" w:line="15" w:lineRule="exact"/>
        <w:rPr>
          <w:sz w:val="20"/>
          <w:szCs w:val="20"/>
          <w:color w:val="auto"/>
        </w:rPr>
      </w:pPr>
    </w:p>
    <w:p>
      <w:pPr>
        <w:ind w:left="140" w:right="1400"/>
        <w:spacing w:after="0" w:line="276" w:lineRule="auto"/>
        <w:rPr>
          <w:sz w:val="20"/>
          <w:szCs w:val="20"/>
          <w:color w:val="auto"/>
        </w:rPr>
      </w:pPr>
      <w:r>
        <w:rPr>
          <w:rFonts w:ascii="Arial" w:cs="Arial" w:eastAsia="Arial" w:hAnsi="Arial"/>
          <w:sz w:val="16"/>
          <w:szCs w:val="16"/>
          <w:i w:val="1"/>
          <w:iCs w:val="1"/>
          <w:color w:val="auto"/>
        </w:rPr>
        <w:t>§$3 million mark-to market losses on forward contracts with RBS Sempra Commodities and other counterparties in 2010 compared to $3 million mark-to-market gains in 2009.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change in the six months ended June 30, 2010 was primarily due to:</w:t>
      </w:r>
    </w:p>
    <w:p>
      <w:pPr>
        <w:spacing w:after="0" w:line="60" w:lineRule="exact"/>
        <w:rPr>
          <w:sz w:val="20"/>
          <w:szCs w:val="20"/>
          <w:color w:val="auto"/>
        </w:rPr>
      </w:pPr>
    </w:p>
    <w:p>
      <w:pPr>
        <w:ind w:left="140" w:right="1100"/>
        <w:spacing w:after="0" w:line="276" w:lineRule="auto"/>
        <w:rPr>
          <w:sz w:val="20"/>
          <w:szCs w:val="20"/>
          <w:color w:val="auto"/>
        </w:rPr>
      </w:pPr>
      <w:r>
        <w:rPr>
          <w:rFonts w:ascii="Arial" w:cs="Arial" w:eastAsia="Arial" w:hAnsi="Arial"/>
          <w:sz w:val="16"/>
          <w:szCs w:val="16"/>
          <w:i w:val="1"/>
          <w:iCs w:val="1"/>
          <w:color w:val="auto"/>
        </w:rPr>
        <w:t>§$85 million in litigation expense related to an agreement in principle to settle energy crisis litigation associated with the DWR contract, as we discuss in Note 10 of the Notes to Condensed Consolidated Financial Statements herein; and</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i w:val="1"/>
          <w:iCs w:val="1"/>
          <w:color w:val="auto"/>
        </w:rPr>
        <w:t xml:space="preserve">§$19 million lower earnings from operations, primarily from increased scheduled plant maintenance and associated down time in 2010, and expenses and associated down time from earthquake damage to our Mexicali power plant in the second quarter of 2010; </w:t>
      </w:r>
      <w:r>
        <w:rPr>
          <w:rFonts w:ascii="Arial" w:cs="Arial" w:eastAsia="Arial" w:hAnsi="Arial"/>
          <w:sz w:val="16"/>
          <w:szCs w:val="16"/>
          <w:b w:val="1"/>
          <w:bCs w:val="1"/>
          <w:i w:val="1"/>
          <w:iCs w:val="1"/>
          <w:color w:val="auto"/>
        </w:rPr>
        <w:t>offset by</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§$25 million renewable energy tax credits in 2010.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Pipelines &amp; Storage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Pipelines &amp; Storage recorded business unit earnings (losses) of:</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§$39 million in the three months ended June 30,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§$(27) million in the three months ended June 30,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§$77 million for the first six months of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§$10 million for the first six months of 2009</w:t>
      </w:r>
    </w:p>
    <w:p>
      <w:pPr>
        <w:sectPr>
          <w:pgSz w:w="11900" w:h="16880" w:orient="portrait"/>
          <w:cols w:equalWidth="0" w:num="1">
            <w:col w:w="11340"/>
          </w:cols>
          <w:pgMar w:left="240" w:top="131" w:right="319" w:bottom="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The improvement in earnings in both the three months and six months ended June 30, 2010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§$64 million lower earnings in 2009 from a write-off of assets at Liberty;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 million related to the El Paso pipelines acquisition in April 2010.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LNG</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LNG recorded earnings (losses) of:</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§$13 million in the three months ended June 30,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§$(12) million in the three months ended June 30,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§$45 million for the first six months of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§$(19) million for the first six months of 2009</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improvement in earnings of $25 million in the three months end ed June 30, 2010 was primarily due to higher earnings from operations.</w:t>
      </w:r>
    </w:p>
    <w:p>
      <w:pPr>
        <w:spacing w:after="0" w:line="60" w:lineRule="exact"/>
        <w:rPr>
          <w:sz w:val="20"/>
          <w:szCs w:val="20"/>
          <w:color w:val="auto"/>
        </w:rPr>
      </w:pPr>
    </w:p>
    <w:p>
      <w:pPr>
        <w:ind w:right="20"/>
        <w:spacing w:after="0" w:line="350" w:lineRule="auto"/>
        <w:rPr>
          <w:sz w:val="20"/>
          <w:szCs w:val="20"/>
          <w:color w:val="auto"/>
        </w:rPr>
      </w:pPr>
      <w:r>
        <w:rPr>
          <w:rFonts w:ascii="Arial" w:cs="Arial" w:eastAsia="Arial" w:hAnsi="Arial"/>
          <w:sz w:val="14"/>
          <w:szCs w:val="14"/>
          <w:i w:val="1"/>
          <w:iCs w:val="1"/>
          <w:color w:val="auto"/>
        </w:rPr>
        <w:t>The improvement in earnings of $64 million in the first six months of 2010 was primarily from higher earnings from operations, of which $11 million relates to revenues that are not expected to recur over the long-term related to contractual counterparty obligations for non-delivery of cargoes. Results for 2010 also include $9 million mark-to-market gains.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Parent and Other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Losses for Parent and Other were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§$22 million in the three months ended June 30,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§$16 million in the three months ended June 30, 2009</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§$76 million for the first six months of 2010</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§$45 million for the first six months of 2009</w:t>
      </w:r>
    </w:p>
    <w:p>
      <w:pPr>
        <w:spacing w:after="0" w:line="157"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i w:val="1"/>
          <w:iCs w:val="1"/>
          <w:color w:val="auto"/>
        </w:rPr>
        <w:t>The increase in losses of $6 million (38%) in the three months ended June 30, 2010 was primarily due to $15 million of investment gains in 2009 on dedicated assets in support of our executive retirement and deferred compensation plans due to improved market conditions. This amount is net of the change in deferred compensation liability associated with the investments.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in losses of $31 million (69%) in the first six months of 2010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§$32 million higher income tax expense;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§$12 million higher net interest expense;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§$9 million lower general and administrative expenses.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REVENUES, COSTS AND EARNINGS</w:t>
      </w:r>
    </w:p>
    <w:p>
      <w:pPr>
        <w:spacing w:after="0" w:line="102" w:lineRule="exact"/>
        <w:rPr>
          <w:sz w:val="20"/>
          <w:szCs w:val="20"/>
          <w:color w:val="auto"/>
        </w:rPr>
      </w:pPr>
    </w:p>
    <w:p>
      <w:pPr>
        <w:ind w:right="600"/>
        <w:spacing w:after="0" w:line="276" w:lineRule="auto"/>
        <w:rPr>
          <w:sz w:val="20"/>
          <w:szCs w:val="20"/>
          <w:color w:val="auto"/>
        </w:rPr>
      </w:pPr>
      <w:r>
        <w:rPr>
          <w:rFonts w:ascii="Arial" w:cs="Arial" w:eastAsia="Arial" w:hAnsi="Arial"/>
          <w:sz w:val="16"/>
          <w:szCs w:val="16"/>
          <w:i w:val="1"/>
          <w:iCs w:val="1"/>
          <w:color w:val="auto"/>
        </w:rPr>
        <w:t>This section contains a discussion of the differences between periods in the specific line items of the Condensed Consolidated Statements of Operations for Sempra Energy, SDG&amp;E, PE and SoCalGas.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Utilities Revenues</w:t>
      </w:r>
    </w:p>
    <w:p>
      <w:pPr>
        <w:spacing w:after="0" w:line="206"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i w:val="1"/>
          <w:iCs w:val="1"/>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This mechanism permits full recovery of costs incurred when average purchase costs are within a price range around a monthly benchmark price. Any higher costs or savings realized outside this range are shared between the core customers and SoCalGas. We provide further discussion in Note 9 of the Notes to Condensed Consolidated Financial Statements herein.</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regulatory framework also permits SDG&amp;E to r ecover the actual cost incurred to generate or procure electricity based on annual estimates of the cost of electricity supplied to customers. The differences in cost between estimates and actual are recovered in the next year through rates.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Utilities: Natural Gas Revenues and Cost of Natural Gas</w:t>
      </w:r>
    </w:p>
    <w:p>
      <w:pPr>
        <w:spacing w:after="0" w:line="60"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i w:val="1"/>
          <w:iCs w:val="1"/>
          <w:color w:val="auto"/>
        </w:rPr>
        <w:t>The tables below show natural gas revenues for Sempra Energy, SDG&amp;E and SoCalGas for the six-month periods ended June 30. The Sempra Energy Consolidated amounts reflect SDG&amp;E and SoCalGas revenues, net of intercompany transactions. Because the cost of natural gas is recovered in rates, changes in the cost are reflected in the changes in revenues. In addition to the change in market prices, the average cost of natural gas recorded during a period is impacted by the difference between customer billings and recorded or CPUC-authorized costs. These differences are re quired to be balanced over time, resulting in over- and undercollected regulatory balancing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312420</wp:posOffset>
            </wp:positionV>
            <wp:extent cx="5010150" cy="440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10150" cy="4406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SEMPRA ENERGY CONSOLIDATED</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NATURAL GAS SALES AND TRANSPORTATION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gridSpan w:val="2"/>
          </w:tcPr>
          <w:p>
            <w:pPr>
              <w:ind w:left="100"/>
              <w:spacing w:after="0"/>
              <w:rPr>
                <w:sz w:val="20"/>
                <w:szCs w:val="20"/>
                <w:color w:val="auto"/>
              </w:rPr>
            </w:pPr>
            <w:r>
              <w:rPr>
                <w:rFonts w:ascii="Arial" w:cs="Arial" w:eastAsia="Arial" w:hAnsi="Arial"/>
                <w:sz w:val="13"/>
                <w:szCs w:val="13"/>
                <w:i w:val="1"/>
                <w:iCs w:val="1"/>
                <w:color w:val="auto"/>
              </w:rPr>
              <w:t>(Volumes in billion cubic feet, dollars in millions)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Natural Gas Sales</w:t>
            </w:r>
          </w:p>
        </w:tc>
        <w:tc>
          <w:tcPr>
            <w:tcW w:w="5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3"/>
                <w:szCs w:val="13"/>
                <w:color w:val="auto"/>
              </w:rPr>
              <w:t>Transportation</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ind w:left="9"/>
              <w:spacing w:after="0"/>
              <w:rPr>
                <w:sz w:val="20"/>
                <w:szCs w:val="20"/>
                <w:color w:val="auto"/>
              </w:rPr>
            </w:pPr>
            <w:r>
              <w:rPr>
                <w:rFonts w:ascii="Arial" w:cs="Arial" w:eastAsia="Arial" w:hAnsi="Arial"/>
                <w:sz w:val="13"/>
                <w:szCs w:val="13"/>
                <w:color w:val="auto"/>
                <w:w w:val="89"/>
              </w:rPr>
              <w:t>Total</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Customer class</w:t>
            </w: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color w:val="auto"/>
              </w:rPr>
              <w:t>Volumes</w:t>
            </w:r>
          </w:p>
        </w:tc>
        <w:tc>
          <w:tcPr>
            <w:tcW w:w="1000" w:type="dxa"/>
            <w:vAlign w:val="bottom"/>
            <w:tcBorders>
              <w:bottom w:val="single" w:sz="8" w:color="auto"/>
            </w:tcBorders>
            <w:gridSpan w:val="2"/>
          </w:tcPr>
          <w:p>
            <w:pPr>
              <w:jc w:val="right"/>
              <w:ind w:right="87"/>
              <w:spacing w:after="0" w:line="212" w:lineRule="exact"/>
              <w:rPr>
                <w:sz w:val="20"/>
                <w:szCs w:val="20"/>
                <w:color w:val="auto"/>
              </w:rPr>
            </w:pPr>
            <w:r>
              <w:rPr>
                <w:rFonts w:ascii="Arial" w:cs="Arial" w:eastAsia="Arial" w:hAnsi="Arial"/>
                <w:sz w:val="19"/>
                <w:szCs w:val="19"/>
                <w:color w:val="auto"/>
              </w:rPr>
              <w:t>Revenue</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auto"/>
              </w:rPr>
              <w:t>Volumes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color w:val="auto"/>
                <w:w w:val="96"/>
              </w:rPr>
              <w:t>Revenue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Volumes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color w:val="auto"/>
                <w:w w:val="96"/>
              </w:rPr>
              <w:t>Revenue</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2010:</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28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155&amp;nb sp;</w:t>
            </w:r>
          </w:p>
        </w:tc>
        <w:tc>
          <w:tcPr>
            <w:tcW w:w="500" w:type="dxa"/>
            <w:vAlign w:val="bottom"/>
          </w:tcPr>
          <w:p>
            <w:pPr>
              <w:jc w:val="right"/>
              <w:ind w:right="262"/>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w w:val="90"/>
              </w:rPr>
              <w:t>1,522</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5"/>
                <w:szCs w:val="15"/>
                <w:color w:val="auto"/>
              </w:rPr>
              <w:t>156</w:t>
            </w:r>
          </w:p>
        </w:tc>
        <w:tc>
          <w:tcPr>
            <w:tcW w:w="340" w:type="dxa"/>
            <w:vAlign w:val="bottom"/>
            <w:gridSpan w:val="2"/>
          </w:tcPr>
          <w:p>
            <w:pPr>
              <w:jc w:val="center"/>
              <w:ind w:left="29"/>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1,524</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Commercial and industrial</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62</w:t>
            </w:r>
          </w:p>
        </w:tc>
        <w:tc>
          <w:tcPr>
            <w:tcW w:w="500" w:type="dxa"/>
            <w:vAlign w:val="bottom"/>
          </w:tcPr>
          <w:p>
            <w:pPr>
              <w:spacing w:after="0"/>
              <w:rPr>
                <w:sz w:val="19"/>
                <w:szCs w:val="19"/>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484</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134</w:t>
            </w:r>
          </w:p>
        </w:tc>
        <w:tc>
          <w:tcPr>
            <w:tcW w:w="200" w:type="dxa"/>
            <w:vAlign w:val="bottom"/>
          </w:tcPr>
          <w:p>
            <w:pPr>
              <w:spacing w:after="0"/>
              <w:rPr>
                <w:sz w:val="19"/>
                <w:szCs w:val="19"/>
                <w:color w:val="auto"/>
              </w:rPr>
            </w:pP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118</w:t>
            </w:r>
          </w:p>
        </w:tc>
        <w:tc>
          <w:tcPr>
            <w:tcW w:w="66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Electric generation plants</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83</w:t>
            </w:r>
          </w:p>
        </w:tc>
        <w:tc>
          <w:tcPr>
            <w:tcW w:w="200" w:type="dxa"/>
            <w:vAlign w:val="bottom"/>
          </w:tcPr>
          <w:p>
            <w:pPr>
              <w:spacing w:after="0"/>
              <w:rPr>
                <w:sz w:val="19"/>
                <w:szCs w:val="19"/>
                <w:color w:val="auto"/>
              </w:rPr>
            </w:pP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19</w:t>
            </w:r>
          </w:p>
        </w:tc>
        <w:tc>
          <w:tcPr>
            <w:tcW w:w="66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12"/>
        </w:trPr>
        <w:tc>
          <w:tcPr>
            <w:tcW w:w="2280" w:type="dxa"/>
            <w:vAlign w:val="bottom"/>
          </w:tcPr>
          <w:p>
            <w:pPr>
              <w:ind w:left="260"/>
              <w:spacing w:after="0"/>
              <w:rPr>
                <w:sz w:val="20"/>
                <w:szCs w:val="20"/>
                <w:color w:val="auto"/>
              </w:rPr>
            </w:pPr>
            <w:r>
              <w:rPr>
                <w:rFonts w:ascii="Arial" w:cs="Arial" w:eastAsia="Arial" w:hAnsi="Arial"/>
                <w:sz w:val="15"/>
                <w:szCs w:val="15"/>
                <w:color w:val="auto"/>
              </w:rPr>
              <w:t>Wholesale</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217</w:t>
            </w:r>
          </w:p>
        </w:tc>
        <w:tc>
          <w:tcPr>
            <w:tcW w:w="500" w:type="dxa"/>
            <w:vAlign w:val="bottom"/>
          </w:tcPr>
          <w:p>
            <w:pPr>
              <w:jc w:val="right"/>
              <w:ind w:right="262"/>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w w:val="90"/>
              </w:rPr>
              <w:t>2,006</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230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142</w:t>
            </w:r>
          </w:p>
        </w:tc>
        <w:tc>
          <w:tcPr>
            <w:tcW w:w="660" w:type="dxa"/>
            <w:vAlign w:val="bottom"/>
          </w:tcPr>
          <w:p>
            <w:pPr>
              <w:jc w:val="right"/>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2,148</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2"/>
        </w:trPr>
        <w:tc>
          <w:tcPr>
            <w:tcW w:w="2280" w:type="dxa"/>
            <w:vAlign w:val="bottom"/>
          </w:tcPr>
          <w:p>
            <w:pPr>
              <w:ind w:left="260"/>
              <w:spacing w:after="0"/>
              <w:rPr>
                <w:sz w:val="20"/>
                <w:szCs w:val="20"/>
                <w:color w:val="auto"/>
              </w:rPr>
            </w:pPr>
            <w:r>
              <w:rPr>
                <w:rFonts w:ascii="Arial" w:cs="Arial" w:eastAsia="Arial" w:hAnsi="Arial"/>
                <w:sz w:val="15"/>
                <w:szCs w:val="15"/>
                <w:color w:val="auto"/>
              </w:rPr>
              <w:t>Balancing accounts(1)</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2,276</w:t>
            </w:r>
          </w:p>
        </w:tc>
        <w:tc>
          <w:tcPr>
            <w:tcW w:w="0" w:type="dxa"/>
            <w:vAlign w:val="bottom"/>
          </w:tcPr>
          <w:p>
            <w:pPr>
              <w:spacing w:after="0"/>
              <w:rPr>
                <w:sz w:val="1"/>
                <w:szCs w:val="1"/>
                <w:color w:val="auto"/>
              </w:rPr>
            </w:pPr>
          </w:p>
        </w:tc>
      </w:tr>
      <w:tr>
        <w:trPr>
          <w:trHeight w:val="214"/>
        </w:trPr>
        <w:tc>
          <w:tcPr>
            <w:tcW w:w="2280" w:type="dxa"/>
            <w:vAlign w:val="bottom"/>
          </w:tcPr>
          <w:p>
            <w:pPr>
              <w:ind w:left="100"/>
              <w:spacing w:after="0"/>
              <w:rPr>
                <w:sz w:val="20"/>
                <w:szCs w:val="20"/>
                <w:color w:val="auto"/>
              </w:rPr>
            </w:pPr>
            <w:r>
              <w:rPr>
                <w:rFonts w:ascii="Arial" w:cs="Arial" w:eastAsia="Arial" w:hAnsi="Arial"/>
                <w:sz w:val="15"/>
                <w:szCs w:val="15"/>
                <w:color w:val="auto"/>
              </w:rPr>
              <w:t>2009:</w:t>
            </w:r>
          </w:p>
        </w:tc>
        <w:tc>
          <w:tcPr>
            <w:tcW w:w="1100" w:type="dxa"/>
            <w:vAlign w:val="bottom"/>
            <w:vMerge w:val="restart"/>
          </w:tcPr>
          <w:p>
            <w:pPr>
              <w:jc w:val="right"/>
              <w:ind w:right="86"/>
              <w:spacing w:after="0"/>
              <w:rPr>
                <w:sz w:val="20"/>
                <w:szCs w:val="20"/>
                <w:color w:val="auto"/>
              </w:rPr>
            </w:pPr>
            <w:r>
              <w:rPr>
                <w:rFonts w:ascii="Arial" w:cs="Arial" w:eastAsia="Arial" w:hAnsi="Arial"/>
                <w:sz w:val="19"/>
                <w:szCs w:val="19"/>
                <w:color w:val="auto"/>
              </w:rPr>
              <w:t>149</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1100" w:type="dxa"/>
            <w:vAlign w:val="bottom"/>
            <w:vMerge w:val="continue"/>
          </w:tcPr>
          <w:p>
            <w:pPr>
              <w:spacing w:after="0"/>
              <w:rPr>
                <w:sz w:val="20"/>
                <w:szCs w:val="20"/>
                <w:color w:val="auto"/>
              </w:rPr>
            </w:pPr>
          </w:p>
        </w:tc>
        <w:tc>
          <w:tcPr>
            <w:tcW w:w="500" w:type="dxa"/>
            <w:vAlign w:val="bottom"/>
          </w:tcPr>
          <w:p>
            <w:pPr>
              <w:jc w:val="right"/>
              <w:ind w:right="262"/>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w w:val="90"/>
              </w:rPr>
              <w:t>1,280</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5"/>
                <w:szCs w:val="15"/>
                <w:color w:val="auto"/>
              </w:rPr>
              <w:t>150</w:t>
            </w:r>
          </w:p>
        </w:tc>
        <w:tc>
          <w:tcPr>
            <w:tcW w:w="340" w:type="dxa"/>
            <w:vAlign w:val="bottom"/>
            <w:gridSpan w:val="2"/>
          </w:tcPr>
          <w:p>
            <w:pPr>
              <w:jc w:val="center"/>
              <w:ind w:left="29"/>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17"/>
        </w:trPr>
        <w:tc>
          <w:tcPr>
            <w:tcW w:w="2280" w:type="dxa"/>
            <w:vAlign w:val="bottom"/>
          </w:tcPr>
          <w:p>
            <w:pPr>
              <w:ind w:left="160"/>
              <w:spacing w:after="0"/>
              <w:rPr>
                <w:sz w:val="20"/>
                <w:szCs w:val="20"/>
                <w:color w:val="auto"/>
              </w:rPr>
            </w:pPr>
            <w:r>
              <w:rPr>
                <w:rFonts w:ascii="Arial" w:cs="Arial" w:eastAsia="Arial" w:hAnsi="Arial"/>
                <w:sz w:val="15"/>
                <w:szCs w:val="15"/>
                <w:color w:val="auto"/>
              </w:rPr>
              <w:t>Commercial and industrial</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62</w:t>
            </w:r>
          </w:p>
        </w:tc>
        <w:tc>
          <w:tcPr>
            <w:tcW w:w="500" w:type="dxa"/>
            <w:vAlign w:val="bottom"/>
          </w:tcPr>
          <w:p>
            <w:pPr>
              <w:spacing w:after="0"/>
              <w:rPr>
                <w:sz w:val="18"/>
                <w:szCs w:val="18"/>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413</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130</w:t>
            </w:r>
          </w:p>
        </w:tc>
        <w:tc>
          <w:tcPr>
            <w:tcW w:w="20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104</w:t>
            </w:r>
          </w:p>
        </w:tc>
        <w:tc>
          <w:tcPr>
            <w:tcW w:w="660" w:type="dxa"/>
            <w:vAlign w:val="bottom"/>
          </w:tcPr>
          <w:p>
            <w:pPr>
              <w:jc w:val="right"/>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Electric generation plants</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5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110</w:t>
            </w:r>
          </w:p>
        </w:tc>
        <w:tc>
          <w:tcPr>
            <w:tcW w:w="200" w:type="dxa"/>
            <w:vAlign w:val="bottom"/>
          </w:tcPr>
          <w:p>
            <w:pPr>
              <w:spacing w:after="0"/>
              <w:rPr>
                <w:sz w:val="19"/>
                <w:szCs w:val="19"/>
                <w:color w:val="auto"/>
              </w:rPr>
            </w:pPr>
          </w:p>
        </w:tc>
        <w:tc>
          <w:tcPr>
            <w:tcW w:w="760" w:type="dxa"/>
            <w:vAlign w:val="bottom"/>
          </w:tcPr>
          <w:p>
            <w:pPr>
              <w:jc w:val="right"/>
              <w:ind w:right="108"/>
              <w:spacing w:after="0"/>
              <w:rPr>
                <w:sz w:val="20"/>
                <w:szCs w:val="20"/>
                <w:color w:val="auto"/>
              </w:rPr>
            </w:pPr>
            <w:r>
              <w:rPr>
                <w:rFonts w:ascii="Arial" w:cs="Arial" w:eastAsia="Arial" w:hAnsi="Arial"/>
                <w:sz w:val="15"/>
                <w:szCs w:val="15"/>
                <w:color w:val="auto"/>
              </w:rPr>
              <w:t>28</w:t>
            </w:r>
          </w:p>
        </w:tc>
        <w:tc>
          <w:tcPr>
            <w:tcW w:w="660" w:type="dxa"/>
            <w:vAlign w:val="bottom"/>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2"/>
        </w:trPr>
        <w:tc>
          <w:tcPr>
            <w:tcW w:w="2280" w:type="dxa"/>
            <w:vAlign w:val="bottom"/>
          </w:tcPr>
          <w:p>
            <w:pPr>
              <w:ind w:left="260"/>
              <w:spacing w:after="0"/>
              <w:rPr>
                <w:sz w:val="20"/>
                <w:szCs w:val="20"/>
                <w:color w:val="auto"/>
              </w:rPr>
            </w:pPr>
            <w:r>
              <w:rPr>
                <w:rFonts w:ascii="Arial" w:cs="Arial" w:eastAsia="Arial" w:hAnsi="Arial"/>
                <w:sz w:val="15"/>
                <w:szCs w:val="15"/>
                <w:color w:val="auto"/>
              </w:rPr>
              <w:t>Wholesale</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211</w:t>
            </w:r>
          </w:p>
        </w:tc>
        <w:tc>
          <w:tcPr>
            <w:tcW w:w="500" w:type="dxa"/>
            <w:vAlign w:val="bottom"/>
          </w:tcPr>
          <w:p>
            <w:pPr>
              <w:jc w:val="right"/>
              <w:ind w:right="262"/>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7"/>
              <w:spacing w:after="0"/>
              <w:rPr>
                <w:sz w:val="20"/>
                <w:szCs w:val="20"/>
                <w:color w:val="auto"/>
              </w:rPr>
            </w:pPr>
            <w:r>
              <w:rPr>
                <w:rFonts w:ascii="Arial" w:cs="Arial" w:eastAsia="Arial" w:hAnsi="Arial"/>
                <w:sz w:val="15"/>
                <w:szCs w:val="15"/>
                <w:color w:val="auto"/>
                <w:w w:val="90"/>
              </w:rPr>
              <w:t>1,693</w:t>
            </w: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251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8"/>
              <w:spacing w:after="0"/>
              <w:rPr>
                <w:sz w:val="20"/>
                <w:szCs w:val="20"/>
                <w:color w:val="auto"/>
              </w:rPr>
            </w:pPr>
            <w:r>
              <w:rPr>
                <w:rFonts w:ascii="Arial" w:cs="Arial" w:eastAsia="Arial" w:hAnsi="Arial"/>
                <w:sz w:val="15"/>
                <w:szCs w:val="15"/>
                <w:color w:val="auto"/>
              </w:rPr>
              <w:t>137</w:t>
            </w:r>
          </w:p>
        </w:tc>
        <w:tc>
          <w:tcPr>
            <w:tcW w:w="660" w:type="dxa"/>
            <w:vAlign w:val="bottom"/>
          </w:tcPr>
          <w:p>
            <w:pPr>
              <w:jc w:val="right"/>
              <w:spacing w:after="0"/>
              <w:rPr>
                <w:sz w:val="20"/>
                <w:szCs w:val="20"/>
                <w:color w:val="auto"/>
              </w:rPr>
            </w:pPr>
            <w:r>
              <w:rPr>
                <w:rFonts w:ascii="Arial" w:cs="Arial" w:eastAsia="Arial" w:hAnsi="Arial"/>
                <w:sz w:val="15"/>
                <w:szCs w:val="15"/>
                <w:color w:val="auto"/>
              </w:rPr>
              <w:t>462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1,830</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2"/>
        </w:trPr>
        <w:tc>
          <w:tcPr>
            <w:tcW w:w="2280" w:type="dxa"/>
            <w:vAlign w:val="bottom"/>
          </w:tcPr>
          <w:p>
            <w:pPr>
              <w:ind w:left="260"/>
              <w:spacing w:after="0"/>
              <w:rPr>
                <w:sz w:val="20"/>
                <w:szCs w:val="20"/>
                <w:color w:val="auto"/>
              </w:rPr>
            </w:pPr>
            <w:r>
              <w:rPr>
                <w:rFonts w:ascii="Arial" w:cs="Arial" w:eastAsia="Arial" w:hAnsi="Arial"/>
                <w:sz w:val="15"/>
                <w:szCs w:val="15"/>
                <w:color w:val="auto"/>
              </w:rPr>
              <w:t>Balancing accounts(1)</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ectPr>
          <w:pgSz w:w="11900" w:h="16838" w:orient="portrait"/>
          <w:cols w:equalWidth="0" w:num="1">
            <w:col w:w="11440"/>
          </w:cols>
          <w:pgMar w:left="240" w:top="131" w:right="219" w:bottom="0" w:gutter="0" w:footer="0" w:header="0"/>
        </w:sectPr>
      </w:pPr>
    </w:p>
    <w:bookmarkStart w:id="44" w:name="page45"/>
    <w:bookmarkEnd w:id="44"/>
    <w:p>
      <w:pPr>
        <w:ind w:left="420"/>
        <w:spacing w:after="0"/>
        <w:tabs>
          <w:tab w:leader="none" w:pos="6920" w:val="left"/>
          <w:tab w:leader="none" w:pos="736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28575</wp:posOffset>
            </wp:positionV>
            <wp:extent cx="2891790"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1790" cy="2349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(1) We discuss balancing accounts and their effects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-72390</wp:posOffset>
            </wp:positionV>
            <wp:extent cx="66484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4845" cy="23495"/>
                    </a:xfrm>
                    <a:prstGeom prst="rect">
                      <a:avLst/>
                    </a:prstGeom>
                    <a:noFill/>
                  </pic:spPr>
                </pic:pic>
              </a:graphicData>
            </a:graphic>
          </wp:anchor>
        </w:drawing>
      </w:r>
    </w:p>
    <w:p>
      <w:pPr>
        <w:spacing w:after="0" w:line="245"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i w:val="1"/>
          <w:iCs w:val="1"/>
          <w:color w:val="auto"/>
        </w:rPr>
        <w:t>During the three months ended June 30, 2010, our natural gas revenues increased by $144 million (18%) to $926 million, and the cost of natural gas increased by $110 million (44%) to $359 million. During the six months ended June 30, 2010, our natural gas revenues increased by $403 million (22%) to $2.3 billion, and the cost of natural gas increased by $328 million (42%) to $1.1 billion. The primary factor contributing to the increased natural gas revenues and cost of natural gas in both the second quarter and year-to-date periods was higher natural gas prices in 2010. We discuss the increase in the cost of natural gas individually for SDG&amp;E and SoCalGas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291465</wp:posOffset>
            </wp:positionV>
            <wp:extent cx="5976620" cy="440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76620" cy="4406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SDG&amp;E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NATURAL GAS SALES AND TRANSPORTATION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40" w:type="dxa"/>
            <w:vAlign w:val="bottom"/>
            <w:gridSpan w:val="3"/>
          </w:tcPr>
          <w:p>
            <w:pPr>
              <w:ind w:left="100"/>
              <w:spacing w:after="0"/>
              <w:rPr>
                <w:sz w:val="20"/>
                <w:szCs w:val="20"/>
                <w:color w:val="auto"/>
              </w:rPr>
            </w:pPr>
            <w:r>
              <w:rPr>
                <w:rFonts w:ascii="Arial" w:cs="Arial" w:eastAsia="Arial" w:hAnsi="Arial"/>
                <w:sz w:val="13"/>
                <w:szCs w:val="13"/>
                <w:i w:val="1"/>
                <w:iCs w:val="1"/>
                <w:color w:val="auto"/>
              </w:rPr>
              <w:t>(Volumes in billion cubic feet, dollars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3"/>
                <w:szCs w:val="13"/>
                <w:color w:val="auto"/>
              </w:rPr>
              <w:t>Natural Gas Sales</w:t>
            </w:r>
          </w:p>
        </w:tc>
        <w:tc>
          <w:tcPr>
            <w:tcW w:w="17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3"/>
                <w:szCs w:val="13"/>
                <w:color w:val="auto"/>
              </w:rPr>
              <w:t>Transportation</w:t>
            </w:r>
          </w:p>
        </w:tc>
        <w:tc>
          <w:tcPr>
            <w:tcW w:w="6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40" w:type="dxa"/>
            <w:vAlign w:val="bottom"/>
          </w:tcPr>
          <w:p>
            <w:pPr>
              <w:ind w:left="100"/>
              <w:spacing w:after="0"/>
              <w:rPr>
                <w:sz w:val="20"/>
                <w:szCs w:val="20"/>
                <w:color w:val="auto"/>
              </w:rPr>
            </w:pPr>
            <w:r>
              <w:rPr>
                <w:rFonts w:ascii="Arial" w:cs="Arial" w:eastAsia="Arial" w:hAnsi="Arial"/>
                <w:sz w:val="13"/>
                <w:szCs w:val="13"/>
                <w:color w:val="auto"/>
              </w:rPr>
              <w:t>Customer class</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Volumes</w:t>
            </w:r>
          </w:p>
        </w:tc>
        <w:tc>
          <w:tcPr>
            <w:tcW w:w="7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3"/>
                <w:szCs w:val="13"/>
                <w:color w:val="auto"/>
              </w:rPr>
              <w:t>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Volumes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Revenue</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Volumes</w:t>
            </w:r>
          </w:p>
        </w:tc>
        <w:tc>
          <w:tcPr>
            <w:tcW w:w="2980" w:type="dxa"/>
            <w:vAlign w:val="bottom"/>
            <w:tcBorders>
              <w:bottom w:val="single" w:sz="8" w:color="auto"/>
            </w:tcBorders>
          </w:tcPr>
          <w:p>
            <w:pPr>
              <w:ind w:left="1500"/>
              <w:spacing w:after="0"/>
              <w:rPr>
                <w:sz w:val="20"/>
                <w:szCs w:val="20"/>
                <w:color w:val="auto"/>
              </w:rPr>
            </w:pPr>
            <w:r>
              <w:rPr>
                <w:rFonts w:ascii="Arial" w:cs="Arial" w:eastAsia="Arial" w:hAnsi="Arial"/>
                <w:sz w:val="13"/>
                <w:szCs w:val="13"/>
                <w:color w:val="auto"/>
              </w:rPr>
              <w:t>Revenue</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100"/>
              <w:spacing w:after="0"/>
              <w:rPr>
                <w:sz w:val="20"/>
                <w:szCs w:val="20"/>
                <w:color w:val="auto"/>
              </w:rPr>
            </w:pPr>
            <w:r>
              <w:rPr>
                <w:rFonts w:ascii="Arial" w:cs="Arial" w:eastAsia="Arial" w:hAnsi="Arial"/>
                <w:sz w:val="15"/>
                <w:szCs w:val="15"/>
                <w:color w:val="auto"/>
              </w:rPr>
              <w:t>2010:</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19</w:t>
            </w:r>
          </w:p>
        </w:tc>
        <w:tc>
          <w:tcPr>
            <w:tcW w:w="3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207</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19</w:t>
            </w:r>
          </w:p>
        </w:tc>
        <w:tc>
          <w:tcPr>
            <w:tcW w:w="2980" w:type="dxa"/>
            <w:vAlign w:val="bottom"/>
          </w:tcPr>
          <w:p>
            <w:pPr>
              <w:ind w:left="10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5"/>
                <w:szCs w:val="15"/>
                <w:color w:val="auto"/>
              </w:rPr>
              <w:t>Commercial and industrial</w:t>
            </w: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19"/>
                <w:szCs w:val="19"/>
                <w:color w:val="auto"/>
              </w:rPr>
            </w:pP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60</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6&amp;nbs p;</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12</w:t>
            </w:r>
          </w:p>
        </w:tc>
        <w:tc>
          <w:tcPr>
            <w:tcW w:w="2980" w:type="dxa"/>
            <w:vAlign w:val="bottom"/>
            <w:vMerge w:val="restart"/>
          </w:tcPr>
          <w:p>
            <w:pPr>
              <w:ind w:left="100"/>
              <w:spacing w:after="0"/>
              <w:rPr>
                <w:sz w:val="20"/>
                <w:szCs w:val="20"/>
                <w:color w:val="auto"/>
              </w:rPr>
            </w:pPr>
            <w:r>
              <w:rPr>
                <w:rFonts w:ascii="Arial" w:cs="Arial" w:eastAsia="Arial" w:hAnsi="Arial"/>
                <w:sz w:val="19"/>
                <w:szCs w:val="19"/>
                <w:color w:val="auto"/>
              </w:rPr>
              <w:t>&lt; p style="MARGIN:0in 0in 0pt"&gt;</w:t>
            </w: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21"/>
        </w:trPr>
        <w:tc>
          <w:tcPr>
            <w:tcW w:w="2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60"/>
              <w:spacing w:after="0"/>
              <w:rPr>
                <w:sz w:val="20"/>
                <w:szCs w:val="20"/>
                <w:color w:val="auto"/>
              </w:rPr>
            </w:pPr>
            <w:r>
              <w:rPr>
                <w:rFonts w:ascii="Arial" w:cs="Arial" w:eastAsia="Arial" w:hAnsi="Arial"/>
                <w:sz w:val="15"/>
                <w:szCs w:val="15"/>
                <w:color w:val="auto"/>
              </w:rPr>
              <w:t>Electric generation plants</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color w:val="auto"/>
              </w:rPr>
              <w:t>14</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14</w:t>
            </w:r>
          </w:p>
        </w:tc>
        <w:tc>
          <w:tcPr>
            <w:tcW w:w="2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27</w:t>
            </w:r>
          </w:p>
        </w:tc>
        <w:tc>
          <w:tcPr>
            <w:tcW w:w="3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267</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18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9</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45</w:t>
            </w:r>
          </w:p>
        </w:tc>
        <w:tc>
          <w:tcPr>
            <w:tcW w:w="2980" w:type="dxa"/>
            <w:vAlign w:val="bottom"/>
          </w:tcPr>
          <w:p>
            <w:pPr>
              <w:spacing w:after="0"/>
              <w:rPr>
                <w:sz w:val="19"/>
                <w:szCs w:val="19"/>
                <w:color w:val="auto"/>
              </w:rPr>
            </w:pP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219"/>
        </w:trPr>
        <w:tc>
          <w:tcPr>
            <w:tcW w:w="204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2"/>
        </w:trPr>
        <w:tc>
          <w:tcPr>
            <w:tcW w:w="2040" w:type="dxa"/>
            <w:vAlign w:val="bottom"/>
          </w:tcPr>
          <w:p>
            <w:pPr>
              <w:ind w:left="260"/>
              <w:spacing w:after="0"/>
              <w:rPr>
                <w:sz w:val="20"/>
                <w:szCs w:val="20"/>
                <w:color w:val="auto"/>
              </w:rPr>
            </w:pPr>
            <w:r>
              <w:rPr>
                <w:rFonts w:ascii="Arial" w:cs="Arial" w:eastAsia="Arial" w:hAnsi="Arial"/>
                <w:sz w:val="15"/>
                <w:szCs w:val="15"/>
                <w:color w:val="auto"/>
              </w:rPr>
              <w:t>Balancing accounts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Total(1)</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27"/>
        </w:trPr>
        <w:tc>
          <w:tcPr>
            <w:tcW w:w="2040" w:type="dxa"/>
            <w:vAlign w:val="bottom"/>
          </w:tcPr>
          <w:p>
            <w:pPr>
              <w:ind w:left="100"/>
              <w:spacing w:after="0"/>
              <w:rPr>
                <w:sz w:val="20"/>
                <w:szCs w:val="20"/>
                <w:color w:val="auto"/>
              </w:rPr>
            </w:pPr>
            <w:r>
              <w:rPr>
                <w:rFonts w:ascii="Arial" w:cs="Arial" w:eastAsia="Arial" w:hAnsi="Arial"/>
                <w:sz w:val="15"/>
                <w:szCs w:val="15"/>
                <w:color w:val="auto"/>
              </w:rPr>
              <w:t>2009:</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19</w:t>
            </w:r>
          </w:p>
        </w:tc>
        <w:tc>
          <w:tcPr>
            <w:tcW w:w="3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188</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19</w:t>
            </w:r>
          </w:p>
        </w:tc>
        <w:tc>
          <w:tcPr>
            <w:tcW w:w="2980" w:type="dxa"/>
            <w:vAlign w:val="bottom"/>
          </w:tcPr>
          <w:p>
            <w:pPr>
              <w:ind w:left="10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19"/>
        </w:trPr>
        <w:tc>
          <w:tcPr>
            <w:tcW w:w="2040" w:type="dxa"/>
            <w:vAlign w:val="bottom"/>
          </w:tcPr>
          <w:p>
            <w:pPr>
              <w:ind w:left="260"/>
              <w:spacing w:after="0"/>
              <w:rPr>
                <w:sz w:val="20"/>
                <w:szCs w:val="20"/>
                <w:color w:val="auto"/>
              </w:rPr>
            </w:pPr>
            <w:r>
              <w:rPr>
                <w:rFonts w:ascii="Arial" w:cs="Arial" w:eastAsia="Arial" w:hAnsi="Arial"/>
                <w:sz w:val="15"/>
                <w:szCs w:val="15"/>
                <w:color w:val="auto"/>
              </w:rPr>
              <w:t>Commercial and industrial</w:t>
            </w: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19"/>
                <w:szCs w:val="19"/>
                <w:color w:val="auto"/>
              </w:rPr>
            </w:pP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59</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5</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11</w:t>
            </w:r>
          </w:p>
        </w:tc>
        <w:tc>
          <w:tcPr>
            <w:tcW w:w="2980" w:type="dxa"/>
            <w:vAlign w:val="bottom"/>
          </w:tcPr>
          <w:p>
            <w:pPr>
              <w:spacing w:after="0"/>
              <w:rPr>
                <w:sz w:val="19"/>
                <w:szCs w:val="19"/>
                <w:color w:val="auto"/>
              </w:rPr>
            </w:pP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12"/>
        </w:trPr>
        <w:tc>
          <w:tcPr>
            <w:tcW w:w="2040" w:type="dxa"/>
            <w:vAlign w:val="bottom"/>
          </w:tcPr>
          <w:p>
            <w:pPr>
              <w:ind w:left="260"/>
              <w:spacing w:after="0"/>
              <w:rPr>
                <w:sz w:val="20"/>
                <w:szCs w:val="20"/>
                <w:color w:val="auto"/>
              </w:rPr>
            </w:pPr>
            <w:r>
              <w:rPr>
                <w:rFonts w:ascii="Arial" w:cs="Arial" w:eastAsia="Arial" w:hAnsi="Arial"/>
                <w:sz w:val="15"/>
                <w:szCs w:val="15"/>
                <w:color w:val="auto"/>
              </w:rPr>
              <w:t>Electric generation plants</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color w:val="auto"/>
              </w:rPr>
              <w:t>30</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9</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30</w:t>
            </w:r>
          </w:p>
        </w:tc>
        <w:tc>
          <w:tcPr>
            <w:tcW w:w="2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700" w:type="dxa"/>
            <w:vAlign w:val="bottom"/>
          </w:tcPr>
          <w:p>
            <w:pPr>
              <w:jc w:val="right"/>
              <w:ind w:right="69"/>
              <w:spacing w:after="0"/>
              <w:rPr>
                <w:sz w:val="20"/>
                <w:szCs w:val="20"/>
                <w:color w:val="auto"/>
              </w:rPr>
            </w:pPr>
            <w:r>
              <w:rPr>
                <w:rFonts w:ascii="Arial" w:cs="Arial" w:eastAsia="Arial" w:hAnsi="Arial"/>
                <w:sz w:val="15"/>
                <w:szCs w:val="15"/>
                <w:color w:val="auto"/>
              </w:rPr>
              <w:t>27</w:t>
            </w:r>
          </w:p>
        </w:tc>
        <w:tc>
          <w:tcPr>
            <w:tcW w:w="3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247</w:t>
            </w:r>
          </w:p>
        </w:tc>
        <w:tc>
          <w:tcPr>
            <w:tcW w:w="680" w:type="dxa"/>
            <w:vAlign w:val="bottom"/>
          </w:tcPr>
          <w:p>
            <w:pPr>
              <w:jc w:val="right"/>
              <w:ind w:right="109"/>
              <w:spacing w:after="0"/>
              <w:rPr>
                <w:sz w:val="20"/>
                <w:szCs w:val="20"/>
                <w:color w:val="auto"/>
              </w:rPr>
            </w:pPr>
            <w:r>
              <w:rPr>
                <w:rFonts w:ascii="Arial" w:cs="Arial" w:eastAsia="Arial" w:hAnsi="Arial"/>
                <w:sz w:val="15"/>
                <w:szCs w:val="15"/>
                <w:color w:val="auto"/>
              </w:rPr>
              <w:t>33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14</w:t>
            </w:r>
          </w:p>
        </w:tc>
        <w:tc>
          <w:tcPr>
            <w:tcW w:w="680" w:type="dxa"/>
            <w:vAlign w:val="bottom"/>
          </w:tcPr>
          <w:p>
            <w:pPr>
              <w:jc w:val="right"/>
              <w:ind w:right="68"/>
              <w:spacing w:after="0"/>
              <w:rPr>
                <w:sz w:val="20"/>
                <w:szCs w:val="20"/>
                <w:color w:val="auto"/>
              </w:rPr>
            </w:pPr>
            <w:r>
              <w:rPr>
                <w:rFonts w:ascii="Arial" w:cs="Arial" w:eastAsia="Arial" w:hAnsi="Arial"/>
                <w:sz w:val="15"/>
                <w:szCs w:val="15"/>
                <w:color w:val="auto"/>
              </w:rPr>
              <w:t>60</w:t>
            </w:r>
          </w:p>
        </w:tc>
        <w:tc>
          <w:tcPr>
            <w:tcW w:w="2980" w:type="dxa"/>
            <w:vAlign w:val="bottom"/>
          </w:tcPr>
          <w:p>
            <w:pPr>
              <w:spacing w:after="0"/>
              <w:rPr>
                <w:sz w:val="19"/>
                <w:szCs w:val="19"/>
                <w:color w:val="auto"/>
              </w:rPr>
            </w:pP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219"/>
        </w:trPr>
        <w:tc>
          <w:tcPr>
            <w:tcW w:w="204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jc w:val="right"/>
              <w:ind w:right="47"/>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12"/>
        </w:trPr>
        <w:tc>
          <w:tcPr>
            <w:tcW w:w="2040" w:type="dxa"/>
            <w:vAlign w:val="bottom"/>
          </w:tcPr>
          <w:p>
            <w:pPr>
              <w:ind w:left="260"/>
              <w:spacing w:after="0"/>
              <w:rPr>
                <w:sz w:val="20"/>
                <w:szCs w:val="20"/>
                <w:color w:val="auto"/>
              </w:rPr>
            </w:pPr>
            <w:r>
              <w:rPr>
                <w:rFonts w:ascii="Arial" w:cs="Arial" w:eastAsia="Arial" w:hAnsi="Arial"/>
                <w:sz w:val="15"/>
                <w:szCs w:val="15"/>
                <w:color w:val="auto"/>
              </w:rPr>
              <w:t>Balancing accounts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Total(1)</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Includes sales to affiliates of $1 million in each of 2010 and 2009.</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During the three months ended June 30, 2010, SDG&amp;E's natural gas revenues increased by $7 million (7%) to $103 million, and the cost of natural gas increased by $7 million (19%) to $44 million. During the six months ended June 30, 2010, SDG&amp;E's natural gas revenues increased by $7 million (3%) to $282 million, and the cost of natural gas increased by $9 million (7%) to $133 million. The average cost of natural gas for the three months ended June 30, 2010 was $4.29 per thousand cubic feet (Mcf) compared to $3.57 per Mcf for the corresponding period in 2009, a 20-percent increase of $0.72 per Mcf, resulting in higher revenues and cost of $7 million. For the first six months of 2010, SDG&amp;E’s average cost of natural gas was $5.03 per Mcf compared to $4.59 per Mcf for the corresponding period in 2009, a 10-percent increase of $0.44 per Mcf, resulting in higher revenues and cost of $12 million.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&lt; /tr&gt;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259955" cy="440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9955" cy="440690"/>
                    </a:xfrm>
                    <a:prstGeom prst="rect">
                      <a:avLst/>
                    </a:prstGeom>
                    <a:noFill/>
                  </pic:spPr>
                </pic:pic>
              </a:graphicData>
            </a:graphic>
          </wp:anchor>
        </w:drawing>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SOCALGAS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NATURAL GAS SALES AND TRANSPORTATION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40" w:type="dxa"/>
            <w:vAlign w:val="bottom"/>
            <w:gridSpan w:val="4"/>
          </w:tcPr>
          <w:p>
            <w:pPr>
              <w:ind w:left="100"/>
              <w:spacing w:after="0"/>
              <w:rPr>
                <w:sz w:val="20"/>
                <w:szCs w:val="20"/>
                <w:color w:val="auto"/>
              </w:rPr>
            </w:pPr>
            <w:r>
              <w:rPr>
                <w:rFonts w:ascii="Arial" w:cs="Arial" w:eastAsia="Arial" w:hAnsi="Arial"/>
                <w:sz w:val="13"/>
                <w:szCs w:val="13"/>
                <w:i w:val="1"/>
                <w:iCs w:val="1"/>
                <w:color w:val="auto"/>
              </w:rPr>
              <w:t>(Volumes in billion cubic feet, dollars in millions)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3"/>
                <w:szCs w:val="13"/>
                <w:color w:val="auto"/>
              </w:rPr>
              <w:t>Natural Gas Sales</w:t>
            </w:r>
          </w:p>
        </w:tc>
        <w:tc>
          <w:tcPr>
            <w:tcW w:w="150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3"/>
                <w:szCs w:val="13"/>
                <w:color w:val="auto"/>
              </w:rPr>
              <w:t>Transportation</w:t>
            </w:r>
          </w:p>
        </w:tc>
        <w:tc>
          <w:tcPr>
            <w:tcW w:w="5680" w:type="dxa"/>
            <w:vAlign w:val="bottom"/>
          </w:tcPr>
          <w:p>
            <w:pPr>
              <w:jc w:val="right"/>
              <w:ind w:right="2164"/>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Customer class</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Volumes</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color w:val="auto"/>
                <w:w w:val="99"/>
              </w:rPr>
              <w:t>Revenue</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auto"/>
              </w:rPr>
              <w:t>Volumes</w:t>
            </w:r>
          </w:p>
        </w:tc>
        <w:tc>
          <w:tcPr>
            <w:tcW w:w="7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3"/>
                <w:szCs w:val="13"/>
                <w:color w:val="auto"/>
              </w:rPr>
              <w:t>Revenue</w:t>
            </w:r>
          </w:p>
        </w:tc>
        <w:tc>
          <w:tcPr>
            <w:tcW w:w="5680" w:type="dxa"/>
            <w:vAlign w:val="bottom"/>
            <w:tcBorders>
              <w:bottom w:val="single" w:sz="8" w:color="auto"/>
            </w:tcBorders>
          </w:tcPr>
          <w:p>
            <w:pPr>
              <w:jc w:val="right"/>
              <w:ind w:right="2524"/>
              <w:spacing w:after="0"/>
              <w:rPr>
                <w:sz w:val="20"/>
                <w:szCs w:val="20"/>
                <w:color w:val="auto"/>
              </w:rPr>
            </w:pPr>
            <w:r>
              <w:rPr>
                <w:rFonts w:ascii="Arial" w:cs="Arial" w:eastAsia="Arial" w:hAnsi="Arial"/>
                <w:sz w:val="13"/>
                <w:szCs w:val="13"/>
                <w:color w:val="auto"/>
              </w:rPr>
              <w:t>Volumes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3"/>
                <w:szCs w:val="13"/>
                <w:color w:val="auto"/>
                <w:w w:val="99"/>
              </w:rPr>
              <w:t>Revenue</w:t>
            </w:r>
          </w:p>
        </w:tc>
        <w:tc>
          <w:tcPr>
            <w:tcW w:w="0" w:type="dxa"/>
            <w:vAlign w:val="bottom"/>
          </w:tcPr>
          <w:p>
            <w:pPr>
              <w:spacing w:after="0"/>
              <w:rPr>
                <w:sz w:val="1"/>
                <w:szCs w:val="1"/>
                <w:color w:val="auto"/>
              </w:rPr>
            </w:pPr>
          </w:p>
        </w:tc>
      </w:tr>
      <w:tr>
        <w:trPr>
          <w:trHeight w:val="219"/>
        </w:trPr>
        <w:tc>
          <w:tcPr>
            <w:tcW w:w="1760" w:type="dxa"/>
            <w:vAlign w:val="bottom"/>
          </w:tcPr>
          <w:p>
            <w:pPr>
              <w:ind w:left="100"/>
              <w:spacing w:after="0"/>
              <w:rPr>
                <w:sz w:val="20"/>
                <w:szCs w:val="20"/>
                <w:color w:val="auto"/>
              </w:rPr>
            </w:pPr>
            <w:r>
              <w:rPr>
                <w:rFonts w:ascii="Arial" w:cs="Arial" w:eastAsia="Arial" w:hAnsi="Arial"/>
                <w:sz w:val="15"/>
                <w:szCs w:val="15"/>
                <w:color w:val="auto"/>
              </w:rPr>
              <w:t>2010:</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136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1,315</w:t>
            </w: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2</w:t>
            </w:r>
          </w:p>
        </w:tc>
        <w:tc>
          <w:tcPr>
            <w:tcW w:w="5680" w:type="dxa"/>
            <w:vAlign w:val="bottom"/>
          </w:tcPr>
          <w:p>
            <w:pPr>
              <w:jc w:val="right"/>
              <w:ind w:right="64"/>
              <w:spacing w:after="0"/>
              <w:rPr>
                <w:sz w:val="20"/>
                <w:szCs w:val="20"/>
                <w:color w:val="auto"/>
              </w:rPr>
            </w:pPr>
            <w:r>
              <w:rPr>
                <w:rFonts w:ascii="Arial" w:cs="Arial" w:eastAsia="Arial" w:hAnsi="Arial"/>
                <w:sz w:val="15"/>
                <w:szCs w:val="15"/>
                <w:color w:val="auto"/>
              </w:rPr>
              <w:t>137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170"/>
        </w:trPr>
        <w:tc>
          <w:tcPr>
            <w:tcW w:w="1760" w:type="dxa"/>
            <w:vAlign w:val="bottom"/>
          </w:tcPr>
          <w:p>
            <w:pPr>
              <w:ind w:left="260"/>
              <w:spacing w:after="0" w:line="171" w:lineRule="exact"/>
              <w:rPr>
                <w:sz w:val="20"/>
                <w:szCs w:val="20"/>
                <w:color w:val="auto"/>
              </w:rPr>
            </w:pPr>
            <w:r>
              <w:rPr>
                <w:rFonts w:ascii="Arial" w:cs="Arial" w:eastAsia="Arial" w:hAnsi="Arial"/>
                <w:sz w:val="15"/>
                <w:szCs w:val="15"/>
                <w:color w:val="auto"/>
              </w:rPr>
              <w:t>Commercial and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760" w:type="dxa"/>
            <w:vAlign w:val="bottom"/>
          </w:tcPr>
          <w:p>
            <w:pPr>
              <w:ind w:left="100"/>
              <w:spacing w:after="0" w:line="150" w:lineRule="exact"/>
              <w:rPr>
                <w:sz w:val="20"/>
                <w:szCs w:val="20"/>
                <w:color w:val="auto"/>
              </w:rPr>
            </w:pPr>
            <w:r>
              <w:rPr>
                <w:rFonts w:ascii="Arial" w:cs="Arial" w:eastAsia="Arial" w:hAnsi="Arial"/>
                <w:sz w:val="15"/>
                <w:szCs w:val="15"/>
                <w:color w:val="auto"/>
              </w:rPr>
              <w:t>industrial</w:t>
            </w:r>
          </w:p>
        </w:tc>
        <w:tc>
          <w:tcPr>
            <w:tcW w:w="680" w:type="dxa"/>
            <w:vAlign w:val="bottom"/>
          </w:tcPr>
          <w:p>
            <w:pPr>
              <w:jc w:val="right"/>
              <w:ind w:right="48"/>
              <w:spacing w:after="0" w:line="150" w:lineRule="exact"/>
              <w:rPr>
                <w:sz w:val="20"/>
                <w:szCs w:val="20"/>
                <w:color w:val="auto"/>
              </w:rPr>
            </w:pPr>
            <w:r>
              <w:rPr>
                <w:rFonts w:ascii="Arial" w:cs="Arial" w:eastAsia="Arial" w:hAnsi="Arial"/>
                <w:sz w:val="15"/>
                <w:szCs w:val="15"/>
                <w:color w:val="auto"/>
              </w:rPr>
              <w:t>54</w:t>
            </w:r>
          </w:p>
        </w:tc>
        <w:tc>
          <w:tcPr>
            <w:tcW w:w="220" w:type="dxa"/>
            <w:vAlign w:val="bottom"/>
          </w:tcPr>
          <w:p>
            <w:pPr>
              <w:spacing w:after="0"/>
              <w:rPr>
                <w:sz w:val="13"/>
                <w:szCs w:val="13"/>
                <w:color w:val="auto"/>
              </w:rPr>
            </w:pPr>
          </w:p>
        </w:tc>
        <w:tc>
          <w:tcPr>
            <w:tcW w:w="680" w:type="dxa"/>
            <w:vAlign w:val="bottom"/>
          </w:tcPr>
          <w:p>
            <w:pPr>
              <w:jc w:val="right"/>
              <w:ind w:right="48"/>
              <w:spacing w:after="0" w:line="150" w:lineRule="exact"/>
              <w:rPr>
                <w:sz w:val="20"/>
                <w:szCs w:val="20"/>
                <w:color w:val="auto"/>
              </w:rPr>
            </w:pPr>
            <w:r>
              <w:rPr>
                <w:rFonts w:ascii="Arial" w:cs="Arial" w:eastAsia="Arial" w:hAnsi="Arial"/>
                <w:sz w:val="15"/>
                <w:szCs w:val="15"/>
                <w:color w:val="auto"/>
              </w:rPr>
              <w:t>424</w:t>
            </w:r>
          </w:p>
        </w:tc>
        <w:tc>
          <w:tcPr>
            <w:tcW w:w="74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130</w:t>
            </w:r>
          </w:p>
        </w:tc>
        <w:tc>
          <w:tcPr>
            <w:tcW w:w="260" w:type="dxa"/>
            <w:vAlign w:val="bottom"/>
          </w:tcPr>
          <w:p>
            <w:pPr>
              <w:spacing w:after="0"/>
              <w:rPr>
                <w:sz w:val="13"/>
                <w:szCs w:val="13"/>
                <w:color w:val="auto"/>
              </w:rPr>
            </w:pPr>
          </w:p>
        </w:tc>
        <w:tc>
          <w:tcPr>
            <w:tcW w:w="500" w:type="dxa"/>
            <w:vAlign w:val="bottom"/>
          </w:tcPr>
          <w:p>
            <w:pPr>
              <w:jc w:val="right"/>
              <w:ind w:right="65"/>
              <w:spacing w:after="0" w:line="150" w:lineRule="exact"/>
              <w:rPr>
                <w:sz w:val="20"/>
                <w:szCs w:val="20"/>
                <w:color w:val="auto"/>
              </w:rPr>
            </w:pPr>
            <w:r>
              <w:rPr>
                <w:rFonts w:ascii="Arial" w:cs="Arial" w:eastAsia="Arial" w:hAnsi="Arial"/>
                <w:sz w:val="15"/>
                <w:szCs w:val="15"/>
                <w:color w:val="auto"/>
              </w:rPr>
              <w:t>113</w:t>
            </w:r>
          </w:p>
        </w:tc>
        <w:tc>
          <w:tcPr>
            <w:tcW w:w="5680" w:type="dxa"/>
            <w:vAlign w:val="bottom"/>
          </w:tcPr>
          <w:p>
            <w:pPr>
              <w:jc w:val="right"/>
              <w:ind w:right="64"/>
              <w:spacing w:after="0" w:line="150" w:lineRule="exact"/>
              <w:rPr>
                <w:sz w:val="20"/>
                <w:szCs w:val="20"/>
                <w:color w:val="auto"/>
              </w:rPr>
            </w:pPr>
            <w:r>
              <w:rPr>
                <w:rFonts w:ascii="Arial" w:cs="Arial" w:eastAsia="Arial" w:hAnsi="Arial"/>
                <w:sz w:val="15"/>
                <w:szCs w:val="15"/>
                <w:color w:val="auto"/>
              </w:rPr>
              <w:t>184</w:t>
            </w:r>
          </w:p>
        </w:tc>
        <w:tc>
          <w:tcPr>
            <w:tcW w:w="180" w:type="dxa"/>
            <w:vAlign w:val="bottom"/>
          </w:tcPr>
          <w:p>
            <w:pPr>
              <w:spacing w:after="0"/>
              <w:rPr>
                <w:sz w:val="13"/>
                <w:szCs w:val="13"/>
                <w:color w:val="auto"/>
              </w:rPr>
            </w:pPr>
          </w:p>
        </w:tc>
        <w:tc>
          <w:tcPr>
            <w:tcW w:w="740" w:type="dxa"/>
            <w:vAlign w:val="bottom"/>
            <w:gridSpan w:val="2"/>
          </w:tcPr>
          <w:p>
            <w:pPr>
              <w:jc w:val="right"/>
              <w:ind w:right="67"/>
              <w:spacing w:after="0" w:line="150" w:lineRule="exact"/>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219"/>
        </w:trPr>
        <w:tc>
          <w:tcPr>
            <w:tcW w:w="1760" w:type="dxa"/>
            <w:vAlign w:val="bottom"/>
            <w:vMerge w:val="restart"/>
          </w:tcPr>
          <w:p>
            <w:pPr>
              <w:ind w:left="260"/>
              <w:spacing w:after="0"/>
              <w:rPr>
                <w:sz w:val="20"/>
                <w:szCs w:val="20"/>
                <w:color w:val="auto"/>
              </w:rPr>
            </w:pPr>
            <w:r>
              <w:rPr>
                <w:rFonts w:ascii="Arial" w:cs="Arial" w:eastAsia="Arial" w:hAnsi="Arial"/>
                <w:sz w:val="15"/>
                <w:szCs w:val="15"/>
                <w:color w:val="auto"/>
              </w:rPr>
              <w:t>Electric generation</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tcPr>
          <w:p>
            <w:pPr>
              <w:jc w:val="right"/>
              <w:ind w:right="24"/>
              <w:spacing w:after="0"/>
              <w:rPr>
                <w:sz w:val="20"/>
                <w:szCs w:val="20"/>
                <w:color w:val="auto"/>
              </w:rPr>
            </w:pPr>
            <w:r>
              <w:rPr>
                <w:rFonts w:ascii="Arial" w:cs="Arial" w:eastAsia="Arial" w:hAnsi="Arial"/>
                <w:sz w:val="19"/>
                <w:szCs w:val="19"/>
                <w:color w:val="auto"/>
              </w:rPr>
              <w:t>&lt; font style="FONT-SIZE:9pt; COLOR:black; FONT-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80" w:type="dxa"/>
            <w:vAlign w:val="bottom"/>
            <w:vMerge w:val="restart"/>
          </w:tcPr>
          <w:p>
            <w:pPr>
              <w:jc w:val="right"/>
              <w:ind w:right="64"/>
              <w:spacing w:after="0"/>
              <w:rPr>
                <w:sz w:val="20"/>
                <w:szCs w:val="20"/>
                <w:color w:val="auto"/>
              </w:rPr>
            </w:pPr>
            <w:r>
              <w:rPr>
                <w:rFonts w:ascii="Arial" w:cs="Arial" w:eastAsia="Arial" w:hAnsi="Arial"/>
                <w:sz w:val="19"/>
                <w:szCs w:val="19"/>
                <w:color w:val="auto"/>
              </w:rPr>
              <w:t>FAMILY:'Arial','sans-serif'"&gt; 69</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760" w:type="dxa"/>
            <w:vAlign w:val="bottom"/>
          </w:tcPr>
          <w:p>
            <w:pPr>
              <w:ind w:left="100"/>
              <w:spacing w:after="0"/>
              <w:rPr>
                <w:sz w:val="20"/>
                <w:szCs w:val="20"/>
                <w:color w:val="auto"/>
              </w:rPr>
            </w:pPr>
            <w:r>
              <w:rPr>
                <w:rFonts w:ascii="Arial" w:cs="Arial" w:eastAsia="Arial" w:hAnsi="Arial"/>
                <w:sz w:val="15"/>
                <w:szCs w:val="15"/>
                <w:color w:val="auto"/>
              </w:rPr>
              <w:t>plants</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69</w:t>
            </w:r>
          </w:p>
        </w:tc>
        <w:tc>
          <w:tcPr>
            <w:tcW w:w="260" w:type="dxa"/>
            <w:vAlign w:val="bottom"/>
          </w:tcPr>
          <w:p>
            <w:pPr>
              <w:spacing w:after="0"/>
              <w:rPr>
                <w:sz w:val="15"/>
                <w:szCs w:val="15"/>
                <w:color w:val="auto"/>
              </w:rPr>
            </w:pP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16</w:t>
            </w:r>
          </w:p>
        </w:tc>
        <w:tc>
          <w:tcPr>
            <w:tcW w:w="5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10"/>
        </w:trPr>
        <w:tc>
          <w:tcPr>
            <w:tcW w:w="1760" w:type="dxa"/>
            <w:vAlign w:val="bottom"/>
          </w:tcPr>
          <w:p>
            <w:pPr>
              <w:ind w:left="260"/>
              <w:spacing w:after="0"/>
              <w:rPr>
                <w:sz w:val="20"/>
                <w:szCs w:val="20"/>
                <w:color w:val="auto"/>
              </w:rPr>
            </w:pPr>
            <w:r>
              <w:rPr>
                <w:rFonts w:ascii="Arial" w:cs="Arial" w:eastAsia="Arial" w:hAnsi="Arial"/>
                <w:sz w:val="15"/>
                <w:szCs w:val="15"/>
                <w:color w:val="auto"/>
              </w:rPr>
              <w:t>Wholesale</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76</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8</w:t>
            </w:r>
          </w:p>
        </w:tc>
        <w:tc>
          <w:tcPr>
            <w:tcW w:w="5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76</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190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1,739</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276</w:t>
            </w:r>
          </w:p>
        </w:tc>
        <w:tc>
          <w:tcPr>
            <w:tcW w:w="2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139</w:t>
            </w:r>
          </w:p>
        </w:tc>
        <w:tc>
          <w:tcPr>
            <w:tcW w:w="5680" w:type="dxa"/>
            <w:vAlign w:val="bottom"/>
          </w:tcPr>
          <w:p>
            <w:pPr>
              <w:jc w:val="right"/>
              <w:ind w:right="64"/>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9"/>
                <w:szCs w:val="19"/>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1,878</w:t>
            </w:r>
          </w:p>
        </w:tc>
        <w:tc>
          <w:tcPr>
            <w:tcW w:w="0" w:type="dxa"/>
            <w:vAlign w:val="bottom"/>
          </w:tcPr>
          <w:p>
            <w:pPr>
              <w:spacing w:after="0"/>
              <w:rPr>
                <w:sz w:val="1"/>
                <w:szCs w:val="1"/>
                <w:color w:val="auto"/>
              </w:rPr>
            </w:pPr>
          </w:p>
        </w:tc>
      </w:tr>
      <w:tr>
        <w:trPr>
          <w:trHeight w:val="219"/>
        </w:trPr>
        <w:tc>
          <w:tcPr>
            <w:tcW w:w="176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12"/>
        </w:trPr>
        <w:tc>
          <w:tcPr>
            <w:tcW w:w="1760" w:type="dxa"/>
            <w:vAlign w:val="bottom"/>
          </w:tcPr>
          <w:p>
            <w:pPr>
              <w:ind w:left="260"/>
              <w:spacing w:after="0"/>
              <w:rPr>
                <w:sz w:val="20"/>
                <w:szCs w:val="20"/>
                <w:color w:val="auto"/>
              </w:rPr>
            </w:pPr>
            <w:r>
              <w:rPr>
                <w:rFonts w:ascii="Arial" w:cs="Arial" w:eastAsia="Arial" w:hAnsi="Arial"/>
                <w:sz w:val="15"/>
                <w:szCs w:val="15"/>
                <w:color w:val="auto"/>
              </w:rPr>
              <w:t>Balancing accounts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Total(1)</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227"/>
        </w:trPr>
        <w:tc>
          <w:tcPr>
            <w:tcW w:w="1760" w:type="dxa"/>
            <w:vAlign w:val="bottom"/>
          </w:tcPr>
          <w:p>
            <w:pPr>
              <w:ind w:left="100"/>
              <w:spacing w:after="0"/>
              <w:rPr>
                <w:sz w:val="20"/>
                <w:szCs w:val="20"/>
                <w:color w:val="auto"/>
              </w:rPr>
            </w:pPr>
            <w:r>
              <w:rPr>
                <w:rFonts w:ascii="Arial" w:cs="Arial" w:eastAsia="Arial" w:hAnsi="Arial"/>
                <w:sz w:val="15"/>
                <w:szCs w:val="15"/>
                <w:color w:val="auto"/>
              </w:rPr>
              <w:t>2009:</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vMerge w:val="restart"/>
          </w:tcPr>
          <w:p>
            <w:pPr>
              <w:jc w:val="right"/>
              <w:ind w:right="65"/>
              <w:spacing w:after="0"/>
              <w:rPr>
                <w:sz w:val="20"/>
                <w:szCs w:val="20"/>
                <w:color w:val="auto"/>
              </w:rPr>
            </w:pPr>
            <w:r>
              <w:rPr>
                <w:rFonts w:ascii="Arial" w:cs="Arial" w:eastAsia="Arial" w:hAnsi="Arial"/>
                <w:sz w:val="19"/>
                <w:szCs w:val="19"/>
                <w:color w:val="auto"/>
              </w:rPr>
              <w:t>2</w:t>
            </w:r>
          </w:p>
        </w:tc>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60" w:type="dxa"/>
            <w:vAlign w:val="bottom"/>
          </w:tcPr>
          <w:p>
            <w:pPr>
              <w:ind w:left="260"/>
              <w:spacing w:after="0"/>
              <w:rPr>
                <w:sz w:val="20"/>
                <w:szCs w:val="20"/>
                <w:color w:val="auto"/>
              </w:rPr>
            </w:pPr>
            <w:r>
              <w:rPr>
                <w:rFonts w:ascii="Arial" w:cs="Arial" w:eastAsia="Arial" w:hAnsi="Arial"/>
                <w:sz w:val="15"/>
                <w:szCs w:val="15"/>
                <w:color w:val="auto"/>
              </w:rPr>
              <w:t>Residential</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130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1,092</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1</w:t>
            </w:r>
          </w:p>
        </w:tc>
        <w:tc>
          <w:tcPr>
            <w:tcW w:w="2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00" w:type="dxa"/>
            <w:vAlign w:val="bottom"/>
            <w:vMerge w:val="continue"/>
          </w:tcPr>
          <w:p>
            <w:pPr>
              <w:spacing w:after="0"/>
              <w:rPr>
                <w:sz w:val="18"/>
                <w:szCs w:val="18"/>
                <w:color w:val="auto"/>
              </w:rPr>
            </w:pPr>
          </w:p>
        </w:tc>
        <w:tc>
          <w:tcPr>
            <w:tcW w:w="5680" w:type="dxa"/>
            <w:vAlign w:val="bottom"/>
          </w:tcPr>
          <w:p>
            <w:pPr>
              <w:jc w:val="right"/>
              <w:ind w:right="64"/>
              <w:spacing w:after="0"/>
              <w:rPr>
                <w:sz w:val="20"/>
                <w:szCs w:val="20"/>
                <w:color w:val="auto"/>
              </w:rPr>
            </w:pPr>
            <w:r>
              <w:rPr>
                <w:rFonts w:ascii="Arial" w:cs="Arial" w:eastAsia="Arial" w:hAnsi="Arial"/>
                <w:sz w:val="15"/>
                <w:szCs w:val="15"/>
                <w:color w:val="auto"/>
              </w:rPr>
              <w:t>131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1,094</w:t>
            </w:r>
          </w:p>
        </w:tc>
        <w:tc>
          <w:tcPr>
            <w:tcW w:w="0" w:type="dxa"/>
            <w:vAlign w:val="bottom"/>
          </w:tcPr>
          <w:p>
            <w:pPr>
              <w:spacing w:after="0"/>
              <w:rPr>
                <w:sz w:val="1"/>
                <w:szCs w:val="1"/>
                <w:color w:val="auto"/>
              </w:rPr>
            </w:pPr>
          </w:p>
        </w:tc>
      </w:tr>
      <w:tr>
        <w:trPr>
          <w:trHeight w:val="170"/>
        </w:trPr>
        <w:tc>
          <w:tcPr>
            <w:tcW w:w="1760" w:type="dxa"/>
            <w:vAlign w:val="bottom"/>
          </w:tcPr>
          <w:p>
            <w:pPr>
              <w:ind w:left="260"/>
              <w:spacing w:after="0" w:line="171" w:lineRule="exact"/>
              <w:rPr>
                <w:sz w:val="20"/>
                <w:szCs w:val="20"/>
                <w:color w:val="auto"/>
              </w:rPr>
            </w:pPr>
            <w:r>
              <w:rPr>
                <w:rFonts w:ascii="Arial" w:cs="Arial" w:eastAsia="Arial" w:hAnsi="Arial"/>
                <w:sz w:val="15"/>
                <w:szCs w:val="15"/>
                <w:color w:val="auto"/>
              </w:rPr>
              <w:t>Commercial and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100"/>
              <w:spacing w:after="0" w:line="171" w:lineRule="exact"/>
              <w:rPr>
                <w:sz w:val="20"/>
                <w:szCs w:val="20"/>
                <w:color w:val="auto"/>
              </w:rPr>
            </w:pPr>
            <w:r>
              <w:rPr>
                <w:rFonts w:ascii="Arial" w:cs="Arial" w:eastAsia="Arial" w:hAnsi="Arial"/>
                <w:sz w:val="15"/>
                <w:szCs w:val="15"/>
                <w:color w:val="auto"/>
              </w:rPr>
              <w:t>industrial</w:t>
            </w:r>
          </w:p>
        </w:tc>
        <w:tc>
          <w:tcPr>
            <w:tcW w:w="680" w:type="dxa"/>
            <w:vAlign w:val="bottom"/>
          </w:tcPr>
          <w:p>
            <w:pPr>
              <w:jc w:val="right"/>
              <w:ind w:right="48"/>
              <w:spacing w:after="0" w:line="171" w:lineRule="exact"/>
              <w:rPr>
                <w:sz w:val="20"/>
                <w:szCs w:val="20"/>
                <w:color w:val="auto"/>
              </w:rPr>
            </w:pPr>
            <w:r>
              <w:rPr>
                <w:rFonts w:ascii="Arial" w:cs="Arial" w:eastAsia="Arial" w:hAnsi="Arial"/>
                <w:sz w:val="15"/>
                <w:szCs w:val="15"/>
                <w:color w:val="auto"/>
              </w:rPr>
              <w:t>54</w:t>
            </w:r>
          </w:p>
        </w:tc>
        <w:tc>
          <w:tcPr>
            <w:tcW w:w="220" w:type="dxa"/>
            <w:vAlign w:val="bottom"/>
          </w:tcPr>
          <w:p>
            <w:pPr>
              <w:spacing w:after="0"/>
              <w:rPr>
                <w:sz w:val="14"/>
                <w:szCs w:val="14"/>
                <w:color w:val="auto"/>
              </w:rPr>
            </w:pPr>
          </w:p>
        </w:tc>
        <w:tc>
          <w:tcPr>
            <w:tcW w:w="680" w:type="dxa"/>
            <w:vAlign w:val="bottom"/>
          </w:tcPr>
          <w:p>
            <w:pPr>
              <w:jc w:val="right"/>
              <w:ind w:right="48"/>
              <w:spacing w:after="0" w:line="171" w:lineRule="exact"/>
              <w:rPr>
                <w:sz w:val="20"/>
                <w:szCs w:val="20"/>
                <w:color w:val="auto"/>
              </w:rPr>
            </w:pPr>
            <w:r>
              <w:rPr>
                <w:rFonts w:ascii="Arial" w:cs="Arial" w:eastAsia="Arial" w:hAnsi="Arial"/>
                <w:sz w:val="15"/>
                <w:szCs w:val="15"/>
                <w:color w:val="auto"/>
              </w:rPr>
              <w:t>354</w:t>
            </w:r>
          </w:p>
        </w:tc>
        <w:tc>
          <w:tcPr>
            <w:tcW w:w="740" w:type="dxa"/>
            <w:vAlign w:val="bottom"/>
          </w:tcPr>
          <w:p>
            <w:pPr>
              <w:jc w:val="right"/>
              <w:ind w:right="88"/>
              <w:spacing w:after="0" w:line="171" w:lineRule="exact"/>
              <w:rPr>
                <w:sz w:val="20"/>
                <w:szCs w:val="20"/>
                <w:color w:val="auto"/>
              </w:rPr>
            </w:pPr>
            <w:r>
              <w:rPr>
                <w:rFonts w:ascii="Arial" w:cs="Arial" w:eastAsia="Arial" w:hAnsi="Arial"/>
                <w:sz w:val="15"/>
                <w:szCs w:val="15"/>
                <w:color w:val="auto"/>
              </w:rPr>
              <w:t>127</w:t>
            </w:r>
          </w:p>
        </w:tc>
        <w:tc>
          <w:tcPr>
            <w:tcW w:w="260" w:type="dxa"/>
            <w:vAlign w:val="bottom"/>
          </w:tcPr>
          <w:p>
            <w:pPr>
              <w:spacing w:after="0"/>
              <w:rPr>
                <w:sz w:val="14"/>
                <w:szCs w:val="14"/>
                <w:color w:val="auto"/>
              </w:rPr>
            </w:pPr>
          </w:p>
        </w:tc>
        <w:tc>
          <w:tcPr>
            <w:tcW w:w="500" w:type="dxa"/>
            <w:vAlign w:val="bottom"/>
          </w:tcPr>
          <w:p>
            <w:pPr>
              <w:jc w:val="right"/>
              <w:ind w:right="65"/>
              <w:spacing w:after="0" w:line="171" w:lineRule="exact"/>
              <w:rPr>
                <w:sz w:val="20"/>
                <w:szCs w:val="20"/>
                <w:color w:val="auto"/>
              </w:rPr>
            </w:pPr>
            <w:r>
              <w:rPr>
                <w:rFonts w:ascii="Arial" w:cs="Arial" w:eastAsia="Arial" w:hAnsi="Arial"/>
                <w:sz w:val="15"/>
                <w:szCs w:val="15"/>
                <w:color w:val="auto"/>
              </w:rPr>
              <w:t>100</w:t>
            </w:r>
          </w:p>
        </w:tc>
        <w:tc>
          <w:tcPr>
            <w:tcW w:w="5680" w:type="dxa"/>
            <w:vAlign w:val="bottom"/>
          </w:tcPr>
          <w:p>
            <w:pPr>
              <w:jc w:val="right"/>
              <w:ind w:right="64"/>
              <w:spacing w:after="0" w:line="171" w:lineRule="exact"/>
              <w:rPr>
                <w:sz w:val="20"/>
                <w:szCs w:val="20"/>
                <w:color w:val="auto"/>
              </w:rPr>
            </w:pPr>
            <w:r>
              <w:rPr>
                <w:rFonts w:ascii="Arial" w:cs="Arial" w:eastAsia="Arial" w:hAnsi="Arial"/>
                <w:sz w:val="15"/>
                <w:szCs w:val="15"/>
                <w:color w:val="auto"/>
              </w:rPr>
              <w:t>181</w:t>
            </w:r>
          </w:p>
        </w:tc>
        <w:tc>
          <w:tcPr>
            <w:tcW w:w="180" w:type="dxa"/>
            <w:vAlign w:val="bottom"/>
          </w:tcPr>
          <w:p>
            <w:pPr>
              <w:spacing w:after="0"/>
              <w:rPr>
                <w:sz w:val="14"/>
                <w:szCs w:val="14"/>
                <w:color w:val="auto"/>
              </w:rPr>
            </w:pPr>
          </w:p>
        </w:tc>
        <w:tc>
          <w:tcPr>
            <w:tcW w:w="740" w:type="dxa"/>
            <w:vAlign w:val="bottom"/>
            <w:gridSpan w:val="2"/>
          </w:tcPr>
          <w:p>
            <w:pPr>
              <w:jc w:val="right"/>
              <w:ind w:right="67"/>
              <w:spacing w:after="0" w:line="171" w:lineRule="exact"/>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70"/>
        </w:trPr>
        <w:tc>
          <w:tcPr>
            <w:tcW w:w="1760" w:type="dxa"/>
            <w:vAlign w:val="bottom"/>
          </w:tcPr>
          <w:p>
            <w:pPr>
              <w:ind w:left="260"/>
              <w:spacing w:after="0" w:line="171" w:lineRule="exact"/>
              <w:rPr>
                <w:sz w:val="20"/>
                <w:szCs w:val="20"/>
                <w:color w:val="auto"/>
              </w:rPr>
            </w:pPr>
            <w:r>
              <w:rPr>
                <w:rFonts w:ascii="Arial" w:cs="Arial" w:eastAsia="Arial" w:hAnsi="Arial"/>
                <w:sz w:val="15"/>
                <w:szCs w:val="15"/>
                <w:color w:val="auto"/>
              </w:rPr>
              <w:t>Electric generation</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100"/>
              <w:spacing w:after="0"/>
              <w:rPr>
                <w:sz w:val="20"/>
                <w:szCs w:val="20"/>
                <w:color w:val="auto"/>
              </w:rPr>
            </w:pPr>
            <w:r>
              <w:rPr>
                <w:rFonts w:ascii="Arial" w:cs="Arial" w:eastAsia="Arial" w:hAnsi="Arial"/>
                <w:sz w:val="15"/>
                <w:szCs w:val="15"/>
                <w:color w:val="auto"/>
              </w:rPr>
              <w:t>plants</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80</w:t>
            </w:r>
          </w:p>
        </w:tc>
        <w:tc>
          <w:tcPr>
            <w:tcW w:w="260" w:type="dxa"/>
            <w:vAlign w:val="bottom"/>
          </w:tcPr>
          <w:p>
            <w:pPr>
              <w:spacing w:after="0"/>
              <w:rPr>
                <w:sz w:val="15"/>
                <w:szCs w:val="15"/>
                <w:color w:val="auto"/>
              </w:rPr>
            </w:pP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19</w:t>
            </w:r>
          </w:p>
        </w:tc>
        <w:tc>
          <w:tcPr>
            <w:tcW w:w="5680" w:type="dxa"/>
            <w:vAlign w:val="bottom"/>
          </w:tcPr>
          <w:p>
            <w:pPr>
              <w:jc w:val="right"/>
              <w:ind w:right="64"/>
              <w:spacing w:after="0"/>
              <w:rPr>
                <w:sz w:val="20"/>
                <w:szCs w:val="20"/>
                <w:color w:val="auto"/>
              </w:rPr>
            </w:pPr>
            <w:r>
              <w:rPr>
                <w:rFonts w:ascii="Arial" w:cs="Arial" w:eastAsia="Arial" w:hAnsi="Arial"/>
                <w:sz w:val="15"/>
                <w:szCs w:val="15"/>
                <w:color w:val="auto"/>
              </w:rPr>
              <w:t>80</w:t>
            </w:r>
          </w:p>
        </w:tc>
        <w:tc>
          <w:tcPr>
            <w:tcW w:w="180" w:type="dxa"/>
            <w:vAlign w:val="bottom"/>
          </w:tcPr>
          <w:p>
            <w:pPr>
              <w:spacing w:after="0"/>
              <w:rPr>
                <w:sz w:val="15"/>
                <w:szCs w:val="15"/>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12"/>
        </w:trPr>
        <w:tc>
          <w:tcPr>
            <w:tcW w:w="1760" w:type="dxa"/>
            <w:vAlign w:val="bottom"/>
          </w:tcPr>
          <w:p>
            <w:pPr>
              <w:ind w:left="260"/>
              <w:spacing w:after="0"/>
              <w:rPr>
                <w:sz w:val="20"/>
                <w:szCs w:val="20"/>
                <w:color w:val="auto"/>
              </w:rPr>
            </w:pPr>
            <w:r>
              <w:rPr>
                <w:rFonts w:ascii="Arial" w:cs="Arial" w:eastAsia="Arial" w:hAnsi="Arial"/>
                <w:sz w:val="15"/>
                <w:szCs w:val="15"/>
                <w:color w:val="auto"/>
              </w:rPr>
              <w:t>Wholesale</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68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7</w:t>
            </w:r>
          </w:p>
        </w:tc>
        <w:tc>
          <w:tcPr>
            <w:tcW w:w="5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68</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Pr>
          <w:p>
            <w:pPr>
              <w:jc w:val="right"/>
              <w:ind w:right="67"/>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184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1,446</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276</w:t>
            </w:r>
          </w:p>
        </w:tc>
        <w:tc>
          <w:tcPr>
            <w:tcW w:w="2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128</w:t>
            </w:r>
          </w:p>
        </w:tc>
        <w:tc>
          <w:tcPr>
            <w:tcW w:w="5680" w:type="dxa"/>
            <w:vAlign w:val="bottom"/>
          </w:tcPr>
          <w:p>
            <w:pPr>
              <w:jc w:val="right"/>
              <w:ind w:right="64"/>
              <w:spacing w:after="0"/>
              <w:rPr>
                <w:sz w:val="20"/>
                <w:szCs w:val="20"/>
                <w:color w:val="auto"/>
              </w:rPr>
            </w:pPr>
            <w:r>
              <w:rPr>
                <w:rFonts w:ascii="Arial" w:cs="Arial" w:eastAsia="Arial" w:hAnsi="Arial"/>
                <w:sz w:val="15"/>
                <w:szCs w:val="15"/>
                <w:color w:val="auto"/>
              </w:rPr>
              <w:t>460</w:t>
            </w:r>
          </w:p>
        </w:tc>
        <w:tc>
          <w:tcPr>
            <w:tcW w:w="180" w:type="dxa"/>
            <w:vAlign w:val="bottom"/>
          </w:tcPr>
          <w:p>
            <w:pPr>
              <w:spacing w:after="0"/>
              <w:rPr>
                <w:sz w:val="19"/>
                <w:szCs w:val="19"/>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1,574</w:t>
            </w:r>
          </w:p>
        </w:tc>
        <w:tc>
          <w:tcPr>
            <w:tcW w:w="0" w:type="dxa"/>
            <w:vAlign w:val="bottom"/>
          </w:tcPr>
          <w:p>
            <w:pPr>
              <w:spacing w:after="0"/>
              <w:rPr>
                <w:sz w:val="1"/>
                <w:szCs w:val="1"/>
                <w:color w:val="auto"/>
              </w:rPr>
            </w:pPr>
          </w:p>
        </w:tc>
      </w:tr>
      <w:tr>
        <w:trPr>
          <w:trHeight w:val="219"/>
        </w:trPr>
        <w:tc>
          <w:tcPr>
            <w:tcW w:w="1760" w:type="dxa"/>
            <w:vAlign w:val="bottom"/>
          </w:tcPr>
          <w:p>
            <w:pPr>
              <w:ind w:left="260"/>
              <w:spacing w:after="0"/>
              <w:rPr>
                <w:sz w:val="20"/>
                <w:szCs w:val="20"/>
                <w:color w:val="auto"/>
              </w:rPr>
            </w:pPr>
            <w:r>
              <w:rPr>
                <w:rFonts w:ascii="Arial" w:cs="Arial" w:eastAsia="Arial" w:hAnsi="Arial"/>
                <w:sz w:val="15"/>
                <w:szCs w:val="15"/>
                <w:color w:val="auto"/>
              </w:rPr>
              <w:t>Other revenues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12"/>
        </w:trPr>
        <w:tc>
          <w:tcPr>
            <w:tcW w:w="1760" w:type="dxa"/>
            <w:vAlign w:val="bottom"/>
          </w:tcPr>
          <w:p>
            <w:pPr>
              <w:ind w:left="260"/>
              <w:spacing w:after="0"/>
              <w:rPr>
                <w:sz w:val="20"/>
                <w:szCs w:val="20"/>
                <w:color w:val="auto"/>
              </w:rPr>
            </w:pPr>
            <w:r>
              <w:rPr>
                <w:rFonts w:ascii="Arial" w:cs="Arial" w:eastAsia="Arial" w:hAnsi="Arial"/>
                <w:sz w:val="15"/>
                <w:szCs w:val="15"/>
                <w:color w:val="auto"/>
              </w:rPr>
              <w:t>Balancing accounts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Total(1)</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rPr>
              <w:t>1,614</w:t>
            </w: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3"/>
          <w:szCs w:val="13"/>
          <w:i w:val="1"/>
          <w:iCs w:val="1"/>
          <w:color w:val="auto"/>
        </w:rPr>
        <w:t>(1) Includes sales to affiliates of $21 million in 2010 and $15 million in 2009.</w:t>
      </w:r>
    </w:p>
    <w:p>
      <w:pPr>
        <w:spacing w:after="0" w:line="23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i w:val="1"/>
          <w:iCs w:val="1"/>
          <w:color w:val="auto"/>
        </w:rPr>
        <w:t>During the three months ended June 30, 2010, SoCalGas' revenues increased by $140 million (20%) to $834 million, and the cost of natural gas increased by $104 million (49%) to $318 million. The increase in revenues was primarily due to:</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§the increase in cost of natural gas, which was caused primarily by higher natural gas prices, as we discuss b elow;</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§$22 million higher recovery of CPUC-authorized costs, which revenues are fully offset in operation and maintenance expenses; and</w:t>
      </w:r>
    </w:p>
    <w:p>
      <w:pPr>
        <w:sectPr>
          <w:pgSz w:w="11900" w:h="16838" w:orient="portrait"/>
          <w:cols w:equalWidth="0" w:num="1">
            <w:col w:w="11440"/>
          </w:cols>
          <w:pgMar w:left="240" w:top="141" w:right="219" w:bottom="0" w:gutter="0" w:footer="0" w:header="0"/>
        </w:sectPr>
      </w:pP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§$13 million higher authorized base margin in accordance with the CPUC's 2008 General Rate Case (GRC) decision.</w:t>
      </w:r>
    </w:p>
    <w:p>
      <w:pPr>
        <w:sectPr>
          <w:pgSz w:w="11900" w:h="16838" w:orient="portrait"/>
          <w:cols w:equalWidth="0" w:num="1">
            <w:col w:w="11440"/>
          </w:cols>
          <w:pgMar w:left="240" w:top="141" w:right="219" w:bottom="0" w:gutter="0" w:footer="0" w:header="0"/>
          <w:type w:val="continuous"/>
        </w:sectPr>
      </w:pPr>
    </w:p>
    <w:bookmarkStart w:id="45" w:name="page46"/>
    <w:bookmarkEnd w:id="45"/>
    <w:p>
      <w:pPr>
        <w:spacing w:after="0" w:line="51"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i w:val="1"/>
          <w:iCs w:val="1"/>
          <w:color w:val="auto"/>
        </w:rPr>
        <w:t>During the six months ended June 30, 2010, SoCalGas’ revenues increased by $402 million (25%) to $2.0 billion, and the cost of natural gas increased by $323 million (48%) to $992 million. The increase in revenues was primarily due to:</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§the increase in cost of natural gas, which was caused primarily by higher natural gas prices, as w e discuss below;</w:t>
      </w:r>
    </w:p>
    <w:p>
      <w:pPr>
        <w:spacing w:after="0" w:line="60" w:lineRule="exact"/>
        <w:rPr>
          <w:sz w:val="20"/>
          <w:szCs w:val="20"/>
          <w:color w:val="auto"/>
        </w:rPr>
      </w:pPr>
    </w:p>
    <w:p>
      <w:pPr>
        <w:ind w:left="140" w:right="2820"/>
        <w:spacing w:after="0" w:line="339" w:lineRule="auto"/>
        <w:rPr>
          <w:sz w:val="20"/>
          <w:szCs w:val="20"/>
          <w:color w:val="auto"/>
        </w:rPr>
      </w:pPr>
      <w:r>
        <w:rPr>
          <w:rFonts w:ascii="Arial" w:cs="Arial" w:eastAsia="Arial" w:hAnsi="Arial"/>
          <w:sz w:val="16"/>
          <w:szCs w:val="16"/>
          <w:i w:val="1"/>
          <w:iCs w:val="1"/>
          <w:color w:val="auto"/>
        </w:rPr>
        <w:t>§$35 million higher recovery of CPUC-authorized costs, which revenues are fully offset in operation and maintenance expenses; and §$26 million higher authorized base margin in accordance with the CPUC's 2008 GRC decision.</w:t>
      </w:r>
    </w:p>
    <w:p>
      <w:pPr>
        <w:spacing w:after="0" w:line="65"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i w:val="1"/>
          <w:iCs w:val="1"/>
          <w:color w:val="auto"/>
        </w:rPr>
        <w:t>SoCalGas' average cost of natural gas for the three months ended June 30, 2010 was $4.32 per Mcf compared to $3.10 per Mcf for the corresponding period in 2009, a 39-percent increase of $1.22 per Mcf, resulting in higher revenues and cost of $90 million. For the first six months of 2010, SoCalGas' average cost of natural gas was $5.23 per Mcf compared to $3.63 per Mcf for the corresponding period in 2009, a 44-percent increase of $1.60 per Mcf, resulting in higher revenu es and cost of $303 million.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and SDG&amp;E: Electric Revenues and Cost of Electric Fuel and Purchased Power</w:t>
      </w:r>
    </w:p>
    <w:p>
      <w:pPr>
        <w:spacing w:after="0" w:line="60"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i w:val="1"/>
          <w:iCs w:val="1"/>
          <w:color w:val="auto"/>
        </w:rPr>
        <w:t>The table below shows electric revenues for Sempra Energy and SDG&amp;E. Sempra Energy amounts are shown after eliminating intercompany transactions. Because the cost of electricity is substantially recovered in rates, changes in the cost are reflected in the changes in revenues.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During the three months ended June 30, 2010, electric revenues increased by $52 million (10%) to $586 million at Sempra Energy and by $54 million (10%) to $589 million at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 The increase in revenues was primarily due to:</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§$22 million increase in the cost of electric fuel and purchased power;</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§$13 million higher authorized transmission and electric generation margins;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 million higher authorized base margin on electric distribution;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§$6 million higher recoverable expenses that are fully offset in operation and maintenance expenses.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During the six months ended June 30, 2010, electric revenues increased by $63 million (6%) at Sempra Energy to $1.1 billion, and by $64 million (6%) at SDG&amp;E to $1.2 billion.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in revenues was primarily due to:</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§$23 million higher authorized transmission and electric generation margins;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§$19 million increase in the cost of electric fuel and purchased power;</w:t>
      </w:r>
    </w:p>
    <w:p>
      <w:pPr>
        <w:spacing w:after="0" w:line="60" w:lineRule="exact"/>
        <w:rPr>
          <w:sz w:val="20"/>
          <w:szCs w:val="20"/>
          <w:color w:val="auto"/>
        </w:rPr>
      </w:pPr>
    </w:p>
    <w:p>
      <w:pPr>
        <w:ind w:left="140" w:right="4500"/>
        <w:spacing w:after="0" w:line="339" w:lineRule="auto"/>
        <w:rPr>
          <w:sz w:val="20"/>
          <w:szCs w:val="20"/>
          <w:color w:val="auto"/>
        </w:rPr>
      </w:pPr>
      <w:r>
        <w:rPr>
          <w:rFonts w:ascii="Arial" w:cs="Arial" w:eastAsia="Arial" w:hAnsi="Arial"/>
          <w:sz w:val="16"/>
          <w:szCs w:val="16"/>
          <w:i w:val="1"/>
          <w:iCs w:val="1"/>
          <w:color w:val="auto"/>
        </w:rPr>
        <w:t>§$16 million higher recoverable expenses that are fully offset in operation and maintenance expenses; and §$13 million higher authorized base margin on electric distribution.</w:t>
      </w:r>
    </w:p>
    <w:p>
      <w:pPr>
        <w:spacing w:after="0" w:line="6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i w:val="1"/>
          <w:iCs w:val="1"/>
          <w:color w:val="auto"/>
        </w:rPr>
        <w:t>The cost of electric fuel and purchased power at both Sempra Energy and SDG&amp;E did not change for the three months ended June 30, 2010 compared to the same period in 2009, but included the following offsetting variances:</w:t>
      </w:r>
    </w:p>
    <w:p>
      <w:pPr>
        <w:spacing w:after="0" w:line="15" w:lineRule="exact"/>
        <w:rPr>
          <w:sz w:val="20"/>
          <w:szCs w:val="20"/>
          <w:color w:val="auto"/>
        </w:rPr>
      </w:pPr>
    </w:p>
    <w:p>
      <w:pPr>
        <w:ind w:left="140" w:right="1480"/>
        <w:spacing w:after="0" w:line="276" w:lineRule="auto"/>
        <w:rPr>
          <w:sz w:val="20"/>
          <w:szCs w:val="20"/>
          <w:color w:val="auto"/>
        </w:rPr>
      </w:pPr>
      <w:r>
        <w:rPr>
          <w:rFonts w:ascii="Arial" w:cs="Arial" w:eastAsia="Arial" w:hAnsi="Arial"/>
          <w:sz w:val="16"/>
          <w:szCs w:val="16"/>
          <w:i w:val="1"/>
          <w:iCs w:val="1"/>
          <w:color w:val="auto"/>
        </w:rPr>
        <w:t xml:space="preserve">§$22 million increase in the cost of electric fuel and purchased power resulting from an increase in power procurement costs, both from higher prices and volumes, and balanced in revenues above; </w:t>
      </w:r>
      <w:r>
        <w:rPr>
          <w:rFonts w:ascii="Arial" w:cs="Arial" w:eastAsia="Arial" w:hAnsi="Arial"/>
          <w:sz w:val="16"/>
          <w:szCs w:val="16"/>
          <w:b w:val="1"/>
          <w:bCs w:val="1"/>
          <w:i w:val="1"/>
          <w:iCs w:val="1"/>
          <w:color w:val="auto"/>
        </w:rPr>
        <w:t>offset by</w:t>
      </w:r>
    </w:p>
    <w:p>
      <w:pPr>
        <w:spacing w:after="0" w:line="15" w:lineRule="exact"/>
        <w:rPr>
          <w:sz w:val="20"/>
          <w:szCs w:val="20"/>
          <w:color w:val="auto"/>
        </w:rPr>
      </w:pPr>
    </w:p>
    <w:p>
      <w:pPr>
        <w:jc w:val="both"/>
        <w:ind w:left="140" w:right="1400"/>
        <w:spacing w:after="0" w:line="265" w:lineRule="auto"/>
        <w:rPr>
          <w:sz w:val="20"/>
          <w:szCs w:val="20"/>
          <w:color w:val="auto"/>
        </w:rPr>
      </w:pPr>
      <w:r>
        <w:rPr>
          <w:rFonts w:ascii="Arial" w:cs="Arial" w:eastAsia="Arial" w:hAnsi="Arial"/>
          <w:sz w:val="16"/>
          <w:szCs w:val="16"/>
          <w:i w:val="1"/>
          <w:iCs w:val="1"/>
          <w:color w:val="auto"/>
        </w:rPr>
        <w:t>§$21 million decrease in the amount of power purchased from third-party generators as a result of the start up of new power generation at Otay Mesa VIE, which commenced commercial operations in the fourth quarter of 2009. The lower cost of electric fuel and purchased power is partially offset by operating costs and depreciation for Otay Mesa VIE.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At both Sempra Energy and SDG&amp;E, the cost of electric fuel and purchased power decreased by $23 million (8%) to $277 million for the six months ended June 30, 2010 primarily due to:</w:t>
      </w:r>
    </w:p>
    <w:p>
      <w:pPr>
        <w:spacing w:after="0" w:line="15" w:lineRule="exact"/>
        <w:rPr>
          <w:sz w:val="20"/>
          <w:szCs w:val="20"/>
          <w:color w:val="auto"/>
        </w:rPr>
      </w:pPr>
    </w:p>
    <w:p>
      <w:pPr>
        <w:ind w:left="140" w:right="1400"/>
        <w:spacing w:after="0" w:line="276" w:lineRule="auto"/>
        <w:rPr>
          <w:sz w:val="20"/>
          <w:szCs w:val="20"/>
          <w:color w:val="auto"/>
        </w:rPr>
      </w:pPr>
      <w:r>
        <w:rPr>
          <w:rFonts w:ascii="Arial" w:cs="Arial" w:eastAsia="Arial" w:hAnsi="Arial"/>
          <w:sz w:val="16"/>
          <w:szCs w:val="16"/>
          <w:i w:val="1"/>
          <w:iCs w:val="1"/>
          <w:color w:val="auto"/>
        </w:rPr>
        <w:t xml:space="preserve">§$40 million decrease in the amount of power purchased from third-party generators as a result of the start up of new power generation at Otay Mesa VIE; </w:t>
      </w:r>
      <w:r>
        <w:rPr>
          <w:rFonts w:ascii="Arial" w:cs="Arial" w:eastAsia="Arial" w:hAnsi="Arial"/>
          <w:sz w:val="16"/>
          <w:szCs w:val="16"/>
          <w:b w:val="1"/>
          <w:bCs w:val="1"/>
          <w:i w:val="1"/>
          <w:iCs w:val="1"/>
          <w:color w:val="auto"/>
        </w:rPr>
        <w:t>offset by</w:t>
      </w:r>
    </w:p>
    <w:p>
      <w:pPr>
        <w:spacing w:after="0" w:line="15" w:lineRule="exact"/>
        <w:rPr>
          <w:sz w:val="20"/>
          <w:szCs w:val="20"/>
          <w:color w:val="auto"/>
        </w:rPr>
      </w:pPr>
    </w:p>
    <w:p>
      <w:pPr>
        <w:ind w:left="140" w:right="1480"/>
        <w:spacing w:after="0" w:line="276" w:lineRule="auto"/>
        <w:rPr>
          <w:sz w:val="20"/>
          <w:szCs w:val="20"/>
          <w:color w:val="auto"/>
        </w:rPr>
      </w:pPr>
      <w:r>
        <w:rPr>
          <w:rFonts w:ascii="Arial" w:cs="Arial" w:eastAsia="Arial" w:hAnsi="Arial"/>
          <w:sz w:val="16"/>
          <w:szCs w:val="16"/>
          <w:i w:val="1"/>
          <w:iCs w:val="1"/>
          <w:color w:val="auto"/>
        </w:rPr>
        <w:t>§$19 million increase in the cost of electric fuel and purchased power resulting from an increase in power procurement costs, both from higher prices and volumes, and balanced in revenues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3510280" cy="294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10280" cy="294005"/>
                    </a:xfrm>
                    <a:prstGeom prst="rect">
                      <a:avLst/>
                    </a:prstGeom>
                    <a:noFill/>
                  </pic:spPr>
                </pic:pic>
              </a:graphicData>
            </a:graphic>
          </wp:anchor>
        </w:drawing>
      </w:r>
    </w:p>
    <w:p>
      <w:pPr>
        <w:spacing w:after="0" w:line="36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ELECTRIC DISTRIBUTION AND TRANSMISSION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gridSpan w:val="4"/>
          </w:tcPr>
          <w:p>
            <w:pPr>
              <w:ind w:left="100"/>
              <w:spacing w:after="0"/>
              <w:rPr>
                <w:sz w:val="20"/>
                <w:szCs w:val="20"/>
                <w:color w:val="auto"/>
              </w:rPr>
            </w:pPr>
            <w:r>
              <w:rPr>
                <w:rFonts w:ascii="Arial" w:cs="Arial" w:eastAsia="Arial" w:hAnsi="Arial"/>
                <w:sz w:val="13"/>
                <w:szCs w:val="13"/>
                <w:i w:val="1"/>
                <w:iCs w:val="1"/>
                <w:color w:val="auto"/>
              </w:rPr>
              <w:t>(Volumes in millions of kilowatt-hours, dollars in millions)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color w:val="auto"/>
              </w:rPr>
              <w:t>2010</w:t>
            </w: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r>
        <w:trPr>
          <w:trHeight w:val="150"/>
        </w:trPr>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Customer class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Volumes</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3"/>
                <w:szCs w:val="13"/>
                <w:color w:val="auto"/>
              </w:rPr>
              <w:t>Revenue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Volumes</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w w:val="96"/>
              </w:rPr>
              <w:t>Revenue</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b w:val="1"/>
                <w:bCs w:val="1"/>
                <w:color w:val="auto"/>
              </w:rPr>
              <w:t>Sempra Energy Consolidated:</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280" w:type="dxa"/>
            <w:vAlign w:val="bottom"/>
          </w:tcPr>
          <w:p>
            <w:pPr>
              <w:ind w:left="100"/>
              <w:spacing w:after="0"/>
              <w:rPr>
                <w:sz w:val="20"/>
                <w:szCs w:val="20"/>
                <w:color w:val="auto"/>
              </w:rPr>
            </w:pPr>
            <w:r>
              <w:rPr>
                <w:rFonts w:ascii="Arial" w:cs="Arial" w:eastAsia="Arial" w:hAnsi="Arial"/>
                <w:sz w:val="15"/>
                <w:szCs w:val="15"/>
                <w:color w:val="auto"/>
              </w:rPr>
              <w:t>Residential</w:t>
            </w:r>
          </w:p>
        </w:tc>
        <w:tc>
          <w:tcPr>
            <w:tcW w:w="620" w:type="dxa"/>
            <w:vAlign w:val="bottom"/>
          </w:tcPr>
          <w:p>
            <w:pPr>
              <w:jc w:val="right"/>
              <w:spacing w:after="0"/>
              <w:rPr>
                <w:sz w:val="20"/>
                <w:szCs w:val="20"/>
                <w:color w:val="auto"/>
              </w:rPr>
            </w:pPr>
            <w:r>
              <w:rPr>
                <w:rFonts w:ascii="Arial" w:cs="Arial" w:eastAsia="Arial" w:hAnsi="Arial"/>
                <w:sz w:val="15"/>
                <w:szCs w:val="15"/>
                <w:color w:val="auto"/>
              </w:rPr>
              <w:t>3,539</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507</w:t>
            </w:r>
          </w:p>
        </w:tc>
        <w:tc>
          <w:tcPr>
            <w:tcW w:w="620" w:type="dxa"/>
            <w:vAlign w:val="bottom"/>
          </w:tcPr>
          <w:p>
            <w:pPr>
              <w:jc w:val="right"/>
              <w:spacing w:after="0"/>
              <w:rPr>
                <w:sz w:val="20"/>
                <w:szCs w:val="20"/>
                <w:color w:val="auto"/>
              </w:rPr>
            </w:pPr>
            <w:r>
              <w:rPr>
                <w:rFonts w:ascii="Arial" w:cs="Arial" w:eastAsia="Arial" w:hAnsi="Arial"/>
                <w:sz w:val="15"/>
                <w:szCs w:val="15"/>
                <w:color w:val="auto"/>
              </w:rPr>
              <w:t>3,605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Commercial</w:t>
            </w:r>
          </w:p>
        </w:tc>
        <w:tc>
          <w:tcPr>
            <w:tcW w:w="620" w:type="dxa"/>
            <w:vAlign w:val="bottom"/>
          </w:tcPr>
          <w:p>
            <w:pPr>
              <w:jc w:val="right"/>
              <w:spacing w:after="0"/>
              <w:rPr>
                <w:sz w:val="20"/>
                <w:szCs w:val="20"/>
                <w:color w:val="auto"/>
              </w:rPr>
            </w:pPr>
            <w:r>
              <w:rPr>
                <w:rFonts w:ascii="Arial" w:cs="Arial" w:eastAsia="Arial" w:hAnsi="Arial"/>
                <w:sz w:val="15"/>
                <w:szCs w:val="15"/>
                <w:color w:val="auto"/>
              </w:rPr>
              <w:t>3,201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418</w:t>
            </w:r>
          </w:p>
        </w:tc>
        <w:tc>
          <w:tcPr>
            <w:tcW w:w="620" w:type="dxa"/>
            <w:vAlign w:val="bottom"/>
          </w:tcPr>
          <w:p>
            <w:pPr>
              <w:jc w:val="right"/>
              <w:spacing w:after="0"/>
              <w:rPr>
                <w:sz w:val="20"/>
                <w:szCs w:val="20"/>
                <w:color w:val="auto"/>
              </w:rPr>
            </w:pPr>
            <w:r>
              <w:rPr>
                <w:rFonts w:ascii="Arial" w:cs="Arial" w:eastAsia="Arial" w:hAnsi="Arial"/>
                <w:sz w:val="15"/>
                <w:szCs w:val="15"/>
                <w:color w:val="auto"/>
              </w:rPr>
              <w:t>3,370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Industrial</w:t>
            </w:r>
          </w:p>
        </w:tc>
        <w:tc>
          <w:tcPr>
            <w:tcW w:w="620" w:type="dxa"/>
            <w:vAlign w:val="bottom"/>
          </w:tcPr>
          <w:p>
            <w:pPr>
              <w:jc w:val="right"/>
              <w:spacing w:after="0"/>
              <w:rPr>
                <w:sz w:val="20"/>
                <w:szCs w:val="20"/>
                <w:color w:val="auto"/>
              </w:rPr>
            </w:pPr>
            <w:r>
              <w:rPr>
                <w:rFonts w:ascii="Arial" w:cs="Arial" w:eastAsia="Arial" w:hAnsi="Arial"/>
                <w:sz w:val="15"/>
                <w:szCs w:val="15"/>
                <w:color w:val="auto"/>
              </w:rPr>
              <w:t>1,028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111</w:t>
            </w:r>
          </w:p>
        </w:tc>
        <w:tc>
          <w:tcPr>
            <w:tcW w:w="620" w:type="dxa"/>
            <w:vAlign w:val="bottom"/>
          </w:tcPr>
          <w:p>
            <w:pPr>
              <w:jc w:val="right"/>
              <w:spacing w:after="0"/>
              <w:rPr>
                <w:sz w:val="20"/>
                <w:szCs w:val="20"/>
                <w:color w:val="auto"/>
              </w:rPr>
            </w:pPr>
            <w:r>
              <w:rPr>
                <w:rFonts w:ascii="Arial" w:cs="Arial" w:eastAsia="Arial" w:hAnsi="Arial"/>
                <w:sz w:val="15"/>
                <w:szCs w:val="15"/>
                <w:color w:val="auto"/>
              </w:rPr>
              <w:t>1,104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Direct access</w:t>
            </w:r>
          </w:p>
        </w:tc>
        <w:tc>
          <w:tcPr>
            <w:tcW w:w="620" w:type="dxa"/>
            <w:vAlign w:val="bottom"/>
          </w:tcPr>
          <w:p>
            <w:pPr>
              <w:jc w:val="right"/>
              <w:spacing w:after="0"/>
              <w:rPr>
                <w:sz w:val="20"/>
                <w:szCs w:val="20"/>
                <w:color w:val="auto"/>
              </w:rPr>
            </w:pPr>
            <w:r>
              <w:rPr>
                <w:rFonts w:ascii="Arial" w:cs="Arial" w:eastAsia="Arial" w:hAnsi="Arial"/>
                <w:sz w:val="15"/>
                <w:szCs w:val="15"/>
                <w:color w:val="auto"/>
              </w:rPr>
              <w:t>1,484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54</w:t>
            </w:r>
          </w:p>
        </w:tc>
        <w:tc>
          <w:tcPr>
            <w:tcW w:w="620" w:type="dxa"/>
            <w:vAlign w:val="bottom"/>
          </w:tcPr>
          <w:p>
            <w:pPr>
              <w:jc w:val="right"/>
              <w:spacing w:after="0"/>
              <w:rPr>
                <w:sz w:val="20"/>
                <w:szCs w:val="20"/>
                <w:color w:val="auto"/>
              </w:rPr>
            </w:pPr>
            <w:r>
              <w:rPr>
                <w:rFonts w:ascii="Arial" w:cs="Arial" w:eastAsia="Arial" w:hAnsi="Arial"/>
                <w:sz w:val="15"/>
                <w:szCs w:val="15"/>
                <w:color w:val="auto"/>
              </w:rPr>
              <w:t>1,490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20"/>
                <w:szCs w:val="20"/>
                <w:color w:val="auto"/>
              </w:rPr>
            </w:pPr>
            <w:r>
              <w:rPr>
                <w:rFonts w:ascii="Arial" w:cs="Arial" w:eastAsia="Arial" w:hAnsi="Arial"/>
                <w:sz w:val="15"/>
                <w:szCs w:val="15"/>
                <w:color w:val="auto"/>
              </w:rPr>
              <w:t>Street and highway lighting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9,302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1,096</w:t>
            </w:r>
          </w:p>
        </w:tc>
        <w:tc>
          <w:tcPr>
            <w:tcW w:w="620" w:type="dxa"/>
            <w:vAlign w:val="bottom"/>
          </w:tcPr>
          <w:p>
            <w:pPr>
              <w:jc w:val="right"/>
              <w:spacing w:after="0"/>
              <w:rPr>
                <w:sz w:val="20"/>
                <w:szCs w:val="20"/>
                <w:color w:val="auto"/>
              </w:rPr>
            </w:pPr>
            <w:r>
              <w:rPr>
                <w:rFonts w:ascii="Arial" w:cs="Arial" w:eastAsia="Arial" w:hAnsi="Arial"/>
                <w:sz w:val="15"/>
                <w:szCs w:val="15"/>
                <w:color w:val="auto"/>
              </w:rPr>
              <w:t>9,622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1,105</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Other revenues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12"/>
        </w:trPr>
        <w:tc>
          <w:tcPr>
            <w:tcW w:w="2280" w:type="dxa"/>
            <w:vAlign w:val="bottom"/>
          </w:tcPr>
          <w:p>
            <w:pPr>
              <w:ind w:left="100"/>
              <w:spacing w:after="0"/>
              <w:rPr>
                <w:sz w:val="20"/>
                <w:szCs w:val="20"/>
                <w:color w:val="auto"/>
              </w:rPr>
            </w:pPr>
            <w:r>
              <w:rPr>
                <w:rFonts w:ascii="Arial" w:cs="Arial" w:eastAsia="Arial" w:hAnsi="Arial"/>
                <w:sz w:val="15"/>
                <w:szCs w:val="15"/>
                <w:color w:val="auto"/>
              </w:rPr>
              <w:t>Balancing accounts</w:t>
            </w: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28"/>
        </w:trPr>
        <w:tc>
          <w:tcPr>
            <w:tcW w:w="22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Total</w:t>
            </w: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1,148</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1,085</w:t>
            </w:r>
          </w:p>
        </w:tc>
        <w:tc>
          <w:tcPr>
            <w:tcW w:w="0" w:type="dxa"/>
            <w:vAlign w:val="bottom"/>
          </w:tcPr>
          <w:p>
            <w:pPr>
              <w:spacing w:after="0"/>
              <w:rPr>
                <w:sz w:val="1"/>
                <w:szCs w:val="1"/>
                <w:color w:val="auto"/>
              </w:rPr>
            </w:pPr>
          </w:p>
        </w:tc>
      </w:tr>
      <w:tr>
        <w:trPr>
          <w:trHeight w:val="227"/>
        </w:trPr>
        <w:tc>
          <w:tcPr>
            <w:tcW w:w="2280" w:type="dxa"/>
            <w:vAlign w:val="bottom"/>
          </w:tcPr>
          <w:p>
            <w:pPr>
              <w:ind w:left="100"/>
              <w:spacing w:after="0"/>
              <w:rPr>
                <w:sz w:val="20"/>
                <w:szCs w:val="20"/>
                <w:color w:val="auto"/>
              </w:rPr>
            </w:pPr>
            <w:r>
              <w:rPr>
                <w:rFonts w:ascii="Arial" w:cs="Arial" w:eastAsia="Arial" w:hAnsi="Arial"/>
                <w:sz w:val="15"/>
                <w:szCs w:val="15"/>
                <w:b w:val="1"/>
                <w:bCs w:val="1"/>
                <w:color w:val="auto"/>
              </w:rPr>
              <w:t>SDG&amp;E:</w:t>
            </w:r>
          </w:p>
        </w:tc>
        <w:tc>
          <w:tcPr>
            <w:tcW w:w="620" w:type="dxa"/>
            <w:vAlign w:val="bottom"/>
          </w:tcPr>
          <w:p>
            <w:pPr>
              <w:spacing w:after="0"/>
              <w:rPr>
                <w:sz w:val="19"/>
                <w:szCs w:val="19"/>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9"/>
                <w:szCs w:val="19"/>
                <w:color w:val="auto"/>
              </w:rPr>
              <w:t>$</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80" w:type="dxa"/>
            <w:vAlign w:val="bottom"/>
          </w:tcPr>
          <w:p>
            <w:pPr>
              <w:ind w:left="100"/>
              <w:spacing w:after="0"/>
              <w:rPr>
                <w:sz w:val="20"/>
                <w:szCs w:val="20"/>
                <w:color w:val="auto"/>
              </w:rPr>
            </w:pPr>
            <w:r>
              <w:rPr>
                <w:rFonts w:ascii="Arial" w:cs="Arial" w:eastAsia="Arial" w:hAnsi="Arial"/>
                <w:sz w:val="15"/>
                <w:szCs w:val="15"/>
                <w:color w:val="auto"/>
              </w:rPr>
              <w:t>Residential</w:t>
            </w:r>
          </w:p>
        </w:tc>
        <w:tc>
          <w:tcPr>
            <w:tcW w:w="620" w:type="dxa"/>
            <w:vAlign w:val="bottom"/>
          </w:tcPr>
          <w:p>
            <w:pPr>
              <w:jc w:val="right"/>
              <w:spacing w:after="0"/>
              <w:rPr>
                <w:sz w:val="20"/>
                <w:szCs w:val="20"/>
                <w:color w:val="auto"/>
              </w:rPr>
            </w:pPr>
            <w:r>
              <w:rPr>
                <w:rFonts w:ascii="Arial" w:cs="Arial" w:eastAsia="Arial" w:hAnsi="Arial"/>
                <w:sz w:val="15"/>
                <w:szCs w:val="15"/>
                <w:color w:val="auto"/>
              </w:rPr>
              <w:t>3,539</w:t>
            </w:r>
          </w:p>
        </w:tc>
        <w:tc>
          <w:tcPr>
            <w:tcW w:w="480" w:type="dxa"/>
            <w:vAlign w:val="bottom"/>
            <w:gridSpan w:val="2"/>
            <w:vMerge w:val="continue"/>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507</w:t>
            </w:r>
          </w:p>
        </w:tc>
        <w:tc>
          <w:tcPr>
            <w:tcW w:w="620" w:type="dxa"/>
            <w:vAlign w:val="bottom"/>
          </w:tcPr>
          <w:p>
            <w:pPr>
              <w:jc w:val="right"/>
              <w:spacing w:after="0"/>
              <w:rPr>
                <w:sz w:val="20"/>
                <w:szCs w:val="20"/>
                <w:color w:val="auto"/>
              </w:rPr>
            </w:pPr>
            <w:r>
              <w:rPr>
                <w:rFonts w:ascii="Arial" w:cs="Arial" w:eastAsia="Arial" w:hAnsi="Arial"/>
                <w:sz w:val="15"/>
                <w:szCs w:val="15"/>
                <w:color w:val="auto"/>
              </w:rPr>
              <w:t>3,605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217"/>
        </w:trPr>
        <w:tc>
          <w:tcPr>
            <w:tcW w:w="2280" w:type="dxa"/>
            <w:vAlign w:val="bottom"/>
          </w:tcPr>
          <w:p>
            <w:pPr>
              <w:ind w:left="100"/>
              <w:spacing w:after="0"/>
              <w:rPr>
                <w:sz w:val="20"/>
                <w:szCs w:val="20"/>
                <w:color w:val="auto"/>
              </w:rPr>
            </w:pPr>
            <w:r>
              <w:rPr>
                <w:rFonts w:ascii="Arial" w:cs="Arial" w:eastAsia="Arial" w:hAnsi="Arial"/>
                <w:sz w:val="15"/>
                <w:szCs w:val="15"/>
                <w:color w:val="auto"/>
              </w:rPr>
              <w:t>Commercial</w:t>
            </w:r>
          </w:p>
        </w:tc>
        <w:tc>
          <w:tcPr>
            <w:tcW w:w="620" w:type="dxa"/>
            <w:vAlign w:val="bottom"/>
          </w:tcPr>
          <w:p>
            <w:pPr>
              <w:jc w:val="right"/>
              <w:spacing w:after="0"/>
              <w:rPr>
                <w:sz w:val="20"/>
                <w:szCs w:val="20"/>
                <w:color w:val="auto"/>
              </w:rPr>
            </w:pPr>
            <w:r>
              <w:rPr>
                <w:rFonts w:ascii="Arial" w:cs="Arial" w:eastAsia="Arial" w:hAnsi="Arial"/>
                <w:sz w:val="15"/>
                <w:szCs w:val="15"/>
                <w:color w:val="auto"/>
              </w:rPr>
              <w:t>3,201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418</w:t>
            </w:r>
          </w:p>
        </w:tc>
        <w:tc>
          <w:tcPr>
            <w:tcW w:w="620" w:type="dxa"/>
            <w:vAlign w:val="bottom"/>
          </w:tcPr>
          <w:p>
            <w:pPr>
              <w:jc w:val="right"/>
              <w:spacing w:after="0"/>
              <w:rPr>
                <w:sz w:val="20"/>
                <w:szCs w:val="20"/>
                <w:color w:val="auto"/>
              </w:rPr>
            </w:pPr>
            <w:r>
              <w:rPr>
                <w:rFonts w:ascii="Arial" w:cs="Arial" w:eastAsia="Arial" w:hAnsi="Arial"/>
                <w:sz w:val="15"/>
                <w:szCs w:val="15"/>
                <w:color w:val="auto"/>
              </w:rPr>
              <w:t>3,370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Industrial</w:t>
            </w:r>
          </w:p>
        </w:tc>
        <w:tc>
          <w:tcPr>
            <w:tcW w:w="620" w:type="dxa"/>
            <w:vAlign w:val="bottom"/>
          </w:tcPr>
          <w:p>
            <w:pPr>
              <w:jc w:val="right"/>
              <w:spacing w:after="0"/>
              <w:rPr>
                <w:sz w:val="20"/>
                <w:szCs w:val="20"/>
                <w:color w:val="auto"/>
              </w:rPr>
            </w:pPr>
            <w:r>
              <w:rPr>
                <w:rFonts w:ascii="Arial" w:cs="Arial" w:eastAsia="Arial" w:hAnsi="Arial"/>
                <w:sz w:val="15"/>
                <w:szCs w:val="15"/>
                <w:color w:val="auto"/>
              </w:rPr>
              <w:t>1,039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113</w:t>
            </w:r>
          </w:p>
        </w:tc>
        <w:tc>
          <w:tcPr>
            <w:tcW w:w="620" w:type="dxa"/>
            <w:vAlign w:val="bottom"/>
          </w:tcPr>
          <w:p>
            <w:pPr>
              <w:jc w:val="right"/>
              <w:spacing w:after="0"/>
              <w:rPr>
                <w:sz w:val="20"/>
                <w:szCs w:val="20"/>
                <w:color w:val="auto"/>
              </w:rPr>
            </w:pPr>
            <w:r>
              <w:rPr>
                <w:rFonts w:ascii="Arial" w:cs="Arial" w:eastAsia="Arial" w:hAnsi="Arial"/>
                <w:sz w:val="15"/>
                <w:szCs w:val="15"/>
                <w:color w:val="auto"/>
              </w:rPr>
              <w:t>1,109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Direct access</w:t>
            </w:r>
          </w:p>
        </w:tc>
        <w:tc>
          <w:tcPr>
            <w:tcW w:w="620" w:type="dxa"/>
            <w:vAlign w:val="bottom"/>
          </w:tcPr>
          <w:p>
            <w:pPr>
              <w:jc w:val="right"/>
              <w:spacing w:after="0"/>
              <w:rPr>
                <w:sz w:val="20"/>
                <w:szCs w:val="20"/>
                <w:color w:val="auto"/>
              </w:rPr>
            </w:pPr>
            <w:r>
              <w:rPr>
                <w:rFonts w:ascii="Arial" w:cs="Arial" w:eastAsia="Arial" w:hAnsi="Arial"/>
                <w:sz w:val="15"/>
                <w:szCs w:val="15"/>
                <w:color w:val="auto"/>
              </w:rPr>
              <w:t>1,484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54</w:t>
            </w:r>
          </w:p>
        </w:tc>
        <w:tc>
          <w:tcPr>
            <w:tcW w:w="620" w:type="dxa"/>
            <w:vAlign w:val="bottom"/>
          </w:tcPr>
          <w:p>
            <w:pPr>
              <w:jc w:val="right"/>
              <w:spacing w:after="0"/>
              <w:rPr>
                <w:sz w:val="20"/>
                <w:szCs w:val="20"/>
                <w:color w:val="auto"/>
              </w:rPr>
            </w:pPr>
            <w:r>
              <w:rPr>
                <w:rFonts w:ascii="Arial" w:cs="Arial" w:eastAsia="Arial" w:hAnsi="Arial"/>
                <w:sz w:val="15"/>
                <w:szCs w:val="15"/>
                <w:color w:val="auto"/>
              </w:rPr>
              <w:t>1,490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12"/>
        </w:trPr>
        <w:tc>
          <w:tcPr>
            <w:tcW w:w="2280" w:type="dxa"/>
            <w:vAlign w:val="bottom"/>
          </w:tcPr>
          <w:p>
            <w:pPr>
              <w:ind w:left="100"/>
              <w:spacing w:after="0"/>
              <w:rPr>
                <w:sz w:val="20"/>
                <w:szCs w:val="20"/>
                <w:color w:val="auto"/>
              </w:rPr>
            </w:pPr>
            <w:r>
              <w:rPr>
                <w:rFonts w:ascii="Arial" w:cs="Arial" w:eastAsia="Arial" w:hAnsi="Arial"/>
                <w:sz w:val="15"/>
                <w:szCs w:val="15"/>
                <w:color w:val="auto"/>
              </w:rPr>
              <w:t>Street and highway lighting</w:t>
            </w:r>
          </w:p>
        </w:tc>
        <w:tc>
          <w:tcPr>
            <w:tcW w:w="620" w:type="dxa"/>
            <w:vAlign w:val="bottom"/>
          </w:tcPr>
          <w:p>
            <w:pPr>
              <w:jc w:val="right"/>
              <w:spacing w:after="0"/>
              <w:rPr>
                <w:sz w:val="20"/>
                <w:szCs w:val="20"/>
                <w:color w:val="auto"/>
              </w:rPr>
            </w:pPr>
            <w:r>
              <w:rPr>
                <w:rFonts w:ascii="Arial" w:cs="Arial" w:eastAsia="Arial" w:hAnsi="Arial"/>
                <w:sz w:val="15"/>
                <w:szCs w:val="15"/>
                <w:color w:val="auto"/>
              </w:rPr>
              <w:t>50</w:t>
            </w: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6</w:t>
            </w:r>
          </w:p>
        </w:tc>
        <w:tc>
          <w:tcPr>
            <w:tcW w:w="620" w:type="dxa"/>
            <w:vAlign w:val="bottom"/>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9,313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1,098</w:t>
            </w:r>
          </w:p>
        </w:tc>
        <w:tc>
          <w:tcPr>
            <w:tcW w:w="620" w:type="dxa"/>
            <w:vAlign w:val="bottom"/>
          </w:tcPr>
          <w:p>
            <w:pPr>
              <w:jc w:val="right"/>
              <w:spacing w:after="0"/>
              <w:rPr>
                <w:sz w:val="20"/>
                <w:szCs w:val="20"/>
                <w:color w:val="auto"/>
              </w:rPr>
            </w:pPr>
            <w:r>
              <w:rPr>
                <w:rFonts w:ascii="Arial" w:cs="Arial" w:eastAsia="Arial" w:hAnsi="Arial"/>
                <w:sz w:val="15"/>
                <w:szCs w:val="15"/>
                <w:color w:val="auto"/>
              </w:rPr>
              <w:t>9,627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1,106</w:t>
            </w:r>
          </w:p>
        </w:tc>
        <w:tc>
          <w:tcPr>
            <w:tcW w:w="0" w:type="dxa"/>
            <w:vAlign w:val="bottom"/>
          </w:tcPr>
          <w:p>
            <w:pPr>
              <w:spacing w:after="0"/>
              <w:rPr>
                <w:sz w:val="1"/>
                <w:szCs w:val="1"/>
                <w:color w:val="auto"/>
              </w:rPr>
            </w:pPr>
          </w:p>
        </w:tc>
      </w:tr>
      <w:tr>
        <w:trPr>
          <w:trHeight w:val="219"/>
        </w:trPr>
        <w:tc>
          <w:tcPr>
            <w:tcW w:w="2280" w:type="dxa"/>
            <w:vAlign w:val="bottom"/>
          </w:tcPr>
          <w:p>
            <w:pPr>
              <w:ind w:left="100"/>
              <w:spacing w:after="0"/>
              <w:rPr>
                <w:sz w:val="20"/>
                <w:szCs w:val="20"/>
                <w:color w:val="auto"/>
              </w:rPr>
            </w:pPr>
            <w:r>
              <w:rPr>
                <w:rFonts w:ascii="Arial" w:cs="Arial" w:eastAsia="Arial" w:hAnsi="Arial"/>
                <w:sz w:val="15"/>
                <w:szCs w:val="15"/>
                <w:color w:val="auto"/>
              </w:rPr>
              <w:t>Other revenues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54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12"/>
        </w:trPr>
        <w:tc>
          <w:tcPr>
            <w:tcW w:w="2280" w:type="dxa"/>
            <w:vAlign w:val="bottom"/>
          </w:tcPr>
          <w:p>
            <w:pPr>
              <w:ind w:left="100"/>
              <w:spacing w:after="0"/>
              <w:rPr>
                <w:sz w:val="20"/>
                <w:szCs w:val="20"/>
                <w:color w:val="auto"/>
              </w:rPr>
            </w:pPr>
            <w:r>
              <w:rPr>
                <w:rFonts w:ascii="Arial" w:cs="Arial" w:eastAsia="Arial" w:hAnsi="Arial"/>
                <w:sz w:val="15"/>
                <w:szCs w:val="15"/>
                <w:color w:val="auto"/>
              </w:rPr>
              <w:t>Balancing accounts</w:t>
            </w: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19"/>
        </w:trPr>
        <w:tc>
          <w:tcPr>
            <w:tcW w:w="2280" w:type="dxa"/>
            <w:vAlign w:val="bottom"/>
          </w:tcPr>
          <w:p>
            <w:pPr>
              <w:ind w:left="260"/>
              <w:spacing w:after="0"/>
              <w:rPr>
                <w:sz w:val="20"/>
                <w:szCs w:val="20"/>
                <w:color w:val="auto"/>
              </w:rPr>
            </w:pPr>
            <w:r>
              <w:rPr>
                <w:rFonts w:ascii="Arial" w:cs="Arial" w:eastAsia="Arial" w:hAnsi="Arial"/>
                <w:sz w:val="15"/>
                <w:szCs w:val="15"/>
                <w:color w:val="auto"/>
              </w:rPr>
              <w:t>Total(1)</w:t>
            </w:r>
          </w:p>
        </w:tc>
        <w:tc>
          <w:tcPr>
            <w:tcW w:w="62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7"/>
              <w:spacing w:after="0"/>
              <w:rPr>
                <w:sz w:val="20"/>
                <w:szCs w:val="20"/>
                <w:color w:val="auto"/>
              </w:rPr>
            </w:pPr>
            <w:r>
              <w:rPr>
                <w:rFonts w:ascii="Arial" w:cs="Arial" w:eastAsia="Arial" w:hAnsi="Arial"/>
                <w:sz w:val="15"/>
                <w:szCs w:val="15"/>
                <w:color w:val="auto"/>
              </w:rPr>
              <w:t>1,152</w:t>
            </w:r>
          </w:p>
        </w:tc>
        <w:tc>
          <w:tcPr>
            <w:tcW w:w="6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3510280"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10280" cy="234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3"/>
          <w:szCs w:val="13"/>
          <w:i w:val="1"/>
          <w:iCs w:val="1"/>
          <w:color w:val="auto"/>
        </w:rPr>
        <w:t>(1) Includes sales to affiliates of $4 million in 2010 and $3 million in 2009.</w:t>
      </w: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 and Parent Revenues and Cost of Sales</w:t>
      </w:r>
    </w:p>
    <w:p>
      <w:pPr>
        <w:sectPr>
          <w:pgSz w:w="11900" w:h="16889" w:orient="portrait"/>
          <w:cols w:equalWidth="0" w:num="1">
            <w:col w:w="11400"/>
          </w:cols>
          <w:pgMar w:left="240" w:top="131" w:right="259" w:bottom="0" w:gutter="0" w:footer="0" w:header="0"/>
        </w:sectPr>
      </w:pPr>
    </w:p>
    <w:p>
      <w:pPr>
        <w:spacing w:after="0" w:line="60" w:lineRule="exact"/>
        <w:rPr>
          <w:sz w:val="20"/>
          <w:szCs w:val="20"/>
          <w:color w:val="auto"/>
        </w:rPr>
      </w:pPr>
    </w:p>
    <w:p>
      <w:pPr>
        <w:jc w:val="both"/>
        <w:ind w:right="160"/>
        <w:spacing w:after="0" w:line="320" w:lineRule="auto"/>
        <w:rPr>
          <w:sz w:val="20"/>
          <w:szCs w:val="20"/>
          <w:color w:val="auto"/>
        </w:rPr>
      </w:pPr>
      <w:r>
        <w:rPr>
          <w:rFonts w:ascii="Arial" w:cs="Arial" w:eastAsia="Arial" w:hAnsi="Arial"/>
          <w:sz w:val="14"/>
          <w:szCs w:val="14"/>
          <w:i w:val="1"/>
          <w:iCs w:val="1"/>
          <w:color w:val="auto"/>
        </w:rPr>
        <w:t>In the three months ended June 30, 2010, our Sempra Global and Parent revenues increased by $123 million (33%) to $496 million. During the six mo nths ended June 30, 2010, our Sempra Global and Parent revenues increased by $279 million (33%) to $1.1 billion. The increases in both the three months and six months ended June 30, 2010 were due to higher revenues at Sempra LNG, primarily due to increased marketing operations and the start up of operations at its Cameron LNG receipt terminal, partially offset by lower</w:t>
      </w:r>
    </w:p>
    <w:p>
      <w:pPr>
        <w:sectPr>
          <w:pgSz w:w="11900" w:h="16889" w:orient="portrait"/>
          <w:cols w:equalWidth="0" w:num="1">
            <w:col w:w="11400"/>
          </w:cols>
          <w:pgMar w:left="240" w:top="131" w:right="259" w:bottom="0" w:gutter="0" w:footer="0" w:header="0"/>
          <w:type w:val="continuous"/>
        </w:sectPr>
      </w:pPr>
    </w:p>
    <w:bookmarkStart w:id="46" w:name="page47"/>
    <w:bookmarkEnd w:id="46"/>
    <w:p>
      <w:pPr>
        <w:ind w:right="580"/>
        <w:spacing w:after="0" w:line="276" w:lineRule="auto"/>
        <w:rPr>
          <w:sz w:val="20"/>
          <w:szCs w:val="20"/>
          <w:color w:val="auto"/>
        </w:rPr>
      </w:pPr>
      <w:r>
        <w:rPr>
          <w:rFonts w:ascii="Arial" w:cs="Arial" w:eastAsia="Arial" w:hAnsi="Arial"/>
          <w:sz w:val="16"/>
          <w:szCs w:val="16"/>
          <w:i w:val="1"/>
          <w:iCs w:val="1"/>
          <w:color w:val="auto"/>
        </w:rPr>
        <w:t>revenues at Sempra Pipelines &amp; Storage due to the completion of the Comisión Federal de Electricidad (CFE) contract in 2009. At the completion of the contract, Sempra LNG began supplying the CFE under a separate contract ending December 2022.</w:t>
      </w:r>
    </w:p>
    <w:p>
      <w:pPr>
        <w:spacing w:after="0" w:line="64" w:lineRule="exact"/>
        <w:rPr>
          <w:sz w:val="20"/>
          <w:szCs w:val="20"/>
          <w:color w:val="auto"/>
        </w:rPr>
      </w:pPr>
    </w:p>
    <w:p>
      <w:pPr>
        <w:spacing w:after="0" w:line="320" w:lineRule="auto"/>
        <w:rPr>
          <w:sz w:val="20"/>
          <w:szCs w:val="20"/>
          <w:color w:val="auto"/>
        </w:rPr>
      </w:pPr>
      <w:r>
        <w:rPr>
          <w:rFonts w:ascii="Arial" w:cs="Arial" w:eastAsia="Arial" w:hAnsi="Arial"/>
          <w:sz w:val="14"/>
          <w:szCs w:val="14"/>
          <w:i w:val="1"/>
          <w:iCs w:val="1"/>
          <w:color w:val="auto"/>
        </w:rPr>
        <w:t>In the three months ended June 30, 2010, our cost of natural gas, electric fuel and purchased power increased by $70 million (37%) to $257 million. During the six months ended June 30, 2010, our cost of natural gas, electric fuel and purchased power increased by $140 million (31%) to $595 million. The increases in both periods were primarily associated with the higher revenues at Sempra LNG, offset partially by lower costs at Sempra Pipelines &amp; Storage resulting primarily from the completion of the CFE contract.</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Litigation Expense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8"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i w:val="1"/>
          <w:iCs w:val="1"/>
          <w:color w:val="auto"/>
        </w:rPr>
        <w:t>We recorded $167 million in litigation expense in the six months ended June 30, 2010 compared to a favorable litigation adjustment of $3 million in the corresponding period of 2009. The litigation expense in 2010 included $161 million related to the agreement in principle to settle certain energy crisis litigation.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Operation and Maintenance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i w:val="1"/>
          <w:iCs w:val="1"/>
          <w:color w:val="auto"/>
        </w:rPr>
        <w:t>For the three months ended June 30, 2010, our other operation and maintenance expenses increased by $34 million (6%) to $616 million. For the six months ended June 30, 2010, our other operation and maintenance expenses increased by $87 million (8%) to $1.2 billion. The increases were primarily due to higher operation and maintenance expenses at SDG&amp;E and SoCalGas.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discuss the changes in operation and maintenance expenses at SDG&amp;E and SoCalGas below.</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and Maintenance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three months ended June 30, 2010, SDG&amp;E's operation and maintenance expenses increased by $5 million (2%) to $237 million. The increase was primarily due to:</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§$13 million higher expenses recoverable in revenues as incurred;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§$7 million decrease in litigation reserves in 2010.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six months ended June 30, 2010, SDG&amp;E's operation and maintenance expenses increased by $56 million (14%) to $469 million. The increase was due to:</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§$27 million higher expenses recoverable in revenues as incurred;</w:t>
      </w:r>
    </w:p>
    <w:p>
      <w:pPr>
        <w:spacing w:after="0" w:line="60" w:lineRule="exact"/>
        <w:rPr>
          <w:sz w:val="20"/>
          <w:szCs w:val="20"/>
          <w:color w:val="auto"/>
        </w:rPr>
      </w:pPr>
    </w:p>
    <w:p>
      <w:pPr>
        <w:ind w:left="140" w:right="1600"/>
        <w:spacing w:after="0" w:line="276" w:lineRule="auto"/>
        <w:rPr>
          <w:sz w:val="20"/>
          <w:szCs w:val="20"/>
          <w:color w:val="auto"/>
        </w:rPr>
      </w:pPr>
      <w:r>
        <w:rPr>
          <w:rFonts w:ascii="Arial" w:cs="Arial" w:eastAsia="Arial" w:hAnsi="Arial"/>
          <w:sz w:val="16"/>
          <w:szCs w:val="16"/>
          <w:i w:val="1"/>
          <w:iCs w:val="1"/>
          <w:color w:val="auto"/>
        </w:rPr>
        <w:t>§$20 million higher other operational and maintenance costs, including $15 million of higher liability insurance premiums for wildfire coverage and $6 million at Otay Mesa VIE due to commencement of plant operati on in October 2009; and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§$8 million favorable resolution of litigation in 2009.</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10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i w:val="1"/>
          <w:iCs w:val="1"/>
          <w:color w:val="auto"/>
        </w:rPr>
        <w:t>For the three months ended June 30, 2010, SoCalGas' operation and maintenance expenses increased by $28 million (11%) to $293 million. The increase was due primarily to $22 million higher expenses recoverable in revenues as incurred.</w:t>
      </w:r>
    </w:p>
    <w:p>
      <w:pPr>
        <w:spacing w:after="0" w:line="64"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i w:val="1"/>
          <w:iCs w:val="1"/>
          <w:color w:val="auto"/>
        </w:rPr>
        <w:t>For the six months ended June 30, 2010, SoCalGas’ operation and maintenance expenses increased by $39 million (8%) to $555 million due primarily to $35 million higher expenses recoverable in revenues as incurred.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Write-off of Long-lived Assets</w:t>
      </w:r>
    </w:p>
    <w:p>
      <w:pPr>
        <w:spacing w:after="0" w:line="6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i w:val="1"/>
          <w:iCs w:val="1"/>
          <w:color w:val="auto"/>
        </w:rPr>
        <w:t>In the second quarter of 2009, we recorded a $132 million write-off related to certain assets at one of Sempra Pipelines &amp; Storage’s Liberty Gas Storage natural gas storage projects. Sempra Energy's after-tax share of this write-off was $64 million. We discuss the write-off of the assets in Note 1 of the Notes to Consolidated Financial Statements in the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Earnings (Losses) Before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8"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i w:val="1"/>
          <w:iCs w:val="1"/>
          <w:color w:val="auto"/>
        </w:rPr>
        <w:t>For the three months ended June 30, 2010, equity losses from our investment in RBS Sempra Commodities were $16 million compared to equity earnings of $126 million in the corresponding period of 2009.</w:t>
      </w:r>
    </w:p>
    <w:p>
      <w:pPr>
        <w:spacing w:after="0" w:line="64" w:lineRule="exact"/>
        <w:rPr>
          <w:sz w:val="20"/>
          <w:szCs w:val="20"/>
          <w:color w:val="auto"/>
        </w:rPr>
      </w:pPr>
    </w:p>
    <w:p>
      <w:pPr>
        <w:ind w:right="520"/>
        <w:spacing w:after="0" w:line="272" w:lineRule="auto"/>
        <w:rPr>
          <w:sz w:val="20"/>
          <w:szCs w:val="20"/>
          <w:color w:val="auto"/>
        </w:rPr>
      </w:pPr>
      <w:r>
        <w:rPr>
          <w:rFonts w:ascii="Arial" w:cs="Arial" w:eastAsia="Arial" w:hAnsi="Arial"/>
          <w:sz w:val="16"/>
          <w:szCs w:val="16"/>
          <w:i w:val="1"/>
          <w:iCs w:val="1"/>
          <w:color w:val="auto"/>
        </w:rPr>
        <w:t xml:space="preserve">For the six months ended June 30, 2010, equity losses from our investment in RBS Sempra Commodities were $9 million compared to equity earnings of $279 million in the corresponding period of 2009. </w:t>
      </w:r>
      <w:r>
        <w:rPr>
          <w:rFonts w:ascii="Arial" w:cs="Arial" w:eastAsia="Arial" w:hAnsi="Arial"/>
          <w:sz w:val="19"/>
          <w:szCs w:val="19"/>
          <w:i w:val="1"/>
          <w:iCs w:val="1"/>
          <w:color w:val="auto"/>
        </w:rPr>
        <w:t>&lt; /p&gt;</w:t>
      </w:r>
    </w:p>
    <w:p>
      <w:pPr>
        <w:spacing w:after="0" w:line="55"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i w:val="1"/>
          <w:iCs w:val="1"/>
          <w:color w:val="auto"/>
        </w:rPr>
        <w:t>We provide additional information about the determination and allocation of this investment's earnings in Note 4 of the Notes to Consolidated Financial Statements in the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the three months ended June 30, 2010, other income, net, decreased by $62 million (89%) to $8 million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§$25 million in losses on interest rate swaps in 2010 at Otay Mesa VIE compared to $20 million in gains in 2009; and</w:t>
      </w:r>
    </w:p>
    <w:p>
      <w:pPr>
        <w:spacing w:after="0" w:line="60" w:lineRule="exact"/>
        <w:rPr>
          <w:sz w:val="20"/>
          <w:szCs w:val="20"/>
          <w:color w:val="auto"/>
        </w:rPr>
      </w:pPr>
    </w:p>
    <w:p>
      <w:pPr>
        <w:ind w:left="140" w:right="2100"/>
        <w:spacing w:after="0" w:line="339" w:lineRule="auto"/>
        <w:rPr>
          <w:sz w:val="20"/>
          <w:szCs w:val="20"/>
          <w:color w:val="auto"/>
        </w:rPr>
      </w:pPr>
      <w:r>
        <w:rPr>
          <w:rFonts w:ascii="Arial" w:cs="Arial" w:eastAsia="Arial" w:hAnsi="Arial"/>
          <w:sz w:val="16"/>
          <w:szCs w:val="16"/>
          <w:i w:val="1"/>
          <w:iCs w:val="1"/>
          <w:color w:val="auto"/>
        </w:rPr>
        <w:t xml:space="preserve">§a $35 million decrease in gains from investment activity related to our executive retirement and deferred compensation plans in 2010;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§a $10 million gain recognized on an interest rate instrument at Parent and Other.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six months ended June 30, 2010, other income, net, decreased by $57 million (78%) to $16 million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§$34 million in losses on interest rate swaps in 2010 at Otay Mesa VIE compared to $30 million in gains in 2009; and</w:t>
      </w:r>
    </w:p>
    <w:p>
      <w:pPr>
        <w:spacing w:after="0" w:line="60" w:lineRule="exact"/>
        <w:rPr>
          <w:sz w:val="20"/>
          <w:szCs w:val="20"/>
          <w:color w:val="auto"/>
        </w:rPr>
      </w:pPr>
    </w:p>
    <w:p>
      <w:pPr>
        <w:ind w:left="140" w:right="2060"/>
        <w:spacing w:after="0" w:line="339" w:lineRule="auto"/>
        <w:rPr>
          <w:sz w:val="20"/>
          <w:szCs w:val="20"/>
          <w:color w:val="auto"/>
        </w:rPr>
      </w:pPr>
      <w:r>
        <w:rPr>
          <w:rFonts w:ascii="Arial" w:cs="Arial" w:eastAsia="Arial" w:hAnsi="Arial"/>
          <w:sz w:val="16"/>
          <w:szCs w:val="16"/>
          <w:i w:val="1"/>
          <w:iCs w:val="1"/>
          <w:color w:val="auto"/>
        </w:rPr>
        <w:t xml:space="preserve">§a $15 million decrease in gains from investment activi ty related to our executive retirement and deferred compensation plans in 2010;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§a $10 million gain recognized on an interest rate instrument at Parent and Other.</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i w:val="1"/>
          <w:iCs w:val="1"/>
          <w:color w:val="auto"/>
        </w:rPr>
        <w:t>The changes in SDG&amp;E’s other income (expense), net, in the three months and six months ended June 30, 2010, was primarily due to the losses from interest rate swaps at Otay Mesa VIE in 2010 compared to gains in 2009, as we discuss above.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ectPr>
          <w:pgSz w:w="11900" w:h="16838" w:orient="portrait"/>
          <w:cols w:equalWidth="0" w:num="1">
            <w:col w:w="11400"/>
          </w:cols>
          <w:pgMar w:left="240" w:top="131" w:right="259" w:bottom="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Sempra Energy Consolidated</w:t>
      </w:r>
    </w:p>
    <w:p>
      <w:pPr>
        <w:sectPr>
          <w:pgSz w:w="11900" w:h="16838" w:orient="portrait"/>
          <w:cols w:equalWidth="0" w:num="1">
            <w:col w:w="11400"/>
          </w:cols>
          <w:pgMar w:left="240" w:top="131" w:right="259" w:bottom="0" w:gutter="0" w:footer="0" w:header="0"/>
          <w:type w:val="continuous"/>
        </w:sectPr>
      </w:pPr>
    </w:p>
    <w:bookmarkStart w:id="47" w:name="page48"/>
    <w:bookmarkEnd w:id="47"/>
    <w:p>
      <w:pPr>
        <w:spacing w:after="0" w:line="58" w:lineRule="exact"/>
        <w:rPr>
          <w:sz w:val="20"/>
          <w:szCs w:val="20"/>
          <w:color w:val="auto"/>
        </w:rPr>
      </w:pPr>
    </w:p>
    <w:p>
      <w:pPr>
        <w:ind w:left="140" w:right="2800" w:hanging="151"/>
        <w:spacing w:after="0" w:line="352" w:lineRule="auto"/>
        <w:rPr>
          <w:sz w:val="20"/>
          <w:szCs w:val="20"/>
          <w:color w:val="auto"/>
        </w:rPr>
      </w:pPr>
      <w:r>
        <w:rPr>
          <w:rFonts w:ascii="Arial" w:cs="Arial" w:eastAsia="Arial" w:hAnsi="Arial"/>
          <w:sz w:val="15"/>
          <w:szCs w:val="15"/>
          <w:i w:val="1"/>
          <w:iCs w:val="1"/>
          <w:color w:val="auto"/>
        </w:rPr>
        <w:t xml:space="preserve">For the three months ended June 30, 2010, our interest expense increased by $24 million (30%) to $103 million. The increase included: §$21 million higher interest expense, primarily from long-term debt issued in 2009 and 2010 at Parent and Other and SDG&amp;E; and §$10 million lower capitalized interest, including $12 million at Sempra LNG due to completion of construction projects; </w:t>
      </w:r>
      <w:r>
        <w:rPr>
          <w:rFonts w:ascii="Arial" w:cs="Arial" w:eastAsia="Arial" w:hAnsi="Arial"/>
          <w:sz w:val="15"/>
          <w:szCs w:val="15"/>
          <w:b w:val="1"/>
          <w:bCs w:val="1"/>
          <w:i w:val="1"/>
          <w:iCs w:val="1"/>
          <w:color w:val="auto"/>
        </w:rPr>
        <w:t>offset by</w:t>
      </w:r>
      <w:r>
        <w:rPr>
          <w:rFonts w:ascii="Arial" w:cs="Arial" w:eastAsia="Arial" w:hAnsi="Arial"/>
          <w:sz w:val="15"/>
          <w:szCs w:val="15"/>
          <w:i w:val="1"/>
          <w:iCs w:val="1"/>
          <w:color w:val="auto"/>
        </w:rPr>
        <w:t xml:space="preserve"> §$10 million lower interest expense from maturities of debt at Parent and Other.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During the six months ended June 30, 2010, our interest expense increased by $51 million (32%) to $212 million. The increase was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§$51 million higher interest expense, primarily from long-term debt issued in 2009 and 2010 at Parent and Other and SDG&amp;E; and</w:t>
      </w:r>
    </w:p>
    <w:p>
      <w:pPr>
        <w:spacing w:after="0" w:line="60" w:lineRule="exact"/>
        <w:rPr>
          <w:sz w:val="20"/>
          <w:szCs w:val="20"/>
          <w:color w:val="auto"/>
        </w:rPr>
      </w:pPr>
    </w:p>
    <w:p>
      <w:pPr>
        <w:ind w:left="140" w:right="3740"/>
        <w:spacing w:after="0" w:line="317" w:lineRule="auto"/>
        <w:rPr>
          <w:sz w:val="20"/>
          <w:szCs w:val="20"/>
          <w:color w:val="auto"/>
        </w:rPr>
      </w:pPr>
      <w:r>
        <w:rPr>
          <w:rFonts w:ascii="Arial" w:cs="Arial" w:eastAsia="Arial" w:hAnsi="Arial"/>
          <w:sz w:val="16"/>
          <w:szCs w:val="16"/>
          <w:i w:val="1"/>
          <w:iCs w:val="1"/>
          <w:color w:val="auto"/>
        </w:rPr>
        <w:t xml:space="preserve">§$23 million lower capitalized interest, primarily at Sempra LNG due to completion of construction projects;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§$17 million lower interest expense from maturities of debt at Parent and Other; and</w:t>
      </w:r>
    </w:p>
    <w:p>
      <w:pPr>
        <w:spacing w:after="0" w:line="1" w:lineRule="exact"/>
        <w:rPr>
          <w:sz w:val="20"/>
          <w:szCs w:val="20"/>
          <w:color w:val="auto"/>
        </w:rPr>
      </w:pPr>
    </w:p>
    <w:p>
      <w:pPr>
        <w:ind w:left="140" w:right="1160"/>
        <w:spacing w:after="0" w:line="276" w:lineRule="auto"/>
        <w:rPr>
          <w:sz w:val="20"/>
          <w:szCs w:val="20"/>
          <w:color w:val="auto"/>
        </w:rPr>
      </w:pPr>
      <w:r>
        <w:rPr>
          <w:rFonts w:ascii="Arial" w:cs="Arial" w:eastAsia="Arial" w:hAnsi="Arial"/>
          <w:sz w:val="16"/>
          <w:szCs w:val="16"/>
          <w:i w:val="1"/>
          <w:iCs w:val="1"/>
          <w:color w:val="auto"/>
        </w:rPr>
        <w:t>§$12 million lower short-term debt interest expense, primarily from lower average commercial paper borrowings, lower interest rates at Parent and Other and reduced interest expense related to energy crisis litigation reserves.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table below shows the income tax expense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182880</wp:posOffset>
            </wp:positionV>
            <wp:extent cx="5311775" cy="262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11775" cy="262890"/>
                    </a:xfrm>
                    <a:prstGeom prst="rect">
                      <a:avLst/>
                    </a:prstGeom>
                    <a:noFill/>
                  </pic:spPr>
                </pic:pic>
              </a:graphicData>
            </a:graphic>
          </wp:anchor>
        </w:drawing>
      </w:r>
    </w:p>
    <w:p>
      <w:pPr>
        <w:spacing w:after="0" w:line="28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INCOME TAX EXPENSE AND EFFECTIVE INCOME TAX RATES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3"/>
                <w:szCs w:val="13"/>
                <w:color w:val="auto"/>
              </w:rPr>
              <w:t>Three months ended June 30,</w:t>
            </w: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70"/>
              <w:spacing w:after="0"/>
              <w:rPr>
                <w:sz w:val="20"/>
                <w:szCs w:val="20"/>
                <w:color w:val="auto"/>
              </w:rPr>
            </w:pPr>
            <w:r>
              <w:rPr>
                <w:rFonts w:ascii="Arial" w:cs="Arial" w:eastAsia="Arial" w:hAnsi="Arial"/>
                <w:sz w:val="13"/>
                <w:szCs w:val="13"/>
                <w:color w:val="auto"/>
                <w:w w:val="96"/>
              </w:rPr>
              <w:t>2009</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8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3"/>
                <w:szCs w:val="13"/>
                <w:color w:val="auto"/>
              </w:rPr>
              <w:t>Effective Income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7"/>
              </w:rPr>
              <w:t>I ncome Tax</w:t>
            </w:r>
          </w:p>
        </w:tc>
        <w:tc>
          <w:tcPr>
            <w:tcW w:w="1140" w:type="dxa"/>
            <w:vAlign w:val="bottom"/>
          </w:tcPr>
          <w:p>
            <w:pPr>
              <w:jc w:val="center"/>
              <w:spacing w:after="0"/>
              <w:rPr>
                <w:sz w:val="20"/>
                <w:szCs w:val="20"/>
                <w:color w:val="auto"/>
              </w:rPr>
            </w:pPr>
            <w:r>
              <w:rPr>
                <w:rFonts w:ascii="Arial" w:cs="Arial" w:eastAsia="Arial" w:hAnsi="Arial"/>
                <w:sz w:val="13"/>
                <w:szCs w:val="13"/>
                <w:color w:val="auto"/>
                <w:w w:val="99"/>
              </w:rPr>
              <w:t>Effective Income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Expense</w:t>
            </w:r>
          </w:p>
        </w:tc>
        <w:tc>
          <w:tcPr>
            <w:tcW w:w="8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Tax Rate</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8"/>
              </w:rPr>
              <w:t>Expense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Tax Rate</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Sempra Energy Consolidated</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0"/>
              <w:spacing w:after="0"/>
              <w:rPr>
                <w:sz w:val="20"/>
                <w:szCs w:val="20"/>
                <w:color w:val="auto"/>
              </w:rPr>
            </w:pPr>
            <w:r>
              <w:rPr>
                <w:rFonts w:ascii="Arial" w:cs="Arial" w:eastAsia="Arial" w:hAnsi="Arial"/>
                <w:sz w:val="15"/>
                <w:szCs w:val="15"/>
                <w:color w:val="auto"/>
              </w:rPr>
              <w:t>59</w:t>
            </w:r>
          </w:p>
        </w:tc>
        <w:tc>
          <w:tcPr>
            <w:tcW w:w="8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5"/>
                <w:szCs w:val="15"/>
                <w:color w:val="auto"/>
              </w:rPr>
              <w:t>25</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90</w:t>
            </w: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5"/>
                <w:szCs w:val="15"/>
                <w:color w:val="auto"/>
              </w:rPr>
              <w:t>35</w:t>
            </w:r>
          </w:p>
        </w:tc>
        <w:tc>
          <w:tcPr>
            <w:tcW w:w="3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ind w:right="50"/>
              <w:spacing w:after="0"/>
              <w:rPr>
                <w:sz w:val="20"/>
                <w:szCs w:val="20"/>
                <w:color w:val="auto"/>
              </w:rPr>
            </w:pPr>
            <w:r>
              <w:rPr>
                <w:rFonts w:ascii="Arial" w:cs="Arial" w:eastAsia="Arial" w:hAnsi="Arial"/>
                <w:sz w:val="15"/>
                <w:szCs w:val="15"/>
                <w:color w:val="auto"/>
              </w:rPr>
              <w:t>44</w:t>
            </w:r>
          </w:p>
        </w:tc>
        <w:tc>
          <w:tcPr>
            <w:tcW w:w="860" w:type="dxa"/>
            <w:vAlign w:val="bottom"/>
          </w:tcPr>
          <w:p>
            <w:pPr>
              <w:spacing w:after="0"/>
              <w:rPr>
                <w:sz w:val="17"/>
                <w:szCs w:val="17"/>
                <w:color w:val="auto"/>
              </w:rPr>
            </w:pPr>
          </w:p>
        </w:tc>
        <w:tc>
          <w:tcPr>
            <w:tcW w:w="1140" w:type="dxa"/>
            <w:vAlign w:val="bottom"/>
          </w:tcPr>
          <w:p>
            <w:pPr>
              <w:jc w:val="right"/>
              <w:ind w:right="90"/>
              <w:spacing w:after="0"/>
              <w:rPr>
                <w:sz w:val="20"/>
                <w:szCs w:val="20"/>
                <w:color w:val="auto"/>
              </w:rPr>
            </w:pPr>
            <w:r>
              <w:rPr>
                <w:rFonts w:ascii="Arial" w:cs="Arial" w:eastAsia="Arial" w:hAnsi="Arial"/>
                <w:sz w:val="15"/>
                <w:szCs w:val="15"/>
                <w:color w:val="auto"/>
              </w:rPr>
              <w:t>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28</w:t>
            </w:r>
          </w:p>
        </w:tc>
        <w:tc>
          <w:tcPr>
            <w:tcW w:w="240" w:type="dxa"/>
            <w:vAlign w:val="bottom"/>
          </w:tcPr>
          <w:p>
            <w:pPr>
              <w:spacing w:after="0"/>
              <w:rPr>
                <w:sz w:val="17"/>
                <w:szCs w:val="17"/>
                <w:color w:val="auto"/>
              </w:rPr>
            </w:pPr>
          </w:p>
        </w:tc>
        <w:tc>
          <w:tcPr>
            <w:tcW w:w="1140" w:type="dxa"/>
            <w:vAlign w:val="bottom"/>
          </w:tcPr>
          <w:p>
            <w:pPr>
              <w:jc w:val="right"/>
              <w:ind w:right="50"/>
              <w:spacing w:after="0"/>
              <w:rPr>
                <w:sz w:val="20"/>
                <w:szCs w:val="20"/>
                <w:color w:val="auto"/>
              </w:rPr>
            </w:pPr>
            <w:r>
              <w:rPr>
                <w:rFonts w:ascii="Arial" w:cs="Arial" w:eastAsia="Arial" w:hAnsi="Arial"/>
                <w:sz w:val="15"/>
                <w:szCs w:val="15"/>
                <w:color w:val="auto"/>
              </w:rPr>
              <w:t>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00"/>
              <w:spacing w:after="0"/>
              <w:rPr>
                <w:sz w:val="20"/>
                <w:szCs w:val="20"/>
                <w:color w:val="auto"/>
              </w:rPr>
            </w:pPr>
            <w:r>
              <w:rPr>
                <w:rFonts w:ascii="Arial" w:cs="Arial" w:eastAsia="Arial" w:hAnsi="Arial"/>
                <w:sz w:val="15"/>
                <w:szCs w:val="15"/>
                <w:color w:val="auto"/>
              </w:rPr>
              <w:t>PE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5"/>
                <w:szCs w:val="15"/>
                <w:color w:val="auto"/>
              </w:rPr>
              <w:t>33</w:t>
            </w:r>
          </w:p>
        </w:tc>
        <w:tc>
          <w:tcPr>
            <w:tcW w:w="8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5"/>
                <w:szCs w:val="15"/>
                <w:color w:val="auto"/>
              </w:rPr>
              <w:t>32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68"/>
              <w:spacing w:after="0"/>
              <w:rPr>
                <w:sz w:val="20"/>
                <w:szCs w:val="20"/>
                <w:color w:val="auto"/>
              </w:rPr>
            </w:pPr>
            <w:r>
              <w:rPr>
                <w:rFonts w:ascii="Arial" w:cs="Arial" w:eastAsia="Arial" w:hAnsi="Arial"/>
                <w:sz w:val="19"/>
                <w:szCs w:val="19"/>
                <w:color w:val="auto"/>
              </w:rPr>
              <w:t>40</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5"/>
                <w:szCs w:val="15"/>
                <w:color w:val="auto"/>
              </w:rPr>
              <w:t>39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280" w:type="dxa"/>
            <w:vAlign w:val="bottom"/>
            <w:tcBorders>
              <w:bottom w:val="single" w:sz="8" w:color="C0C0C0"/>
            </w:tcBorders>
          </w:tcPr>
          <w:p>
            <w:pPr>
              <w:spacing w:after="0"/>
              <w:rPr>
                <w:sz w:val="19"/>
                <w:szCs w:val="19"/>
                <w:color w:val="auto"/>
              </w:rPr>
            </w:pPr>
          </w:p>
        </w:tc>
        <w:tc>
          <w:tcPr>
            <w:tcW w:w="40" w:type="dxa"/>
            <w:vAlign w:val="bottom"/>
            <w:tcBorders>
              <w:bottom w:val="single" w:sz="8" w:color="C0C0C0"/>
            </w:tcBorders>
          </w:tcPr>
          <w:p>
            <w:pPr>
              <w:spacing w:after="0"/>
              <w:rPr>
                <w:sz w:val="19"/>
                <w:szCs w:val="19"/>
                <w:color w:val="auto"/>
              </w:rPr>
            </w:pPr>
          </w:p>
        </w:tc>
        <w:tc>
          <w:tcPr>
            <w:tcW w:w="80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34</w:t>
            </w:r>
          </w:p>
        </w:tc>
        <w:tc>
          <w:tcPr>
            <w:tcW w:w="860" w:type="dxa"/>
            <w:vAlign w:val="bottom"/>
            <w:tcBorders>
              <w:bottom w:val="single" w:sz="8" w:color="C0C0C0"/>
            </w:tcBorders>
          </w:tcPr>
          <w:p>
            <w:pPr>
              <w:spacing w:after="0"/>
              <w:rPr>
                <w:sz w:val="19"/>
                <w:szCs w:val="19"/>
                <w:color w:val="auto"/>
              </w:rPr>
            </w:pPr>
          </w:p>
        </w:tc>
        <w:tc>
          <w:tcPr>
            <w:tcW w:w="1140" w:type="dxa"/>
            <w:vAlign w:val="bottom"/>
            <w:tcBorders>
              <w:bottom w:val="single" w:sz="8" w:color="C0C0C0"/>
            </w:tcBorders>
          </w:tcPr>
          <w:p>
            <w:pPr>
              <w:jc w:val="right"/>
              <w:ind w:right="90"/>
              <w:spacing w:after="0"/>
              <w:rPr>
                <w:sz w:val="20"/>
                <w:szCs w:val="20"/>
                <w:color w:val="auto"/>
              </w:rPr>
            </w:pPr>
            <w:r>
              <w:rPr>
                <w:rFonts w:ascii="Arial" w:cs="Arial" w:eastAsia="Arial" w:hAnsi="Arial"/>
                <w:sz w:val="15"/>
                <w:szCs w:val="15"/>
                <w:color w:val="auto"/>
              </w:rPr>
              <w:t>33</w:t>
            </w:r>
          </w:p>
        </w:tc>
        <w:tc>
          <w:tcPr>
            <w:tcW w:w="28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90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37</w:t>
            </w:r>
          </w:p>
        </w:tc>
        <w:tc>
          <w:tcPr>
            <w:tcW w:w="240" w:type="dxa"/>
            <w:vAlign w:val="bottom"/>
            <w:tcBorders>
              <w:bottom w:val="single" w:sz="8" w:color="C0C0C0"/>
            </w:tcBorders>
          </w:tcPr>
          <w:p>
            <w:pPr>
              <w:spacing w:after="0"/>
              <w:rPr>
                <w:sz w:val="19"/>
                <w:szCs w:val="19"/>
                <w:color w:val="auto"/>
              </w:rPr>
            </w:pPr>
          </w:p>
        </w:tc>
        <w:tc>
          <w:tcPr>
            <w:tcW w:w="114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36</w:t>
            </w:r>
          </w:p>
        </w:tc>
        <w:tc>
          <w:tcPr>
            <w:tcW w:w="32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3"/>
                <w:szCs w:val="13"/>
                <w:color w:val="auto"/>
              </w:rPr>
              <w:t>Six months ended June 30,</w:t>
            </w: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70"/>
              <w:spacing w:after="0"/>
              <w:rPr>
                <w:sz w:val="20"/>
                <w:szCs w:val="20"/>
                <w:color w:val="auto"/>
              </w:rPr>
            </w:pPr>
            <w:r>
              <w:rPr>
                <w:rFonts w:ascii="Arial" w:cs="Arial" w:eastAsia="Arial" w:hAnsi="Arial"/>
                <w:sz w:val="13"/>
                <w:szCs w:val="13"/>
                <w:color w:val="auto"/>
                <w:w w:val="96"/>
              </w:rPr>
              <w:t>2009</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86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3"/>
                <w:szCs w:val="13"/>
                <w:color w:val="auto"/>
                <w:w w:val="97"/>
              </w:rPr>
              <w:t>Effective Income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7"/>
              </w:rPr>
              <w:t>Income Tax</w:t>
            </w:r>
          </w:p>
        </w:tc>
        <w:tc>
          <w:tcPr>
            <w:tcW w:w="1140" w:type="dxa"/>
            <w:vAlign w:val="bottom"/>
          </w:tcPr>
          <w:p>
            <w:pPr>
              <w:jc w:val="center"/>
              <w:spacing w:after="0"/>
              <w:rPr>
                <w:sz w:val="20"/>
                <w:szCs w:val="20"/>
                <w:color w:val="auto"/>
              </w:rPr>
            </w:pPr>
            <w:r>
              <w:rPr>
                <w:rFonts w:ascii="Arial" w:cs="Arial" w:eastAsia="Arial" w:hAnsi="Arial"/>
                <w:sz w:val="13"/>
                <w:szCs w:val="13"/>
                <w:color w:val="auto"/>
                <w:w w:val="99"/>
              </w:rPr>
              <w:t>Effective Income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Expense</w:t>
            </w:r>
          </w:p>
        </w:tc>
        <w:tc>
          <w:tcPr>
            <w:tcW w:w="86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3"/>
                <w:szCs w:val="13"/>
                <w:color w:val="auto"/>
              </w:rPr>
              <w:t>Tax Rate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Expense</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Tax Rate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0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Sempra Energy Consolidated</w:t>
            </w:r>
          </w:p>
        </w:tc>
        <w:tc>
          <w:tcPr>
            <w:tcW w:w="2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5"/>
                <w:szCs w:val="15"/>
                <w:color w:val="auto"/>
              </w:rPr>
              <w:t>117</w:t>
            </w:r>
          </w:p>
        </w:tc>
        <w:tc>
          <w:tcPr>
            <w:tcW w:w="8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5"/>
                <w:szCs w:val="15"/>
                <w:color w:val="auto"/>
              </w:rPr>
              <w:t>31</w:t>
            </w:r>
          </w:p>
        </w:tc>
        <w:tc>
          <w:tcPr>
            <w:tcW w:w="2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rPr>
              <w:t>199</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5"/>
                <w:szCs w:val="15"/>
                <w:color w:val="auto"/>
              </w:rPr>
              <w:t>30</w:t>
            </w:r>
          </w:p>
        </w:tc>
        <w:tc>
          <w:tcPr>
            <w:tcW w:w="3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5"/>
                <w:szCs w:val="15"/>
                <w:color w:val="auto"/>
              </w:rPr>
              <w:t>75</w:t>
            </w:r>
          </w:p>
        </w:tc>
        <w:tc>
          <w:tcPr>
            <w:tcW w:w="860" w:type="dxa"/>
            <w:vAlign w:val="bottom"/>
            <w:vMerge w:val="restart"/>
          </w:tcPr>
          <w:p>
            <w:pPr>
              <w:jc w:val="right"/>
              <w:ind w:right="64"/>
              <w:spacing w:after="0"/>
              <w:rPr>
                <w:sz w:val="20"/>
                <w:szCs w:val="20"/>
                <w:color w:val="auto"/>
              </w:rPr>
            </w:pPr>
            <w:r>
              <w:rPr>
                <w:rFonts w:ascii="Arial" w:cs="Arial" w:eastAsia="Arial" w:hAnsi="Arial"/>
                <w:sz w:val="19"/>
                <w:szCs w:val="19"/>
                <w:color w:val="auto"/>
              </w:rPr>
              <w:t>&amp; nbsp;</w:t>
            </w:r>
          </w:p>
        </w:tc>
        <w:tc>
          <w:tcPr>
            <w:tcW w:w="1140" w:type="dxa"/>
            <w:vAlign w:val="bottom"/>
          </w:tcPr>
          <w:p>
            <w:pPr>
              <w:jc w:val="right"/>
              <w:ind w:right="90"/>
              <w:spacing w:after="0"/>
              <w:rPr>
                <w:sz w:val="20"/>
                <w:szCs w:val="20"/>
                <w:color w:val="auto"/>
              </w:rPr>
            </w:pPr>
            <w:r>
              <w:rPr>
                <w:rFonts w:ascii="Arial" w:cs="Arial" w:eastAsia="Arial" w:hAnsi="Arial"/>
                <w:sz w:val="15"/>
                <w:szCs w:val="15"/>
                <w:color w:val="auto"/>
              </w:rPr>
              <w:t>36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88</w:t>
            </w: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5"/>
                <w:szCs w:val="15"/>
                <w:color w:val="auto"/>
              </w:rPr>
              <w:t>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00" w:type="dxa"/>
            <w:vAlign w:val="bottom"/>
          </w:tcPr>
          <w:p>
            <w:pPr>
              <w:ind w:left="100"/>
              <w:spacing w:after="0"/>
              <w:rPr>
                <w:sz w:val="20"/>
                <w:szCs w:val="20"/>
                <w:color w:val="auto"/>
              </w:rPr>
            </w:pPr>
            <w:r>
              <w:rPr>
                <w:rFonts w:ascii="Arial" w:cs="Arial" w:eastAsia="Arial" w:hAnsi="Arial"/>
                <w:sz w:val="15"/>
                <w:szCs w:val="15"/>
                <w:color w:val="auto"/>
              </w:rPr>
              <w:t>PE</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5"/>
                <w:szCs w:val="15"/>
                <w:color w:val="auto"/>
              </w:rPr>
              <w:t>90</w:t>
            </w:r>
          </w:p>
        </w:tc>
        <w:tc>
          <w:tcPr>
            <w:tcW w:w="860" w:type="dxa"/>
            <w:vAlign w:val="bottom"/>
            <w:vMerge w:val="continue"/>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5"/>
                <w:szCs w:val="15"/>
                <w:color w:val="auto"/>
              </w:rPr>
              <w:t>40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76</w:t>
            </w: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5"/>
                <w:szCs w:val="15"/>
                <w:color w:val="auto"/>
              </w:rPr>
              <w:t>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280" w:type="dxa"/>
            <w:vAlign w:val="bottom"/>
            <w:tcBorders>
              <w:bottom w:val="single" w:sz="8" w:color="C0C0C0"/>
            </w:tcBorders>
          </w:tcPr>
          <w:p>
            <w:pPr>
              <w:spacing w:after="0"/>
              <w:rPr>
                <w:sz w:val="19"/>
                <w:szCs w:val="19"/>
                <w:color w:val="auto"/>
              </w:rPr>
            </w:pPr>
          </w:p>
        </w:tc>
        <w:tc>
          <w:tcPr>
            <w:tcW w:w="40" w:type="dxa"/>
            <w:vAlign w:val="bottom"/>
            <w:tcBorders>
              <w:bottom w:val="single" w:sz="8" w:color="C0C0C0"/>
            </w:tcBorders>
          </w:tcPr>
          <w:p>
            <w:pPr>
              <w:spacing w:after="0"/>
              <w:rPr>
                <w:sz w:val="19"/>
                <w:szCs w:val="19"/>
                <w:color w:val="auto"/>
              </w:rPr>
            </w:pPr>
          </w:p>
        </w:tc>
        <w:tc>
          <w:tcPr>
            <w:tcW w:w="80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90</w:t>
            </w:r>
          </w:p>
        </w:tc>
        <w:tc>
          <w:tcPr>
            <w:tcW w:w="860" w:type="dxa"/>
            <w:vAlign w:val="bottom"/>
            <w:tcBorders>
              <w:bottom w:val="single" w:sz="8" w:color="C0C0C0"/>
            </w:tcBorders>
          </w:tcPr>
          <w:p>
            <w:pPr>
              <w:spacing w:after="0"/>
              <w:rPr>
                <w:sz w:val="19"/>
                <w:szCs w:val="19"/>
                <w:color w:val="auto"/>
              </w:rPr>
            </w:pPr>
          </w:p>
        </w:tc>
        <w:tc>
          <w:tcPr>
            <w:tcW w:w="1140" w:type="dxa"/>
            <w:vAlign w:val="bottom"/>
            <w:tcBorders>
              <w:bottom w:val="single" w:sz="8" w:color="C0C0C0"/>
            </w:tcBorders>
          </w:tcPr>
          <w:p>
            <w:pPr>
              <w:jc w:val="right"/>
              <w:ind w:right="90"/>
              <w:spacing w:after="0"/>
              <w:rPr>
                <w:sz w:val="20"/>
                <w:szCs w:val="20"/>
                <w:color w:val="auto"/>
              </w:rPr>
            </w:pPr>
            <w:r>
              <w:rPr>
                <w:rFonts w:ascii="Arial" w:cs="Arial" w:eastAsia="Arial" w:hAnsi="Arial"/>
                <w:sz w:val="15"/>
                <w:szCs w:val="15"/>
                <w:color w:val="auto"/>
              </w:rPr>
              <w:t>40</w:t>
            </w:r>
          </w:p>
        </w:tc>
        <w:tc>
          <w:tcPr>
            <w:tcW w:w="28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90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73</w:t>
            </w:r>
          </w:p>
        </w:tc>
        <w:tc>
          <w:tcPr>
            <w:tcW w:w="240" w:type="dxa"/>
            <w:vAlign w:val="bottom"/>
            <w:tcBorders>
              <w:bottom w:val="single" w:sz="8" w:color="C0C0C0"/>
            </w:tcBorders>
          </w:tcPr>
          <w:p>
            <w:pPr>
              <w:spacing w:after="0"/>
              <w:rPr>
                <w:sz w:val="19"/>
                <w:szCs w:val="19"/>
                <w:color w:val="auto"/>
              </w:rPr>
            </w:pPr>
          </w:p>
        </w:tc>
        <w:tc>
          <w:tcPr>
            <w:tcW w:w="114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37</w:t>
            </w:r>
          </w:p>
        </w:tc>
        <w:tc>
          <w:tcPr>
            <w:tcW w:w="32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decrease in income tax expense in the three months ended June 30, 2010 was due to both lower pretax income and a lower effective income tax rate. The lower effective income tax rate was primarily due to:</w:t>
      </w:r>
    </w:p>
    <w:p>
      <w:pPr>
        <w:spacing w:after="0" w:line="15" w:lineRule="exact"/>
        <w:rPr>
          <w:sz w:val="20"/>
          <w:szCs w:val="20"/>
          <w:color w:val="auto"/>
        </w:rPr>
      </w:pPr>
    </w:p>
    <w:p>
      <w:pPr>
        <w:ind w:left="140" w:right="2360"/>
        <w:spacing w:after="0" w:line="317" w:lineRule="auto"/>
        <w:rPr>
          <w:sz w:val="20"/>
          <w:szCs w:val="20"/>
          <w:color w:val="auto"/>
        </w:rPr>
      </w:pPr>
      <w:r>
        <w:rPr>
          <w:rFonts w:ascii="Arial" w:cs="Arial" w:eastAsia="Arial" w:hAnsi="Arial"/>
          <w:sz w:val="16"/>
          <w:szCs w:val="16"/>
          <w:i w:val="1"/>
          <w:iCs w:val="1"/>
          <w:color w:val="auto"/>
        </w:rPr>
        <w:t>§$5 million tax benefit in 2010 compared to $20 million tax expense in 2009 due to Mexican currency translation and inflation adjustments; §higher planned investment tax credits;</w:t>
      </w:r>
    </w:p>
    <w:p>
      <w:pPr>
        <w:spacing w:after="0" w:line="1" w:lineRule="exact"/>
        <w:rPr>
          <w:sz w:val="20"/>
          <w:szCs w:val="20"/>
          <w:color w:val="auto"/>
        </w:rPr>
      </w:pPr>
    </w:p>
    <w:p>
      <w:pPr>
        <w:ind w:left="140" w:right="3000"/>
        <w:spacing w:after="0" w:line="317" w:lineRule="auto"/>
        <w:rPr>
          <w:sz w:val="20"/>
          <w:szCs w:val="20"/>
          <w:color w:val="auto"/>
        </w:rPr>
      </w:pPr>
      <w:r>
        <w:rPr>
          <w:rFonts w:ascii="Arial" w:cs="Arial" w:eastAsia="Arial" w:hAnsi="Arial"/>
          <w:sz w:val="16"/>
          <w:szCs w:val="16"/>
          <w:i w:val="1"/>
          <w:iCs w:val="1"/>
          <w:color w:val="auto"/>
        </w:rPr>
        <w:t xml:space="preserve">§higher self-developed software costs, which are deductible for income tax purposes but capitalized for book purposes; and §higher exclusions from taxable income of the equity portion of allowance for funds used during construction (AFUDC);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§lo wer pretax income in countries with lower statutory rates;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§lower favorable impact from the resolution of prior years' income tax issues;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difference between book depreciation and normalized tax depreciation, which is not treated as a deferred tax asset for ratemaking purposes.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the six months ended June 30, 2010, Sempra Energy's income tax expense decreased primarily due to lower pretax income, offset slightly by a higher effective income tax rate.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higher effective income tax rate was primarily due to:</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§lower pretax income in countries with lower statutory rates;</w:t>
      </w:r>
    </w:p>
    <w:p>
      <w:pPr>
        <w:spacing w:after="0" w:line="60" w:lineRule="exact"/>
        <w:rPr>
          <w:sz w:val="20"/>
          <w:szCs w:val="20"/>
          <w:color w:val="auto"/>
        </w:rPr>
      </w:pPr>
    </w:p>
    <w:p>
      <w:pPr>
        <w:ind w:left="140" w:right="1300"/>
        <w:spacing w:after="0" w:line="276" w:lineRule="auto"/>
        <w:rPr>
          <w:sz w:val="20"/>
          <w:szCs w:val="20"/>
          <w:color w:val="auto"/>
        </w:rPr>
      </w:pPr>
      <w:r>
        <w:rPr>
          <w:rFonts w:ascii="Arial" w:cs="Arial" w:eastAsia="Arial" w:hAnsi="Arial"/>
          <w:sz w:val="16"/>
          <w:szCs w:val="16"/>
          <w:i w:val="1"/>
          <w:iCs w:val="1"/>
          <w:color w:val="auto"/>
        </w:rPr>
        <w:t>§a $16 million write-down of the deferred tax assets related to other post employment benefits, as a result of a change in U.S. tax law that eliminates a future deduction, starting in 2013, for retiree healthcare funded by the Medicare Part D subsidy; and</w:t>
      </w:r>
    </w:p>
    <w:p>
      <w:pPr>
        <w:spacing w:after="0" w:line="15" w:lineRule="exact"/>
        <w:rPr>
          <w:sz w:val="20"/>
          <w:szCs w:val="20"/>
          <w:color w:val="auto"/>
        </w:rPr>
      </w:pPr>
    </w:p>
    <w:p>
      <w:pPr>
        <w:ind w:left="140" w:right="1240"/>
        <w:spacing w:after="0" w:line="317" w:lineRule="auto"/>
        <w:rPr>
          <w:sz w:val="20"/>
          <w:szCs w:val="20"/>
          <w:color w:val="auto"/>
        </w:rPr>
      </w:pPr>
      <w:r>
        <w:rPr>
          <w:rFonts w:ascii="Arial" w:cs="Arial" w:eastAsia="Arial" w:hAnsi="Arial"/>
          <w:sz w:val="16"/>
          <w:szCs w:val="16"/>
          <w:i w:val="1"/>
          <w:iCs w:val="1"/>
          <w:color w:val="auto"/>
        </w:rPr>
        <w:t xml:space="preserve">§higher difference between book depreciation and normalized tax depreciation, which is not treated as a deferred tax asset for ratemaking purposes;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§higher planned investment tax credits;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deductions for self-developed software costs;</w:t>
      </w:r>
    </w:p>
    <w:p>
      <w:pPr>
        <w:spacing w:after="0" w:line="60" w:lineRule="exact"/>
        <w:rPr>
          <w:sz w:val="20"/>
          <w:szCs w:val="20"/>
          <w:color w:val="auto"/>
        </w:rPr>
      </w:pPr>
    </w:p>
    <w:p>
      <w:pPr>
        <w:ind w:left="140" w:right="4800"/>
        <w:spacing w:after="0" w:line="328" w:lineRule="auto"/>
        <w:rPr>
          <w:sz w:val="20"/>
          <w:szCs w:val="20"/>
          <w:color w:val="auto"/>
        </w:rPr>
      </w:pPr>
      <w:r>
        <w:rPr>
          <w:rFonts w:ascii="Arial" w:cs="Arial" w:eastAsia="Arial" w:hAnsi="Arial"/>
          <w:sz w:val="16"/>
          <w:szCs w:val="16"/>
          <w:i w:val="1"/>
          <w:iCs w:val="1"/>
          <w:color w:val="auto"/>
        </w:rPr>
        <w:t>§$4 million lower income tax expense due to Mexican currency translation and inflation adjustments; §higher favorable impact from the resolution of prior years' income tax issues; and §higher exclusions from taxable income of the equity portion of AFUDC.</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8"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i w:val="1"/>
          <w:iCs w:val="1"/>
          <w:color w:val="auto"/>
        </w:rPr>
        <w:t>The increase in SDG&amp;E's income tax expense in the three months ended June 30, 2010 was primarily due to a higher effective income tax rate, offset by lower pretax income. The higher effective income tax rate was primarily due to:</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§the impact of Otay Mesa VIE;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§lower favorable impact from the resolution of prior years' income tax issues;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§higher difference between book depreciation and normalized tax depreciation, which is not treated as a deferred tax asset for ratemaking purposes;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exclusions from taxable income of the equity portion of AFUDC;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deductions for self-developed software costs.</w:t>
      </w:r>
    </w:p>
    <w:p>
      <w:pPr>
        <w:spacing w:after="0" w:line="15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In the six months ended June 30, 2010, SDG&amp;E's income tax expense decreased primarily from lower pretax income, partially offset by a higher effective income tax rate resulting primarily from:</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§the impact of Otay Mesa VIE;</w:t>
      </w:r>
    </w:p>
    <w:p>
      <w:pPr>
        <w:spacing w:after="0" w:line="60" w:lineRule="exact"/>
        <w:rPr>
          <w:sz w:val="20"/>
          <w:szCs w:val="20"/>
          <w:color w:val="auto"/>
        </w:rPr>
      </w:pPr>
    </w:p>
    <w:p>
      <w:pPr>
        <w:ind w:left="140" w:right="1220"/>
        <w:spacing w:after="0" w:line="422" w:lineRule="auto"/>
        <w:rPr>
          <w:sz w:val="20"/>
          <w:szCs w:val="20"/>
          <w:color w:val="auto"/>
        </w:rPr>
      </w:pPr>
      <w:r>
        <w:rPr>
          <w:rFonts w:ascii="Arial" w:cs="Arial" w:eastAsia="Arial" w:hAnsi="Arial"/>
          <w:sz w:val="14"/>
          <w:szCs w:val="14"/>
          <w:i w:val="1"/>
          <w:iCs w:val="1"/>
          <w:color w:val="auto"/>
        </w:rPr>
        <w:t xml:space="preserve">§a $3 million write-down of the deferred tax assets related to other post employment benefits, as a result of a change in U.S. tax law, as we discuss above; and §higher difference between book depreciation and normalized tax depreciation, which is not treated as a deferred tax asset for ratemaking purposes; </w:t>
      </w:r>
      <w:r>
        <w:rPr>
          <w:rFonts w:ascii="Arial" w:cs="Arial" w:eastAsia="Arial" w:hAnsi="Arial"/>
          <w:sz w:val="14"/>
          <w:szCs w:val="14"/>
          <w:b w:val="1"/>
          <w:bCs w:val="1"/>
          <w:i w:val="1"/>
          <w:iCs w:val="1"/>
          <w:color w:val="auto"/>
        </w:rPr>
        <w:t>offset by</w:t>
      </w:r>
    </w:p>
    <w:p>
      <w:pPr>
        <w:sectPr>
          <w:pgSz w:w="11900" w:h="16896" w:orient="portrait"/>
          <w:cols w:equalWidth="0" w:num="1">
            <w:col w:w="11400"/>
          </w:cols>
          <w:pgMar w:left="240" w:top="131" w:right="259" w:bottom="0" w:gutter="0" w:footer="0" w:header="0"/>
        </w:sectPr>
      </w:pPr>
    </w:p>
    <w:bookmarkStart w:id="48" w:name="page49"/>
    <w:bookmarkEnd w:id="48"/>
    <w:p>
      <w:pPr>
        <w:ind w:left="140"/>
        <w:spacing w:after="0"/>
        <w:rPr>
          <w:sz w:val="20"/>
          <w:szCs w:val="20"/>
          <w:color w:val="auto"/>
        </w:rPr>
      </w:pPr>
      <w:r>
        <w:rPr>
          <w:rFonts w:ascii="Arial" w:cs="Arial" w:eastAsia="Arial" w:hAnsi="Arial"/>
          <w:sz w:val="16"/>
          <w:szCs w:val="16"/>
          <w:i w:val="1"/>
          <w:iCs w:val="1"/>
          <w:color w:val="auto"/>
        </w:rPr>
        <w:t>§higher favorable impact from the resolution of prior years' income tax issues;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deductions for self-developed software costs;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exclusions from taxable income of the equity portion of AFUDC.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SDG&amp;E's results include Otay Mesa VIE, which is consolidated, and therefore, SDG&amp;E's effective income tax rate is impacted by the VIE’s stand-alone effective income tax rate.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PE and SoCalGas</w:t>
      </w:r>
    </w:p>
    <w:p>
      <w:pPr>
        <w:spacing w:after="0" w:line="10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The decrease in PE's and SoCalGas' income tax expense in the three months ended June 30, 2010 was primarily due to lower effective income tax rates . The lower effective income tax rates were primarily due to:</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deductions for self-developed software costs;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exclusions from taxable income of the equity portion of AFUDC;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§lower unfavorable resolution of prior years’ income tax issues.</w:t>
      </w:r>
    </w:p>
    <w:p>
      <w:pPr>
        <w:spacing w:after="0" w:line="157"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i w:val="1"/>
          <w:iCs w:val="1"/>
          <w:color w:val="auto"/>
        </w:rPr>
        <w:t>In the six months ended June 30, 2010, income tax expense increased at PE and SoCalGas primarily due to higher pretax income and higher effective income tax rates resulting primarily from:</w:t>
      </w:r>
    </w:p>
    <w:p>
      <w:pPr>
        <w:spacing w:after="0" w:line="15" w:lineRule="exact"/>
        <w:rPr>
          <w:sz w:val="20"/>
          <w:szCs w:val="20"/>
          <w:color w:val="auto"/>
        </w:rPr>
      </w:pPr>
    </w:p>
    <w:p>
      <w:pPr>
        <w:ind w:left="140" w:right="1420"/>
        <w:spacing w:after="0" w:line="276" w:lineRule="auto"/>
        <w:rPr>
          <w:sz w:val="20"/>
          <w:szCs w:val="20"/>
          <w:color w:val="auto"/>
        </w:rPr>
      </w:pPr>
      <w:r>
        <w:rPr>
          <w:rFonts w:ascii="Arial" w:cs="Arial" w:eastAsia="Arial" w:hAnsi="Arial"/>
          <w:sz w:val="16"/>
          <w:szCs w:val="16"/>
          <w:i w:val="1"/>
          <w:iCs w:val="1"/>
          <w:color w:val="auto"/>
        </w:rPr>
        <w:t xml:space="preserve">§a $13 mi llion write-down of the deferred tax assets related to other post employment benefits, as a result of a change in U.S. tax law, as we discuss above; </w:t>
      </w:r>
      <w:r>
        <w:rPr>
          <w:rFonts w:ascii="Arial" w:cs="Arial" w:eastAsia="Arial" w:hAnsi="Arial"/>
          <w:sz w:val="16"/>
          <w:szCs w:val="16"/>
          <w:b w:val="1"/>
          <w:bCs w:val="1"/>
          <w:i w:val="1"/>
          <w:iCs w:val="1"/>
          <w:color w:val="auto"/>
        </w:rPr>
        <w:t>offset by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deductions for self-developed software costs;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§higher exclusions from taxable income of the equity portion of AFUDC.</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Losses (Earnings) Attributable to Noncontrolling Interests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Losses attributable to noncontrolling interests increased by $8 million (67%) in the three months ended June 30, 2010. The increase was primarily due to:</w:t>
      </w:r>
    </w:p>
    <w:p>
      <w:pPr>
        <w:spacing w:after="0" w:line="108" w:lineRule="exact"/>
        <w:rPr>
          <w:sz w:val="20"/>
          <w:szCs w:val="20"/>
          <w:color w:val="auto"/>
        </w:rPr>
      </w:pPr>
    </w:p>
    <w:p>
      <w:pPr>
        <w:ind w:left="140" w:right="3480"/>
        <w:spacing w:after="0" w:line="339" w:lineRule="auto"/>
        <w:rPr>
          <w:sz w:val="20"/>
          <w:szCs w:val="20"/>
          <w:color w:val="auto"/>
        </w:rPr>
      </w:pPr>
      <w:r>
        <w:rPr>
          <w:rFonts w:ascii="Arial" w:cs="Arial" w:eastAsia="Arial" w:hAnsi="Arial"/>
          <w:sz w:val="16"/>
          <w:szCs w:val="16"/>
          <w:i w:val="1"/>
          <w:iCs w:val="1"/>
          <w:color w:val="auto"/>
        </w:rPr>
        <w:t xml:space="preserve">§$25 million in losses on interest rate swaps in 2010 at Otay Mesa VIE compared to $20 million in gains in 2009;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§$33 million associated with the write-off of assets at Liberty in 2009.</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Losses attributable to noncontrolling interests increased by $23 million in the six months ended June 30, 2010. The change was primarily due to:</w:t>
      </w:r>
    </w:p>
    <w:p>
      <w:pPr>
        <w:spacing w:after="0" w:line="108" w:lineRule="exact"/>
        <w:rPr>
          <w:sz w:val="20"/>
          <w:szCs w:val="20"/>
          <w:color w:val="auto"/>
        </w:rPr>
      </w:pPr>
    </w:p>
    <w:p>
      <w:pPr>
        <w:ind w:left="140" w:right="3480"/>
        <w:spacing w:after="0" w:line="339" w:lineRule="auto"/>
        <w:rPr>
          <w:sz w:val="20"/>
          <w:szCs w:val="20"/>
          <w:color w:val="auto"/>
        </w:rPr>
      </w:pPr>
      <w:r>
        <w:rPr>
          <w:rFonts w:ascii="Arial" w:cs="Arial" w:eastAsia="Arial" w:hAnsi="Arial"/>
          <w:sz w:val="16"/>
          <w:szCs w:val="16"/>
          <w:i w:val="1"/>
          <w:iCs w:val="1"/>
          <w:color w:val="auto"/>
        </w:rPr>
        <w:t xml:space="preserve">§$34 million in losses on interest rate swaps in 2010 at Otay Mesa VIE compared to $30 million in gains in 2009; </w:t>
      </w:r>
      <w:r>
        <w:rPr>
          <w:rFonts w:ascii="Arial" w:cs="Arial" w:eastAsia="Arial" w:hAnsi="Arial"/>
          <w:sz w:val="16"/>
          <w:szCs w:val="16"/>
          <w:b w:val="1"/>
          <w:bCs w:val="1"/>
          <w:i w:val="1"/>
          <w:iCs w:val="1"/>
          <w:color w:val="auto"/>
        </w:rPr>
        <w:t>offset by</w:t>
      </w:r>
      <w:r>
        <w:rPr>
          <w:rFonts w:ascii="Arial" w:cs="Arial" w:eastAsia="Arial" w:hAnsi="Arial"/>
          <w:sz w:val="16"/>
          <w:szCs w:val="16"/>
          <w:i w:val="1"/>
          <w:iCs w:val="1"/>
          <w:color w:val="auto"/>
        </w:rPr>
        <w:t xml:space="preserve"> §$33 million associated with the write-off of assets at Liberty in 2009.</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Losses attributable to noncontrolling interests were $21 million in the three months ended June 30, 2010 compared to earnings of $20 million in the corresponding period of 2009.</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change was primarily due to $25 million in losses on interest rate swaps in 2010 at Otay Mesa VIE compared to $20 million in gains in 2009.</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Losses attributable to noncontrolling interests were $29 million in the six months ended June 30, 2010 compared to earnings of $27 million in the corresponding period of 2009.</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change was primarily due to $34 million in losses on interest rate swaps in 2010 at Otay Mesa VIE compared to $30 million in gains in 2009.</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399415</wp:posOffset>
            </wp:positionV>
            <wp:extent cx="72599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CAPITAL RESOURCES AND LIQUIDITY</w:t>
      </w:r>
    </w:p>
    <w:p>
      <w:pPr>
        <w:spacing w:after="0" w:line="115" w:lineRule="exact"/>
        <w:rPr>
          <w:sz w:val="20"/>
          <w:szCs w:val="20"/>
          <w:color w:val="auto"/>
        </w:rPr>
      </w:pPr>
    </w:p>
    <w:p>
      <w:pPr>
        <w:ind w:right="360"/>
        <w:spacing w:after="0" w:line="350" w:lineRule="auto"/>
        <w:rPr>
          <w:sz w:val="20"/>
          <w:szCs w:val="20"/>
          <w:color w:val="auto"/>
        </w:rPr>
      </w:pPr>
      <w:r>
        <w:rPr>
          <w:rFonts w:ascii="Arial" w:cs="Arial" w:eastAsia="Arial" w:hAnsi="Arial"/>
          <w:sz w:val="14"/>
          <w:szCs w:val="14"/>
          <w:i w:val="1"/>
          <w:iCs w:val="1"/>
          <w:color w:val="auto"/>
        </w:rPr>
        <w:t>We expect our cash flows from operations to fund a substantial portion of our capital expenditures and dividends. In addition, we may meet our cash requirements through the issuance of short-term and long-term debt and the proceeds from the transaction to sell certain businesses within RBS Sempra Commodities, as we discuss below.</w:t>
      </w:r>
    </w:p>
    <w:p>
      <w:pPr>
        <w:spacing w:after="0" w:line="17"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i w:val="1"/>
          <w:iCs w:val="1"/>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an 11-percent share in any agreement.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table below shows the amount of available funds at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59955" cy="294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955" cy="294005"/>
                    </a:xfrm>
                    <a:prstGeom prst="rect">
                      <a:avLst/>
                    </a:prstGeom>
                    <a:noFill/>
                  </pic:spPr>
                </pic:pic>
              </a:graphicData>
            </a:graphic>
          </wp:anchor>
        </w:drawing>
      </w:r>
    </w:p>
    <w:p>
      <w:pPr>
        <w:spacing w:after="0" w:line="34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AVAILABLE FUNDS AT JUNE 30, 2010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19"/>
        </w:trPr>
        <w:tc>
          <w:tcPr>
            <w:tcW w:w="3300" w:type="dxa"/>
            <w:vAlign w:val="bottom"/>
          </w:tcPr>
          <w:p>
            <w:pPr>
              <w:spacing w:after="0"/>
              <w:rPr>
                <w:sz w:val="19"/>
                <w:szCs w:val="19"/>
                <w:color w:val="auto"/>
              </w:rPr>
            </w:pPr>
          </w:p>
        </w:tc>
        <w:tc>
          <w:tcPr>
            <w:tcW w:w="2620" w:type="dxa"/>
            <w:vAlign w:val="bottom"/>
          </w:tcPr>
          <w:p>
            <w:pPr>
              <w:jc w:val="center"/>
              <w:ind w:left="1232"/>
              <w:spacing w:after="0"/>
              <w:rPr>
                <w:sz w:val="20"/>
                <w:szCs w:val="20"/>
                <w:color w:val="auto"/>
              </w:rPr>
            </w:pPr>
            <w:r>
              <w:rPr>
                <w:rFonts w:ascii="Arial" w:cs="Arial" w:eastAsia="Arial" w:hAnsi="Arial"/>
                <w:sz w:val="13"/>
                <w:szCs w:val="13"/>
                <w:color w:val="auto"/>
                <w:w w:val="88"/>
              </w:rPr>
              <w:t>Sempra Energy</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06"/>
        </w:trPr>
        <w:tc>
          <w:tcPr>
            <w:tcW w:w="3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center"/>
              <w:ind w:left="1232"/>
              <w:spacing w:after="0"/>
              <w:rPr>
                <w:sz w:val="20"/>
                <w:szCs w:val="20"/>
                <w:color w:val="auto"/>
              </w:rPr>
            </w:pPr>
            <w:r>
              <w:rPr>
                <w:rFonts w:ascii="Arial" w:cs="Arial" w:eastAsia="Arial" w:hAnsi="Arial"/>
                <w:sz w:val="13"/>
                <w:szCs w:val="13"/>
                <w:color w:val="auto"/>
              </w:rPr>
              <w:t>Consolidated</w:t>
            </w: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3"/>
                <w:szCs w:val="13"/>
                <w:color w:val="auto"/>
              </w:rPr>
              <w:t>SDG&amp;E</w:t>
            </w:r>
          </w:p>
        </w:tc>
        <w:tc>
          <w:tcPr>
            <w:tcW w:w="5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3"/>
                <w:szCs w:val="13"/>
                <w:color w:val="auto"/>
              </w:rPr>
              <w:t>PE/SoCalGas</w:t>
            </w:r>
          </w:p>
        </w:tc>
      </w:tr>
      <w:tr>
        <w:trPr>
          <w:trHeight w:val="182"/>
        </w:trPr>
        <w:tc>
          <w:tcPr>
            <w:tcW w:w="3300" w:type="dxa"/>
            <w:vAlign w:val="bottom"/>
          </w:tcPr>
          <w:p>
            <w:pPr>
              <w:ind w:left="100"/>
              <w:spacing w:after="0"/>
              <w:rPr>
                <w:sz w:val="20"/>
                <w:szCs w:val="20"/>
                <w:color w:val="auto"/>
              </w:rPr>
            </w:pPr>
            <w:r>
              <w:rPr>
                <w:rFonts w:ascii="Arial" w:cs="Arial" w:eastAsia="Arial" w:hAnsi="Arial"/>
                <w:sz w:val="15"/>
                <w:szCs w:val="15"/>
                <w:color w:val="auto"/>
              </w:rPr>
              <w:t>Unrestricted cash and cash equivalents</w:t>
            </w:r>
          </w:p>
        </w:tc>
        <w:tc>
          <w:tcPr>
            <w:tcW w:w="2620" w:type="dxa"/>
            <w:vAlign w:val="bottom"/>
          </w:tcPr>
          <w:p>
            <w:pPr>
              <w:jc w:val="right"/>
              <w:ind w:right="1812"/>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188</w:t>
            </w:r>
          </w:p>
        </w:tc>
        <w:tc>
          <w:tcPr>
            <w:tcW w:w="54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50"/>
              <w:spacing w:after="0"/>
              <w:rPr>
                <w:sz w:val="20"/>
                <w:szCs w:val="20"/>
                <w:color w:val="auto"/>
              </w:rPr>
            </w:pPr>
            <w:r>
              <w:rPr>
                <w:rFonts w:ascii="Arial" w:cs="Arial" w:eastAsia="Arial" w:hAnsi="Arial"/>
                <w:sz w:val="15"/>
                <w:szCs w:val="15"/>
                <w:color w:val="auto"/>
              </w:rPr>
              <w:t>28</w:t>
            </w:r>
          </w:p>
        </w:tc>
        <w:tc>
          <w:tcPr>
            <w:tcW w:w="56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70"/>
              <w:spacing w:after="0"/>
              <w:rPr>
                <w:sz w:val="20"/>
                <w:szCs w:val="20"/>
                <w:color w:val="auto"/>
              </w:rPr>
            </w:pPr>
            <w:r>
              <w:rPr>
                <w:rFonts w:ascii="Arial" w:cs="Arial" w:eastAsia="Arial" w:hAnsi="Arial"/>
                <w:sz w:val="15"/>
                <w:szCs w:val="15"/>
                <w:color w:val="auto"/>
              </w:rPr>
              <w:t>101</w:t>
            </w:r>
          </w:p>
        </w:tc>
      </w:tr>
      <w:tr>
        <w:trPr>
          <w:trHeight w:val="228"/>
        </w:trPr>
        <w:tc>
          <w:tcPr>
            <w:tcW w:w="3300" w:type="dxa"/>
            <w:vAlign w:val="bottom"/>
          </w:tcPr>
          <w:p>
            <w:pPr>
              <w:ind w:left="100"/>
              <w:spacing w:after="0"/>
              <w:rPr>
                <w:sz w:val="20"/>
                <w:szCs w:val="20"/>
                <w:color w:val="auto"/>
              </w:rPr>
            </w:pPr>
            <w:r>
              <w:rPr>
                <w:rFonts w:ascii="Arial" w:cs="Arial" w:eastAsia="Arial" w:hAnsi="Arial"/>
                <w:sz w:val="15"/>
                <w:szCs w:val="15"/>
                <w:color w:val="auto"/>
              </w:rPr>
              <w:t>Available unused credit(1)</w:t>
            </w:r>
          </w:p>
        </w:tc>
        <w:tc>
          <w:tcPr>
            <w:tcW w:w="2620" w:type="dxa"/>
            <w:vAlign w:val="bottom"/>
          </w:tcPr>
          <w:p>
            <w:pPr>
              <w:spacing w:after="0"/>
              <w:rPr>
                <w:sz w:val="19"/>
                <w:szCs w:val="19"/>
                <w:color w:val="auto"/>
              </w:rPr>
            </w:pPr>
          </w:p>
        </w:tc>
        <w:tc>
          <w:tcPr>
            <w:tcW w:w="720" w:type="dxa"/>
            <w:vAlign w:val="bottom"/>
          </w:tcPr>
          <w:p>
            <w:pPr>
              <w:jc w:val="right"/>
              <w:ind w:right="47"/>
              <w:spacing w:after="0"/>
              <w:rPr>
                <w:sz w:val="20"/>
                <w:szCs w:val="20"/>
                <w:color w:val="auto"/>
              </w:rPr>
            </w:pPr>
            <w:r>
              <w:rPr>
                <w:rFonts w:ascii="Arial" w:cs="Arial" w:eastAsia="Arial" w:hAnsi="Arial"/>
                <w:sz w:val="15"/>
                <w:szCs w:val="15"/>
                <w:color w:val="auto"/>
              </w:rPr>
              <w:t>3,108</w:t>
            </w:r>
          </w:p>
        </w:tc>
        <w:tc>
          <w:tcPr>
            <w:tcW w:w="54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5"/>
                <w:szCs w:val="15"/>
                <w:color w:val="auto"/>
              </w:rPr>
              <w:t>275</w:t>
            </w:r>
          </w:p>
        </w:tc>
        <w:tc>
          <w:tcPr>
            <w:tcW w:w="560" w:type="dxa"/>
            <w:vAlign w:val="bottom"/>
          </w:tcPr>
          <w:p>
            <w:pPr>
              <w:spacing w:after="0"/>
              <w:rPr>
                <w:sz w:val="19"/>
                <w:szCs w:val="19"/>
                <w:color w:val="auto"/>
              </w:rPr>
            </w:pPr>
          </w:p>
        </w:tc>
        <w:tc>
          <w:tcPr>
            <w:tcW w:w="2020" w:type="dxa"/>
            <w:vAlign w:val="bottom"/>
          </w:tcPr>
          <w:p>
            <w:pPr>
              <w:jc w:val="right"/>
              <w:ind w:right="70"/>
              <w:spacing w:after="0"/>
              <w:rPr>
                <w:sz w:val="20"/>
                <w:szCs w:val="20"/>
                <w:color w:val="auto"/>
              </w:rPr>
            </w:pPr>
            <w:r>
              <w:rPr>
                <w:rFonts w:ascii="Arial" w:cs="Arial" w:eastAsia="Arial" w:hAnsi="Arial"/>
                <w:sz w:val="15"/>
                <w:szCs w:val="15"/>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-9525</wp:posOffset>
            </wp:positionV>
            <wp:extent cx="4801235"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01235" cy="23495"/>
                    </a:xfrm>
                    <a:prstGeom prst="rect">
                      <a:avLst/>
                    </a:prstGeom>
                    <a:noFill/>
                  </pic:spPr>
                </pic:pic>
              </a:graphicData>
            </a:graphic>
          </wp:anchor>
        </w:drawing>
      </w:r>
    </w:p>
    <w:p>
      <w:pPr>
        <w:ind w:left="780" w:right="140" w:hanging="515"/>
        <w:spacing w:after="0" w:line="239" w:lineRule="auto"/>
        <w:tabs>
          <w:tab w:leader="none" w:pos="78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Borrowings on the shared line of credit at SDG&amp;E and SoCalGas are limited to $600 million for each utility and $800 million in total. SDG&amp;E's available funds reflect lette rs of credit outstanding of $25 million, variable-rate demand notes outstanding of $237 million and commercial paper of $63 million supported by the line. SoCalGas' availability reflects the impact of SDG&amp;E's use of the combined credit available on the line.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60"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i w:val="1"/>
          <w:iCs w:val="1"/>
          <w:color w:val="auto"/>
        </w:rPr>
        <w:t>We believe that these available funds and cash flows from operations, distributions from equity method investments and security issuances, combined with current cash balances, will be adequate to:</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§finance capital expenditures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§meet liquidity requirements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§fund shareholder dividends</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§fund any new business acquisitions or start-ups</w:t>
      </w:r>
    </w:p>
    <w:p>
      <w:pPr>
        <w:spacing w:after="0" w:line="15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i w:val="1"/>
          <w:iCs w:val="1"/>
          <w:color w:val="auto"/>
        </w:rPr>
        <w:t>As we discuss in Note 4 of the Notes to Condensed Consolidated Financial Statements herein, RBS Sempra Commodities consummated an agreement to sell certain of its businesses on July 1, 2010. Our share of the proceeds from this transaction approximates $1 billion, including a $134 million distribution of 2009 partnership earnings related to the businesses sold. We plan to use $500 million of the proceeds to fund a buy back of our shares under an accelerated stock repurchase program beginning in the third quarter of 2010, and may use the remaining proceeds for additional share repurchases, to fund growth opportunities or reduce debt.</w:t>
      </w:r>
    </w:p>
    <w:p>
      <w:pPr>
        <w:sectPr>
          <w:pgSz w:w="11900" w:h="16838" w:orient="portrait"/>
          <w:cols w:equalWidth="0" w:num="1">
            <w:col w:w="11440"/>
          </w:cols>
          <w:pgMar w:left="240" w:top="131" w:right="219" w:bottom="0" w:gutter="0" w:footer="0" w:header="0"/>
        </w:sectPr>
      </w:pPr>
    </w:p>
    <w:bookmarkStart w:id="49" w:name="page50"/>
    <w:bookmarkEnd w:id="49"/>
    <w:p>
      <w:pPr>
        <w:ind w:right="20"/>
        <w:spacing w:after="0" w:line="279" w:lineRule="auto"/>
        <w:rPr>
          <w:sz w:val="20"/>
          <w:szCs w:val="20"/>
          <w:color w:val="auto"/>
        </w:rPr>
      </w:pPr>
      <w:r>
        <w:rPr>
          <w:rFonts w:ascii="Arial" w:cs="Arial" w:eastAsia="Arial" w:hAnsi="Arial"/>
          <w:sz w:val="15"/>
          <w:szCs w:val="15"/>
          <w:i w:val="1"/>
          <w:iCs w:val="1"/>
          <w:color w:val="auto"/>
        </w:rPr>
        <w:t>SDG&amp;E has issued long-term debt in 2010 and both Sempra Energy and SDG&amp;E issued long-term debt in 2009.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include projects that we have not yet made firm commitments to build, primarily renewable generation facilities. We continuously monitor our ability to finance the needs of our operating, investing and financing activities in a manner consistent with our intention to maintain strong, investment-quality ratin gs.</w:t>
      </w:r>
    </w:p>
    <w:p>
      <w:pPr>
        <w:spacing w:after="0" w:line="63" w:lineRule="exact"/>
        <w:rPr>
          <w:sz w:val="20"/>
          <w:szCs w:val="20"/>
          <w:color w:val="auto"/>
        </w:rPr>
      </w:pPr>
    </w:p>
    <w:p>
      <w:pPr>
        <w:spacing w:after="0" w:line="310" w:lineRule="auto"/>
        <w:rPr>
          <w:sz w:val="20"/>
          <w:szCs w:val="20"/>
          <w:color w:val="auto"/>
        </w:rPr>
      </w:pPr>
      <w:r>
        <w:rPr>
          <w:rFonts w:ascii="Arial" w:cs="Arial" w:eastAsia="Arial" w:hAnsi="Arial"/>
          <w:sz w:val="14"/>
          <w:szCs w:val="14"/>
          <w:i w:val="1"/>
          <w:iCs w:val="1"/>
          <w:color w:val="auto"/>
        </w:rPr>
        <w:t>We have significant investments in several trusts to provide for future payments of pensions and other postretirement benefits, and nuclear decommissioning. The value of the trust funds’ investments declined in 2008 and the first quarter of 2009 due to a decrease in the equity market and volatility in the fixed income market. Values increased from favorable market activity later in 2009. However, these markets continue to be volatile. The changes in asset values have not affected the funds’ abilities to make required payments, but may impact funding requirements for pension and other postretirement benefit plans. At the Sempra Utilities, funding requirements are generally recoverable in rates.</w:t>
      </w:r>
    </w:p>
    <w:p>
      <w:pPr>
        <w:spacing w:after="0" w:line="45"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i w:val="1"/>
          <w:iCs w:val="1"/>
          <w:color w:val="auto"/>
        </w:rPr>
        <w:t>We discuss our principal credit agreements more fully in Note 6 of the Notes to Condensed Consolidated Financial Statements herein and in Note 6 of the Notes to Consoli dated Financial Statements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Utilities</w:t>
      </w:r>
    </w:p>
    <w:p>
      <w:pPr>
        <w:spacing w:after="0" w:line="60"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i w:val="1"/>
          <w:iCs w:val="1"/>
          <w:color w:val="auto"/>
        </w:rPr>
        <w:t>The Sempra Utilities expect that cash flows from operations and debt issuances will continue to be adequate to meet operating and utility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SoCalGas may be reduced or eliminated during periods of increased capital expenditures. The level of future common dividends from PE is dependent upon common dividends paid by SoCalGas. Sempra Energy may from time to time make additional equity contributions to SDG&amp;E or SoCalGas to support the Sempra Utilities' capital expenditure programs.</w:t>
      </w:r>
    </w:p>
    <w:p>
      <w:pPr>
        <w:spacing w:after="0" w:line="62"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i w:val="1"/>
          <w:iCs w:val="1"/>
          <w:color w:val="auto"/>
        </w:rPr>
        <w:t>As we discuss in Note 10 of the Notes to Condensed Consolidated Financial Statements herein, SDG&amp;E’s and therefore Sempra Energy’s cash flows are likely to be adversely impacted by cash flows related to the 2007 wildfire litigation.</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Commodities</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In 2008, we completed the formation of RBS Sempra Commodities, a partnership to own and operate Sempra Energy's commodities-marketing businesses, which generally comprised the Sempra Commodities business unit. RBS is obligated to provide the joint venture with all growth capital, working-capital requirements and credit support. However, we are providing transitional back-up guarantees, some of which may continue for a prolonged period of time. RBS has fully indemnified us for any claims or losses in connection with these arrangements.</w:t>
      </w:r>
    </w:p>
    <w:p>
      <w:pPr>
        <w:spacing w:after="0" w:line="137"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i w:val="1"/>
          <w:iCs w:val="1"/>
          <w:color w:val="auto"/>
        </w:rPr>
        <w:t>On July 1, 2010, Sempra Energy, RBS and the partnership completed the sale of certain businesses within the partnership to J.P. Morgan Ventures. We discuss this transaction in Note 4 of the Notes to Condensed Consolidated Financial Statements herein. J.P. Morgan is in the process of replacing any guarantees that we have issued in connection with the businesses sold to J.P. Morgan Ventures with J.P. Morgan guarantees. In the meantime, J.P. Morgan is indemnifying us for any claims or losses in connection with the guarantees that we issued in connection with the businesses sold to J.P. Morgan Ventures.</w:t>
      </w:r>
    </w:p>
    <w:p>
      <w:pPr>
        <w:spacing w:after="0" w:line="137"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We and RBS are actively marketing the businesses which were not sold to J.P. Morgan Ventures and are also continuing to discuss amending certain provisions of the partnership agreement entered into upon the formation of the joint venture. The impact of the sale transaction on cash flow will depend on many factors, including the final proceeds received fr om the transaction, potential changes to the partnership agreement, and any sale of the remaining businesses.</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April 2010, we received cash distributions from the partnership of $198 million. In the first six months of 2009, we received cash distributions from the partnership of $375 million. Based on the joint venture’s results through the second quarter of 2010, we currently do not expect distributions for 2010 results to be material.</w:t>
      </w:r>
    </w:p>
    <w:p>
      <w:pPr>
        <w:spacing w:after="0" w:line="79"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i w:val="1"/>
          <w:iCs w:val="1"/>
          <w:color w:val="auto"/>
        </w:rPr>
        <w:t>We provide additional information about RBS Sempra Commodities and the transaction with J.P. Morg an Ventures in Notes 4 and 6 of the Notes to Condensed Consolidated Financial Statements herein and in Notes 3, 4, 6 and 20 of the Notes to Consolidated Financial Statements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Generation</w:t>
      </w:r>
    </w:p>
    <w:p>
      <w:pPr>
        <w:spacing w:after="0" w:line="60"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i w:val="1"/>
          <w:iCs w:val="1"/>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and external borrowings. Cash flows from operations at Sempra Generation are expected to decrease upon the expiration of their contract with the DWR in late 2011 due to less favorable pricing on replacement contracts. Also, Sempra Generation may not be able to replace all of the lost revenue. We expect the litigation settlement recorded in the first quarter of 2010 related to the DWR litig ation to be funded from operations.</w:t>
      </w:r>
    </w:p>
    <w:p>
      <w:pPr>
        <w:spacing w:after="0" w:line="45" w:lineRule="exact"/>
        <w:rPr>
          <w:sz w:val="20"/>
          <w:szCs w:val="20"/>
          <w:color w:val="auto"/>
        </w:rPr>
      </w:pPr>
    </w:p>
    <w:p>
      <w:pPr>
        <w:ind w:right="220"/>
        <w:spacing w:after="0" w:line="310" w:lineRule="auto"/>
        <w:rPr>
          <w:sz w:val="20"/>
          <w:szCs w:val="20"/>
          <w:color w:val="auto"/>
        </w:rPr>
      </w:pPr>
      <w:r>
        <w:rPr>
          <w:rFonts w:ascii="Arial" w:cs="Arial" w:eastAsia="Arial" w:hAnsi="Arial"/>
          <w:sz w:val="14"/>
          <w:szCs w:val="14"/>
          <w:i w:val="1"/>
          <w:iCs w:val="1"/>
          <w:color w:val="auto"/>
        </w:rPr>
        <w:t>Sempra Generation's long-term power sale contracts may contain collateral requirements, although the DWR contract does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June 30, 2010.</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Pipelines &amp; Storage</w:t>
      </w:r>
    </w:p>
    <w:p>
      <w:pPr>
        <w:spacing w:after="0" w:line="60"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i w:val="1"/>
          <w:iCs w:val="1"/>
          <w:color w:val="auto"/>
        </w:rPr>
        <w:t>Sempra Pipelines &amp; Storage is expected to require funding from the parent or from external sources to f und projects, including the development and expansion of its natural gas storage projects.</w:t>
      </w:r>
    </w:p>
    <w:p>
      <w:pPr>
        <w:spacing w:after="0" w:line="64"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i w:val="1"/>
          <w:iCs w:val="1"/>
          <w:color w:val="auto"/>
        </w:rPr>
        <w:t>Also, on April 30, 2010, Sempra Pipelines &amp; Storage completed an acquisition resulting in the purchase of the Mexican pipeline and natural gas infrastructure assets of El Paso Corporation for $307 million ($292 million, net of cash acquired). We discuss the acquisition further in Note 3 of the Notes to Condensed Consolidated Financial Statements herein.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LNG</w:t>
      </w:r>
    </w:p>
    <w:p>
      <w:pPr>
        <w:spacing w:after="0" w:line="60"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i w:val="1"/>
          <w:iCs w:val="1"/>
          <w:color w:val="auto"/>
        </w:rPr>
        <w:t>Sempra LNG required funding from 2004 through 2009 for its development of the Energía Costa Azul and Cameron LNG receipt terminals. As both of these facilities are now in service, Sempra LNG is expected to provide operating cash flow for further development within Sempra Global.</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3556635" cy="294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56635" cy="294005"/>
                    </a:xfrm>
                    <a:prstGeom prst="rect">
                      <a:avLst/>
                    </a:prstGeom>
                    <a:noFill/>
                  </pic:spPr>
                </pic:pic>
              </a:graphicData>
            </a:graphic>
          </wp:anchor>
        </w:drawing>
      </w:r>
    </w:p>
    <w:p>
      <w:pPr>
        <w:spacing w:after="0" w:line="36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CASH PROVIDED BY OPERATING ACTIVITIES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4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9"/>
        </w:trPr>
        <w:tc>
          <w:tcPr>
            <w:tcW w:w="234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89"/>
              <w:spacing w:after="0"/>
              <w:rPr>
                <w:sz w:val="20"/>
                <w:szCs w:val="20"/>
                <w:color w:val="auto"/>
              </w:rPr>
            </w:pPr>
            <w:r>
              <w:rPr>
                <w:rFonts w:ascii="Arial" w:cs="Arial" w:eastAsia="Arial" w:hAnsi="Arial"/>
                <w:sz w:val="13"/>
                <w:szCs w:val="13"/>
                <w:color w:val="auto"/>
              </w:rPr>
              <w:t>2010</w:t>
            </w:r>
          </w:p>
        </w:tc>
        <w:tc>
          <w:tcPr>
            <w:tcW w:w="13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3"/>
                <w:szCs w:val="13"/>
                <w:color w:val="auto"/>
              </w:rPr>
              <w:t>2010 Change</w:t>
            </w:r>
          </w:p>
        </w:tc>
        <w:tc>
          <w:tcPr>
            <w:tcW w:w="3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2009</w:t>
            </w:r>
          </w:p>
        </w:tc>
      </w:tr>
      <w:tr>
        <w:trPr>
          <w:trHeight w:val="182"/>
        </w:trPr>
        <w:tc>
          <w:tcPr>
            <w:tcW w:w="2340" w:type="dxa"/>
            <w:vAlign w:val="bottom"/>
          </w:tcPr>
          <w:p>
            <w:pPr>
              <w:ind w:left="100"/>
              <w:spacing w:after="0"/>
              <w:rPr>
                <w:sz w:val="20"/>
                <w:szCs w:val="20"/>
                <w:color w:val="auto"/>
              </w:rPr>
            </w:pPr>
            <w:r>
              <w:rPr>
                <w:rFonts w:ascii="Arial" w:cs="Arial" w:eastAsia="Arial" w:hAnsi="Arial"/>
                <w:sz w:val="15"/>
                <w:szCs w:val="15"/>
                <w:color w:val="auto"/>
              </w:rPr>
              <w:t>Sempra Energy Consolidated   $</w:t>
            </w:r>
          </w:p>
        </w:tc>
        <w:tc>
          <w:tcPr>
            <w:tcW w:w="700" w:type="dxa"/>
            <w:vAlign w:val="bottom"/>
            <w:tcBorders>
              <w:right w:val="single" w:sz="8" w:color="auto"/>
            </w:tcBorders>
          </w:tcPr>
          <w:p>
            <w:pPr>
              <w:jc w:val="right"/>
              <w:ind w:right="89"/>
              <w:spacing w:after="0"/>
              <w:rPr>
                <w:sz w:val="20"/>
                <w:szCs w:val="20"/>
                <w:color w:val="auto"/>
              </w:rPr>
            </w:pPr>
            <w:r>
              <w:rPr>
                <w:rFonts w:ascii="Arial" w:cs="Arial" w:eastAsia="Arial" w:hAnsi="Arial"/>
                <w:sz w:val="15"/>
                <w:szCs w:val="15"/>
                <w:color w:val="auto"/>
              </w:rPr>
              <w:t>1,307</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   (218)</w:t>
            </w:r>
          </w:p>
        </w:tc>
        <w:tc>
          <w:tcPr>
            <w:tcW w:w="480" w:type="dxa"/>
            <w:vAlign w:val="bottom"/>
          </w:tcPr>
          <w:p>
            <w:pPr>
              <w:jc w:val="center"/>
              <w:spacing w:after="0"/>
              <w:rPr>
                <w:sz w:val="20"/>
                <w:szCs w:val="20"/>
                <w:color w:val="auto"/>
              </w:rPr>
            </w:pPr>
            <w:r>
              <w:rPr>
                <w:rFonts w:ascii="Arial" w:cs="Arial" w:eastAsia="Arial" w:hAnsi="Arial"/>
                <w:sz w:val="15"/>
                <w:szCs w:val="15"/>
                <w:color w:val="auto"/>
                <w:w w:val="97"/>
              </w:rPr>
              <w:t>(14)</w:t>
            </w:r>
          </w:p>
        </w:tc>
        <w:tc>
          <w:tcPr>
            <w:tcW w:w="340" w:type="dxa"/>
            <w:vAlign w:val="bottom"/>
            <w:tcBorders>
              <w:right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   1,525</w:t>
            </w:r>
          </w:p>
        </w:tc>
      </w:tr>
      <w:tr>
        <w:trPr>
          <w:trHeight w:val="219"/>
        </w:trPr>
        <w:tc>
          <w:tcPr>
            <w:tcW w:w="2340" w:type="dxa"/>
            <w:vAlign w:val="bottom"/>
          </w:tcPr>
          <w:p>
            <w:pPr>
              <w:ind w:left="100"/>
              <w:spacing w:after="0"/>
              <w:rPr>
                <w:sz w:val="20"/>
                <w:szCs w:val="20"/>
                <w:color w:val="auto"/>
              </w:rPr>
            </w:pPr>
            <w:r>
              <w:rPr>
                <w:rFonts w:ascii="Arial" w:cs="Arial" w:eastAsia="Arial" w:hAnsi="Arial"/>
                <w:sz w:val="15"/>
                <w:szCs w:val="15"/>
                <w:color w:val="auto"/>
              </w:rPr>
              <w:t>SDG&amp;E</w:t>
            </w:r>
          </w:p>
        </w:tc>
        <w:tc>
          <w:tcPr>
            <w:tcW w:w="700" w:type="dxa"/>
            <w:vAlign w:val="bottom"/>
            <w:tcBorders>
              <w:right w:val="single" w:sz="8" w:color="auto"/>
            </w:tcBorders>
          </w:tcPr>
          <w:p>
            <w:pPr>
              <w:jc w:val="right"/>
              <w:ind w:right="89"/>
              <w:spacing w:after="0"/>
              <w:rPr>
                <w:sz w:val="20"/>
                <w:szCs w:val="20"/>
                <w:color w:val="auto"/>
              </w:rPr>
            </w:pPr>
            <w:r>
              <w:rPr>
                <w:rFonts w:ascii="Arial" w:cs="Arial" w:eastAsia="Arial" w:hAnsi="Arial"/>
                <w:sz w:val="15"/>
                <w:szCs w:val="15"/>
                <w:color w:val="auto"/>
              </w:rPr>
              <w:t>221</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(127)</w:t>
            </w:r>
          </w:p>
        </w:tc>
        <w:tc>
          <w:tcPr>
            <w:tcW w:w="480" w:type="dxa"/>
            <w:vAlign w:val="bottom"/>
          </w:tcPr>
          <w:p>
            <w:pPr>
              <w:jc w:val="center"/>
              <w:spacing w:after="0"/>
              <w:rPr>
                <w:sz w:val="20"/>
                <w:szCs w:val="20"/>
                <w:color w:val="auto"/>
              </w:rPr>
            </w:pPr>
            <w:r>
              <w:rPr>
                <w:rFonts w:ascii="Arial" w:cs="Arial" w:eastAsia="Arial" w:hAnsi="Arial"/>
                <w:sz w:val="15"/>
                <w:szCs w:val="15"/>
                <w:color w:val="auto"/>
                <w:w w:val="97"/>
              </w:rPr>
              <w:t>(36)</w:t>
            </w:r>
          </w:p>
        </w:tc>
        <w:tc>
          <w:tcPr>
            <w:tcW w:w="340" w:type="dxa"/>
            <w:vAlign w:val="bottom"/>
            <w:tcBorders>
              <w:right w:val="single" w:sz="8" w:color="auto"/>
            </w:tcBorders>
          </w:tcPr>
          <w:p>
            <w:pPr>
              <w:spacing w:after="0"/>
              <w:rPr>
                <w:sz w:val="19"/>
                <w:szCs w:val="19"/>
                <w:color w:val="auto"/>
              </w:rPr>
            </w:pP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348</w:t>
            </w:r>
          </w:p>
        </w:tc>
      </w:tr>
      <w:tr>
        <w:trPr>
          <w:trHeight w:val="219"/>
        </w:trPr>
        <w:tc>
          <w:tcPr>
            <w:tcW w:w="2340" w:type="dxa"/>
            <w:vAlign w:val="bottom"/>
          </w:tcPr>
          <w:p>
            <w:pPr>
              <w:ind w:left="100"/>
              <w:spacing w:after="0"/>
              <w:rPr>
                <w:sz w:val="20"/>
                <w:szCs w:val="20"/>
                <w:color w:val="auto"/>
              </w:rPr>
            </w:pPr>
            <w:r>
              <w:rPr>
                <w:rFonts w:ascii="Arial" w:cs="Arial" w:eastAsia="Arial" w:hAnsi="Arial"/>
                <w:sz w:val="15"/>
                <w:szCs w:val="15"/>
                <w:color w:val="auto"/>
              </w:rPr>
              <w:t>PE</w:t>
            </w:r>
          </w:p>
        </w:tc>
        <w:tc>
          <w:tcPr>
            <w:tcW w:w="700" w:type="dxa"/>
            <w:vAlign w:val="bottom"/>
            <w:tcBorders>
              <w:right w:val="single" w:sz="8" w:color="auto"/>
            </w:tcBorders>
          </w:tcPr>
          <w:p>
            <w:pPr>
              <w:jc w:val="right"/>
              <w:ind w:right="89"/>
              <w:spacing w:after="0"/>
              <w:rPr>
                <w:sz w:val="20"/>
                <w:szCs w:val="20"/>
                <w:color w:val="auto"/>
              </w:rPr>
            </w:pPr>
            <w:r>
              <w:rPr>
                <w:rFonts w:ascii="Arial" w:cs="Arial" w:eastAsia="Arial" w:hAnsi="Arial"/>
                <w:sz w:val="15"/>
                <w:szCs w:val="15"/>
                <w:color w:val="auto"/>
              </w:rPr>
              <w:t>610</w:t>
            </w:r>
          </w:p>
        </w:tc>
        <w:tc>
          <w:tcPr>
            <w:tcW w:w="840" w:type="dxa"/>
            <w:vAlign w:val="bottom"/>
          </w:tcPr>
          <w:p>
            <w:pPr>
              <w:jc w:val="right"/>
              <w:ind w:right="69"/>
              <w:spacing w:after="0"/>
              <w:rPr>
                <w:sz w:val="20"/>
                <w:szCs w:val="20"/>
                <w:color w:val="auto"/>
              </w:rPr>
            </w:pPr>
            <w:r>
              <w:rPr>
                <w:rFonts w:ascii="Arial" w:cs="Arial" w:eastAsia="Arial" w:hAnsi="Arial"/>
                <w:sz w:val="15"/>
                <w:szCs w:val="15"/>
                <w:color w:val="auto"/>
              </w:rPr>
              <w:t>53</w:t>
            </w:r>
          </w:p>
        </w:tc>
        <w:tc>
          <w:tcPr>
            <w:tcW w:w="4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340" w:type="dxa"/>
            <w:vAlign w:val="bottom"/>
            <w:tcBorders>
              <w:right w:val="single" w:sz="8" w:color="auto"/>
            </w:tcBorders>
          </w:tcPr>
          <w:p>
            <w:pPr>
              <w:spacing w:after="0"/>
              <w:rPr>
                <w:sz w:val="19"/>
                <w:szCs w:val="19"/>
                <w:color w:val="auto"/>
              </w:rPr>
            </w:pP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557</w:t>
            </w:r>
          </w:p>
        </w:tc>
      </w:tr>
      <w:tr>
        <w:trPr>
          <w:trHeight w:val="228"/>
        </w:trPr>
        <w:tc>
          <w:tcPr>
            <w:tcW w:w="234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700" w:type="dxa"/>
            <w:vAlign w:val="bottom"/>
            <w:tcBorders>
              <w:bottom w:val="single" w:sz="8" w:color="C0C0C0"/>
              <w:right w:val="single" w:sz="8" w:color="auto"/>
            </w:tcBorders>
          </w:tcPr>
          <w:p>
            <w:pPr>
              <w:jc w:val="right"/>
              <w:ind w:right="89"/>
              <w:spacing w:after="0"/>
              <w:rPr>
                <w:sz w:val="20"/>
                <w:szCs w:val="20"/>
                <w:color w:val="auto"/>
              </w:rPr>
            </w:pPr>
            <w:r>
              <w:rPr>
                <w:rFonts w:ascii="Arial" w:cs="Arial" w:eastAsia="Arial" w:hAnsi="Arial"/>
                <w:sz w:val="15"/>
                <w:szCs w:val="15"/>
                <w:color w:val="auto"/>
              </w:rPr>
              <w:t>621</w:t>
            </w:r>
          </w:p>
        </w:tc>
        <w:tc>
          <w:tcPr>
            <w:tcW w:w="840" w:type="dxa"/>
            <w:vAlign w:val="bottom"/>
            <w:tcBorders>
              <w:bottom w:val="single" w:sz="8" w:color="C0C0C0"/>
            </w:tcBorders>
          </w:tcPr>
          <w:p>
            <w:pPr>
              <w:jc w:val="right"/>
              <w:ind w:right="69"/>
              <w:spacing w:after="0"/>
              <w:rPr>
                <w:sz w:val="20"/>
                <w:szCs w:val="20"/>
                <w:color w:val="auto"/>
              </w:rPr>
            </w:pPr>
            <w:r>
              <w:rPr>
                <w:rFonts w:ascii="Arial" w:cs="Arial" w:eastAsia="Arial" w:hAnsi="Arial"/>
                <w:sz w:val="15"/>
                <w:szCs w:val="15"/>
                <w:color w:val="auto"/>
              </w:rPr>
              <w:t>61</w:t>
            </w:r>
          </w:p>
        </w:tc>
        <w:tc>
          <w:tcPr>
            <w:tcW w:w="820" w:type="dxa"/>
            <w:vAlign w:val="bottom"/>
            <w:tcBorders>
              <w:bottom w:val="single" w:sz="8" w:color="C0C0C0"/>
              <w:right w:val="single" w:sz="8" w:color="auto"/>
            </w:tcBorders>
            <w:gridSpan w:val="2"/>
          </w:tcPr>
          <w:p>
            <w:pPr>
              <w:jc w:val="right"/>
              <w:ind w:right="307"/>
              <w:spacing w:after="0"/>
              <w:rPr>
                <w:sz w:val="20"/>
                <w:szCs w:val="20"/>
                <w:color w:val="auto"/>
              </w:rPr>
            </w:pPr>
            <w:r>
              <w:rPr>
                <w:rFonts w:ascii="Arial" w:cs="Arial" w:eastAsia="Arial" w:hAnsi="Arial"/>
                <w:sz w:val="15"/>
                <w:szCs w:val="15"/>
                <w:color w:val="auto"/>
              </w:rPr>
              <w:t>11</w:t>
            </w:r>
          </w:p>
        </w:tc>
        <w:tc>
          <w:tcPr>
            <w:tcW w:w="900" w:type="dxa"/>
            <w:vAlign w:val="bottom"/>
            <w:tcBorders>
              <w:bottom w:val="single" w:sz="8" w:color="C0C0C0"/>
            </w:tcBorders>
          </w:tcPr>
          <w:p>
            <w:pPr>
              <w:jc w:val="right"/>
              <w:ind w:right="69"/>
              <w:spacing w:after="0"/>
              <w:rPr>
                <w:sz w:val="20"/>
                <w:szCs w:val="20"/>
                <w:color w:val="auto"/>
              </w:rPr>
            </w:pPr>
            <w:r>
              <w:rPr>
                <w:rFonts w:ascii="Arial" w:cs="Arial" w:eastAsia="Arial" w:hAnsi="Arial"/>
                <w:sz w:val="15"/>
                <w:szCs w:val="15"/>
                <w:color w:val="auto"/>
              </w:rPr>
              <w:t>560</w:t>
            </w:r>
          </w:p>
        </w:tc>
      </w:tr>
    </w:tbl>
    <w:p>
      <w:pPr>
        <w:spacing w:after="0" w:line="176"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rPr>
          <w:sz w:val="20"/>
          <w:szCs w:val="20"/>
          <w:color w:val="auto"/>
        </w:rPr>
      </w:pPr>
      <w:r>
        <w:rPr>
          <w:rFonts w:ascii="Arial" w:cs="Arial" w:eastAsia="Arial" w:hAnsi="Arial"/>
          <w:sz w:val="16"/>
          <w:szCs w:val="16"/>
          <w:b w:val="1"/>
          <w:bCs w:val="1"/>
          <w:i w:val="1"/>
          <w:iCs w:val="1"/>
          <w:color w:val="auto"/>
        </w:rPr>
        <w:t>Sempra Energy Consolidated</w:t>
      </w:r>
    </w:p>
    <w:p>
      <w:pPr>
        <w:sectPr>
          <w:pgSz w:w="11900" w:h="16838" w:orient="portrait"/>
          <w:cols w:equalWidth="0" w:num="1">
            <w:col w:w="11420"/>
          </w:cols>
          <w:pgMar w:left="240" w:top="131" w:right="239" w:bottom="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i w:val="1"/>
          <w:iCs w:val="1"/>
          <w:color w:val="auto"/>
        </w:rPr>
        <w:t>Cash provided by operating activities at Sempra Energy decreased in 2010 due to $177 million lower distributions received from RBS Sempra Commodities.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60"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i w:val="1"/>
          <w:iCs w:val="1"/>
          <w:color w:val="auto"/>
        </w:rPr>
        <w:t>Cash provided by operating activities at SDG&amp;E decreased in 2010 primarily due to $97 million of settlement payments in 2010, net of cash received from liability insurance, related to the 2007 wild fire litigation.</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 and SoCalGas</w:t>
      </w:r>
    </w:p>
    <w:p>
      <w:pPr>
        <w:spacing w:after="0" w:line="60"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i w:val="1"/>
          <w:iCs w:val="1"/>
          <w:color w:val="auto"/>
        </w:rPr>
        <w:t>Cash provided by operating activities at PE and SoCalGas increased in 2010 primarily due to the effect on working capital balances at SoCalGas of higher natural gas prices in 2010 compared to 2009. Higher natural gas prices in 2010 produced a $15 million liability for temporary LIFO liquidation compared to a $43 million asset in 2009. Temporary LIFO liquidation represents the difference between the carrying value of natural gas inventory withdrawn during the period (valued by the last-in, first-out method) for delivery to customers and the projected cost of the replacement of that inventory during summer months.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table below shows the contributions to pension and other postretirement benefit plans for the six months ended June 30, 2010.</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&lt; /tr&gt;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170"/>
              <w:spacing w:after="0"/>
              <w:rPr>
                <w:sz w:val="20"/>
                <w:szCs w:val="20"/>
                <w:color w:val="auto"/>
              </w:rPr>
            </w:pPr>
            <w:r>
              <w:rPr>
                <w:rFonts w:ascii="Arial" w:cs="Arial" w:eastAsia="Arial" w:hAnsi="Arial"/>
                <w:sz w:val="13"/>
                <w:szCs w:val="13"/>
                <w:color w:val="auto"/>
                <w:w w:val="98"/>
              </w:rPr>
              <w:t>Other</w:t>
            </w:r>
          </w:p>
        </w:tc>
      </w:tr>
      <w:tr>
        <w:trPr>
          <w:trHeight w:val="219"/>
        </w:trPr>
        <w:tc>
          <w:tcPr>
            <w:tcW w:w="21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3"/>
                <w:szCs w:val="13"/>
                <w:color w:val="auto"/>
              </w:rPr>
              <w:t>Pension</w:t>
            </w:r>
          </w:p>
        </w:tc>
        <w:tc>
          <w:tcPr>
            <w:tcW w:w="1080" w:type="dxa"/>
            <w:vAlign w:val="bottom"/>
            <w:gridSpan w:val="2"/>
          </w:tcPr>
          <w:p>
            <w:pPr>
              <w:jc w:val="center"/>
              <w:spacing w:after="0"/>
              <w:rPr>
                <w:sz w:val="20"/>
                <w:szCs w:val="20"/>
                <w:color w:val="auto"/>
              </w:rPr>
            </w:pPr>
            <w:r>
              <w:rPr>
                <w:rFonts w:ascii="Arial" w:cs="Arial" w:eastAsia="Arial" w:hAnsi="Arial"/>
                <w:sz w:val="13"/>
                <w:szCs w:val="13"/>
                <w:color w:val="auto"/>
                <w:w w:val="99"/>
              </w:rPr>
              <w:t>Po stretirement</w:t>
            </w:r>
          </w:p>
        </w:tc>
      </w:tr>
      <w:tr>
        <w:trPr>
          <w:trHeight w:val="157"/>
        </w:trPr>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Benefits</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color w:val="auto"/>
                <w:w w:val="97"/>
              </w:rPr>
              <w:t>Benefits</w:t>
            </w:r>
          </w:p>
        </w:tc>
      </w:tr>
      <w:tr>
        <w:trPr>
          <w:trHeight w:val="182"/>
        </w:trPr>
        <w:tc>
          <w:tcPr>
            <w:tcW w:w="2100" w:type="dxa"/>
            <w:vAlign w:val="bottom"/>
          </w:tcPr>
          <w:p>
            <w:pPr>
              <w:ind w:left="100"/>
              <w:spacing w:after="0"/>
              <w:rPr>
                <w:sz w:val="20"/>
                <w:szCs w:val="20"/>
                <w:color w:val="auto"/>
              </w:rPr>
            </w:pPr>
            <w:r>
              <w:rPr>
                <w:rFonts w:ascii="Arial" w:cs="Arial" w:eastAsia="Arial" w:hAnsi="Arial"/>
                <w:sz w:val="15"/>
                <w:szCs w:val="15"/>
                <w:color w:val="auto"/>
              </w:rPr>
              <w:t>Sempra Energy Consolidated</w:t>
            </w: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   53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70"/>
              <w:spacing w:after="0"/>
              <w:rPr>
                <w:sz w:val="20"/>
                <w:szCs w:val="20"/>
                <w:color w:val="auto"/>
              </w:rPr>
            </w:pPr>
            <w:r>
              <w:rPr>
                <w:rFonts w:ascii="Arial" w:cs="Arial" w:eastAsia="Arial" w:hAnsi="Arial"/>
                <w:sz w:val="15"/>
                <w:szCs w:val="15"/>
                <w:color w:val="auto"/>
              </w:rPr>
              <w:t>27</w:t>
            </w:r>
          </w:p>
        </w:tc>
      </w:tr>
      <w:tr>
        <w:trPr>
          <w:trHeight w:val="219"/>
        </w:trPr>
        <w:tc>
          <w:tcPr>
            <w:tcW w:w="2100" w:type="dxa"/>
            <w:vAlign w:val="bottom"/>
          </w:tcPr>
          <w:p>
            <w:pPr>
              <w:ind w:left="100"/>
              <w:spacing w:after="0"/>
              <w:rPr>
                <w:sz w:val="20"/>
                <w:szCs w:val="20"/>
                <w:color w:val="auto"/>
              </w:rPr>
            </w:pPr>
            <w:r>
              <w:rPr>
                <w:rFonts w:ascii="Arial" w:cs="Arial" w:eastAsia="Arial" w:hAnsi="Arial"/>
                <w:sz w:val="15"/>
                <w:szCs w:val="15"/>
                <w:color w:val="auto"/>
              </w:rPr>
              <w:t>SDG&amp;E</w:t>
            </w: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21</w:t>
            </w:r>
          </w:p>
        </w:tc>
        <w:tc>
          <w:tcPr>
            <w:tcW w:w="24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5"/>
                <w:szCs w:val="15"/>
                <w:color w:val="auto"/>
              </w:rPr>
              <w:t>8</w:t>
            </w:r>
          </w:p>
        </w:tc>
      </w:tr>
      <w:tr>
        <w:trPr>
          <w:trHeight w:val="228"/>
        </w:trPr>
        <w:tc>
          <w:tcPr>
            <w:tcW w:w="210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PE/SoCalGas</w:t>
            </w:r>
          </w:p>
        </w:tc>
        <w:tc>
          <w:tcPr>
            <w:tcW w:w="70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19</w:t>
            </w:r>
          </w:p>
        </w:tc>
        <w:tc>
          <w:tcPr>
            <w:tcW w:w="240" w:type="dxa"/>
            <w:vAlign w:val="bottom"/>
            <w:tcBorders>
              <w:bottom w:val="single" w:sz="8" w:color="C0C0C0"/>
            </w:tcBorders>
          </w:tcPr>
          <w:p>
            <w:pPr>
              <w:spacing w:after="0"/>
              <w:rPr>
                <w:sz w:val="19"/>
                <w:szCs w:val="19"/>
                <w:color w:val="auto"/>
              </w:rPr>
            </w:pPr>
          </w:p>
        </w:tc>
        <w:tc>
          <w:tcPr>
            <w:tcW w:w="840" w:type="dxa"/>
            <w:vAlign w:val="bottom"/>
            <w:tcBorders>
              <w:bottom w:val="single" w:sz="8" w:color="C0C0C0"/>
            </w:tcBorders>
          </w:tcPr>
          <w:p>
            <w:pPr>
              <w:jc w:val="right"/>
              <w:ind w:right="70"/>
              <w:spacing w:after="0"/>
              <w:rPr>
                <w:sz w:val="20"/>
                <w:szCs w:val="20"/>
                <w:color w:val="auto"/>
              </w:rPr>
            </w:pPr>
            <w:r>
              <w:rPr>
                <w:rFonts w:ascii="Arial" w:cs="Arial" w:eastAsia="Arial" w:hAnsi="Arial"/>
                <w:sz w:val="15"/>
                <w:szCs w:val="15"/>
                <w:color w:val="auto"/>
              </w:rPr>
              <w:t>19</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3765550" cy="146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65550" cy="146685"/>
                    </a:xfrm>
                    <a:prstGeom prst="rect">
                      <a:avLst/>
                    </a:prstGeom>
                    <a:noFill/>
                  </pic:spPr>
                </pic:pic>
              </a:graphicData>
            </a:graphic>
          </wp:anchor>
        </w:drawing>
      </w:r>
    </w:p>
    <w:p>
      <w:pPr>
        <w:spacing w:after="0" w:line="36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CASH USED IN INVESTING ACTIVITIES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9"/>
        </w:trPr>
        <w:tc>
          <w:tcPr>
            <w:tcW w:w="27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3"/>
                <w:szCs w:val="13"/>
                <w:color w:val="auto"/>
              </w:rPr>
              <w:t>2010 Change</w:t>
            </w:r>
          </w:p>
        </w:tc>
        <w:tc>
          <w:tcPr>
            <w:tcW w:w="3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2009</w:t>
            </w:r>
          </w:p>
        </w:tc>
      </w:tr>
      <w:tr>
        <w:trPr>
          <w:trHeight w:val="240"/>
        </w:trPr>
        <w:tc>
          <w:tcPr>
            <w:tcW w:w="2720" w:type="dxa"/>
            <w:vAlign w:val="bottom"/>
          </w:tcPr>
          <w:p>
            <w:pPr>
              <w:ind w:left="100"/>
              <w:spacing w:after="0"/>
              <w:rPr>
                <w:sz w:val="20"/>
                <w:szCs w:val="20"/>
                <w:color w:val="auto"/>
              </w:rPr>
            </w:pPr>
            <w:r>
              <w:rPr>
                <w:rFonts w:ascii="Arial" w:cs="Arial" w:eastAsia="Arial" w:hAnsi="Arial"/>
                <w:sz w:val="19"/>
                <w:szCs w:val="19"/>
                <w:color w:val="auto"/>
                <w:w w:val="97"/>
              </w:rPr>
              <w:t xml:space="preserve">Sempra Energy Consolidated  </w:t>
            </w:r>
            <w:r>
              <w:rPr>
                <w:rFonts w:ascii="Arial" w:cs="Arial" w:eastAsia="Arial" w:hAnsi="Arial"/>
                <w:sz w:val="14"/>
                <w:szCs w:val="14"/>
                <w:color w:val="auto"/>
                <w:w w:val="97"/>
              </w:rPr>
              <w:t>$</w:t>
            </w:r>
          </w:p>
        </w:tc>
        <w:tc>
          <w:tcPr>
            <w:tcW w:w="740" w:type="dxa"/>
            <w:vAlign w:val="bottom"/>
            <w:tcBorders>
              <w:right w:val="single" w:sz="8" w:color="auto"/>
            </w:tcBorders>
          </w:tcPr>
          <w:p>
            <w:pPr>
              <w:jc w:val="right"/>
              <w:ind w:right="49"/>
              <w:spacing w:after="0"/>
              <w:rPr>
                <w:sz w:val="20"/>
                <w:szCs w:val="20"/>
                <w:color w:val="auto"/>
              </w:rPr>
            </w:pPr>
            <w:r>
              <w:rPr>
                <w:rFonts w:ascii="Arial" w:cs="Arial" w:eastAsia="Arial" w:hAnsi="Arial"/>
                <w:sz w:val="15"/>
                <w:szCs w:val="15"/>
                <w:color w:val="auto"/>
              </w:rPr>
              <w:t>(1,167)</w:t>
            </w: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9"/>
              <w:spacing w:after="0"/>
              <w:rPr>
                <w:sz w:val="20"/>
                <w:szCs w:val="20"/>
                <w:color w:val="auto"/>
              </w:rPr>
            </w:pPr>
            <w:r>
              <w:rPr>
                <w:rFonts w:ascii="Arial" w:cs="Arial" w:eastAsia="Arial" w:hAnsi="Arial"/>
                <w:sz w:val="15"/>
                <w:szCs w:val="15"/>
                <w:color w:val="auto"/>
              </w:rPr>
              <w:t>180</w:t>
            </w:r>
          </w:p>
        </w:tc>
        <w:tc>
          <w:tcPr>
            <w:tcW w:w="540" w:type="dxa"/>
            <w:vAlign w:val="bottom"/>
          </w:tcPr>
          <w:p>
            <w:pPr>
              <w:jc w:val="right"/>
              <w:ind w:right="87"/>
              <w:spacing w:after="0"/>
              <w:rPr>
                <w:sz w:val="20"/>
                <w:szCs w:val="20"/>
                <w:color w:val="auto"/>
              </w:rPr>
            </w:pPr>
            <w:r>
              <w:rPr>
                <w:rFonts w:ascii="Arial" w:cs="Arial" w:eastAsia="Arial" w:hAnsi="Arial"/>
                <w:sz w:val="15"/>
                <w:szCs w:val="15"/>
                <w:color w:val="auto"/>
              </w:rPr>
              <w:t>18</w:t>
            </w:r>
          </w:p>
        </w:tc>
        <w:tc>
          <w:tcPr>
            <w:tcW w:w="320" w:type="dxa"/>
            <w:vAlign w:val="bottom"/>
            <w:tcBorders>
              <w:right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   (987)</w:t>
            </w:r>
          </w:p>
        </w:tc>
      </w:tr>
      <w:tr>
        <w:trPr>
          <w:trHeight w:val="185"/>
        </w:trPr>
        <w:tc>
          <w:tcPr>
            <w:tcW w:w="2720" w:type="dxa"/>
            <w:vAlign w:val="bottom"/>
          </w:tcPr>
          <w:p>
            <w:pPr>
              <w:ind w:left="100"/>
              <w:spacing w:after="0"/>
              <w:rPr>
                <w:sz w:val="20"/>
                <w:szCs w:val="20"/>
                <w:color w:val="auto"/>
              </w:rPr>
            </w:pPr>
            <w:r>
              <w:rPr>
                <w:rFonts w:ascii="Arial" w:cs="Arial" w:eastAsia="Arial" w:hAnsi="Arial"/>
                <w:sz w:val="15"/>
                <w:szCs w:val="15"/>
                <w:color w:val="auto"/>
              </w:rPr>
              <w:t>SDG&amp;E</w:t>
            </w:r>
          </w:p>
        </w:tc>
        <w:tc>
          <w:tcPr>
            <w:tcW w:w="740" w:type="dxa"/>
            <w:vAlign w:val="bottom"/>
            <w:tcBorders>
              <w:right w:val="single" w:sz="8" w:color="auto"/>
            </w:tcBorders>
          </w:tcPr>
          <w:p>
            <w:pPr>
              <w:jc w:val="right"/>
              <w:ind w:right="49"/>
              <w:spacing w:after="0"/>
              <w:rPr>
                <w:sz w:val="20"/>
                <w:szCs w:val="20"/>
                <w:color w:val="auto"/>
              </w:rPr>
            </w:pPr>
            <w:r>
              <w:rPr>
                <w:rFonts w:ascii="Arial" w:cs="Arial" w:eastAsia="Arial" w:hAnsi="Arial"/>
                <w:sz w:val="15"/>
                <w:szCs w:val="15"/>
                <w:color w:val="auto"/>
              </w:rPr>
              <w:t>(509)</w:t>
            </w:r>
          </w:p>
        </w:tc>
        <w:tc>
          <w:tcPr>
            <w:tcW w:w="26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5"/>
                <w:szCs w:val="15"/>
                <w:color w:val="auto"/>
              </w:rPr>
              <w:t>122</w:t>
            </w:r>
          </w:p>
        </w:tc>
        <w:tc>
          <w:tcPr>
            <w:tcW w:w="540" w:type="dxa"/>
            <w:vAlign w:val="bottom"/>
          </w:tcPr>
          <w:p>
            <w:pPr>
              <w:jc w:val="right"/>
              <w:ind w:right="87"/>
              <w:spacing w:after="0"/>
              <w:rPr>
                <w:sz w:val="20"/>
                <w:szCs w:val="20"/>
                <w:color w:val="auto"/>
              </w:rPr>
            </w:pPr>
            <w:r>
              <w:rPr>
                <w:rFonts w:ascii="Arial" w:cs="Arial" w:eastAsia="Arial" w:hAnsi="Arial"/>
                <w:sz w:val="15"/>
                <w:szCs w:val="15"/>
                <w:color w:val="auto"/>
              </w:rPr>
              <w:t>32</w:t>
            </w:r>
          </w:p>
        </w:tc>
        <w:tc>
          <w:tcPr>
            <w:tcW w:w="320" w:type="dxa"/>
            <w:vAlign w:val="bottom"/>
            <w:tcBorders>
              <w:right w:val="single" w:sz="8" w:color="auto"/>
            </w:tcBorders>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(387)</w:t>
            </w:r>
          </w:p>
        </w:tc>
      </w:tr>
      <w:tr>
        <w:trPr>
          <w:trHeight w:val="234"/>
        </w:trPr>
        <w:tc>
          <w:tcPr>
            <w:tcW w:w="2720" w:type="dxa"/>
            <w:vAlign w:val="bottom"/>
          </w:tcPr>
          <w:p>
            <w:pPr>
              <w:ind w:left="100"/>
              <w:spacing w:after="0"/>
              <w:rPr>
                <w:sz w:val="20"/>
                <w:szCs w:val="20"/>
                <w:color w:val="auto"/>
              </w:rPr>
            </w:pPr>
            <w:r>
              <w:rPr>
                <w:rFonts w:ascii="Arial" w:cs="Arial" w:eastAsia="Arial" w:hAnsi="Arial"/>
                <w:sz w:val="19"/>
                <w:szCs w:val="19"/>
                <w:color w:val="auto"/>
              </w:rPr>
              <w:t>PE</w:t>
            </w:r>
          </w:p>
        </w:tc>
        <w:tc>
          <w:tcPr>
            <w:tcW w:w="740" w:type="dxa"/>
            <w:vAlign w:val="bottom"/>
            <w:tcBorders>
              <w:right w:val="single" w:sz="8" w:color="auto"/>
            </w:tcBorders>
          </w:tcPr>
          <w:p>
            <w:pPr>
              <w:jc w:val="right"/>
              <w:ind w:right="49"/>
              <w:spacing w:after="0"/>
              <w:rPr>
                <w:sz w:val="20"/>
                <w:szCs w:val="20"/>
                <w:color w:val="auto"/>
              </w:rPr>
            </w:pPr>
            <w:r>
              <w:rPr>
                <w:rFonts w:ascii="Arial" w:cs="Arial" w:eastAsia="Arial" w:hAnsi="Arial"/>
                <w:sz w:val="15"/>
                <w:szCs w:val="15"/>
                <w:color w:val="auto"/>
              </w:rPr>
              <w:t>(455)</w:t>
            </w:r>
          </w:p>
        </w:tc>
        <w:tc>
          <w:tcPr>
            <w:tcW w:w="260" w:type="dxa"/>
            <w:vAlign w:val="bottom"/>
          </w:tcPr>
          <w:p>
            <w:pPr>
              <w:spacing w:after="0"/>
              <w:rPr>
                <w:sz w:val="20"/>
                <w:szCs w:val="20"/>
                <w:color w:val="auto"/>
              </w:rPr>
            </w:pPr>
          </w:p>
        </w:tc>
        <w:tc>
          <w:tcPr>
            <w:tcW w:w="520" w:type="dxa"/>
            <w:vAlign w:val="bottom"/>
          </w:tcPr>
          <w:p>
            <w:pPr>
              <w:jc w:val="right"/>
              <w:ind w:right="69"/>
              <w:spacing w:after="0"/>
              <w:rPr>
                <w:sz w:val="20"/>
                <w:szCs w:val="20"/>
                <w:color w:val="auto"/>
              </w:rPr>
            </w:pPr>
            <w:r>
              <w:rPr>
                <w:rFonts w:ascii="Arial" w:cs="Arial" w:eastAsia="Arial" w:hAnsi="Arial"/>
                <w:sz w:val="15"/>
                <w:szCs w:val="15"/>
                <w:color w:val="auto"/>
              </w:rPr>
              <w:t>233</w:t>
            </w:r>
          </w:p>
        </w:tc>
        <w:tc>
          <w:tcPr>
            <w:tcW w:w="540" w:type="dxa"/>
            <w:vAlign w:val="bottom"/>
          </w:tcPr>
          <w:p>
            <w:pPr>
              <w:jc w:val="right"/>
              <w:ind w:right="87"/>
              <w:spacing w:after="0"/>
              <w:rPr>
                <w:sz w:val="20"/>
                <w:szCs w:val="20"/>
                <w:color w:val="auto"/>
              </w:rPr>
            </w:pPr>
            <w:r>
              <w:rPr>
                <w:rFonts w:ascii="Arial" w:cs="Arial" w:eastAsia="Arial" w:hAnsi="Arial"/>
                <w:sz w:val="15"/>
                <w:szCs w:val="15"/>
                <w:color w:val="auto"/>
              </w:rPr>
              <w:t>105</w:t>
            </w:r>
          </w:p>
        </w:tc>
        <w:tc>
          <w:tcPr>
            <w:tcW w:w="320" w:type="dxa"/>
            <w:vAlign w:val="bottom"/>
            <w:tcBorders>
              <w:right w:val="single" w:sz="8" w:color="auto"/>
            </w:tcBorders>
          </w:tcPr>
          <w:p>
            <w:pPr>
              <w:spacing w:after="0"/>
              <w:rPr>
                <w:sz w:val="20"/>
                <w:szCs w:val="20"/>
                <w:color w:val="auto"/>
              </w:rPr>
            </w:pP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(222)</w:t>
            </w:r>
          </w:p>
        </w:tc>
      </w:tr>
      <w:tr>
        <w:trPr>
          <w:trHeight w:val="226"/>
        </w:trPr>
        <w:tc>
          <w:tcPr>
            <w:tcW w:w="272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740" w:type="dxa"/>
            <w:vAlign w:val="bottom"/>
            <w:tcBorders>
              <w:bottom w:val="single" w:sz="8" w:color="C0C0C0"/>
              <w:right w:val="single" w:sz="8" w:color="auto"/>
            </w:tcBorders>
          </w:tcPr>
          <w:p>
            <w:pPr>
              <w:jc w:val="right"/>
              <w:ind w:right="49"/>
              <w:spacing w:after="0"/>
              <w:rPr>
                <w:sz w:val="20"/>
                <w:szCs w:val="20"/>
                <w:color w:val="auto"/>
              </w:rPr>
            </w:pPr>
            <w:r>
              <w:rPr>
                <w:rFonts w:ascii="Arial" w:cs="Arial" w:eastAsia="Arial" w:hAnsi="Arial"/>
                <w:sz w:val="15"/>
                <w:szCs w:val="15"/>
                <w:color w:val="auto"/>
              </w:rPr>
              <w:t>(468)</w:t>
            </w:r>
          </w:p>
        </w:tc>
        <w:tc>
          <w:tcPr>
            <w:tcW w:w="260" w:type="dxa"/>
            <w:vAlign w:val="bottom"/>
            <w:tcBorders>
              <w:bottom w:val="single" w:sz="8" w:color="C0C0C0"/>
            </w:tcBorders>
          </w:tcPr>
          <w:p>
            <w:pPr>
              <w:spacing w:after="0"/>
              <w:rPr>
                <w:sz w:val="19"/>
                <w:szCs w:val="19"/>
                <w:color w:val="auto"/>
              </w:rPr>
            </w:pPr>
          </w:p>
        </w:tc>
        <w:tc>
          <w:tcPr>
            <w:tcW w:w="520" w:type="dxa"/>
            <w:vAlign w:val="bottom"/>
          </w:tcPr>
          <w:p>
            <w:pPr>
              <w:jc w:val="right"/>
              <w:ind w:right="69"/>
              <w:spacing w:after="0"/>
              <w:rPr>
                <w:sz w:val="20"/>
                <w:szCs w:val="20"/>
                <w:color w:val="auto"/>
              </w:rPr>
            </w:pPr>
            <w:r>
              <w:rPr>
                <w:rFonts w:ascii="Arial" w:cs="Arial" w:eastAsia="Arial" w:hAnsi="Arial"/>
                <w:sz w:val="15"/>
                <w:szCs w:val="15"/>
                <w:color w:val="auto"/>
              </w:rPr>
              <w:t>241</w:t>
            </w:r>
          </w:p>
        </w:tc>
        <w:tc>
          <w:tcPr>
            <w:tcW w:w="540" w:type="dxa"/>
            <w:vAlign w:val="bottom"/>
            <w:tcBorders>
              <w:bottom w:val="single" w:sz="8" w:color="C0C0C0"/>
            </w:tcBorders>
          </w:tcPr>
          <w:p>
            <w:pPr>
              <w:jc w:val="right"/>
              <w:ind w:right="87"/>
              <w:spacing w:after="0"/>
              <w:rPr>
                <w:sz w:val="20"/>
                <w:szCs w:val="20"/>
                <w:color w:val="auto"/>
              </w:rPr>
            </w:pPr>
            <w:r>
              <w:rPr>
                <w:rFonts w:ascii="Arial" w:cs="Arial" w:eastAsia="Arial" w:hAnsi="Arial"/>
                <w:sz w:val="15"/>
                <w:szCs w:val="15"/>
                <w:color w:val="auto"/>
              </w:rPr>
              <w:t>106</w:t>
            </w:r>
          </w:p>
        </w:tc>
        <w:tc>
          <w:tcPr>
            <w:tcW w:w="320" w:type="dxa"/>
            <w:vAlign w:val="bottom"/>
            <w:tcBorders>
              <w:bottom w:val="single" w:sz="8" w:color="C0C0C0"/>
              <w:right w:val="single" w:sz="8" w:color="auto"/>
            </w:tcBorders>
          </w:tcPr>
          <w:p>
            <w:pPr>
              <w:spacing w:after="0"/>
              <w:rPr>
                <w:sz w:val="19"/>
                <w:szCs w:val="19"/>
                <w:color w:val="auto"/>
              </w:rPr>
            </w:pPr>
          </w:p>
        </w:tc>
        <w:tc>
          <w:tcPr>
            <w:tcW w:w="820" w:type="dxa"/>
            <w:vAlign w:val="bottom"/>
            <w:tcBorders>
              <w:bottom w:val="single" w:sz="8" w:color="C0C0C0"/>
            </w:tcBorders>
          </w:tcPr>
          <w:p>
            <w:pPr>
              <w:jc w:val="right"/>
              <w:ind w:right="9"/>
              <w:spacing w:after="0"/>
              <w:rPr>
                <w:sz w:val="20"/>
                <w:szCs w:val="20"/>
                <w:color w:val="auto"/>
              </w:rPr>
            </w:pPr>
            <w:r>
              <w:rPr>
                <w:rFonts w:ascii="Arial" w:cs="Arial" w:eastAsia="Arial" w:hAnsi="Arial"/>
                <w:sz w:val="15"/>
                <w:szCs w:val="15"/>
                <w:color w:val="auto"/>
              </w:rPr>
              <w:t>(227)</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used in investing activities at Sempra Energy increased in 2010 primarily due to:</w:t>
      </w:r>
    </w:p>
    <w:p>
      <w:pPr>
        <w:spacing w:after="0" w:line="60" w:lineRule="exact"/>
        <w:rPr>
          <w:sz w:val="20"/>
          <w:szCs w:val="20"/>
          <w:color w:val="auto"/>
        </w:rPr>
      </w:pPr>
    </w:p>
    <w:p>
      <w:pPr>
        <w:ind w:left="140" w:right="1320"/>
        <w:spacing w:after="0" w:line="276" w:lineRule="auto"/>
        <w:rPr>
          <w:sz w:val="20"/>
          <w:szCs w:val="20"/>
          <w:color w:val="auto"/>
        </w:rPr>
      </w:pPr>
      <w:r>
        <w:rPr>
          <w:rFonts w:ascii="Arial" w:cs="Arial" w:eastAsia="Arial" w:hAnsi="Arial"/>
          <w:sz w:val="16"/>
          <w:szCs w:val="16"/>
          <w:i w:val="1"/>
          <w:iCs w:val="1"/>
          <w:color w:val="auto"/>
        </w:rPr>
        <w:t>§Sempra Pipelines &amp; Storage’s $285 million acquisition (net of cash acquired) resulting in the purchase of Mexican pipeline and na tural gas infrastructure assets; and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§$176 million proceeds from remarketing of industrial development bonds in 2009;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right="1500"/>
        <w:spacing w:after="0" w:line="276" w:lineRule="auto"/>
        <w:rPr>
          <w:sz w:val="20"/>
          <w:szCs w:val="20"/>
          <w:color w:val="auto"/>
        </w:rPr>
      </w:pPr>
      <w:r>
        <w:rPr>
          <w:rFonts w:ascii="Arial" w:cs="Arial" w:eastAsia="Arial" w:hAnsi="Arial"/>
          <w:sz w:val="16"/>
          <w:szCs w:val="16"/>
          <w:i w:val="1"/>
          <w:iCs w:val="1"/>
          <w:color w:val="auto"/>
        </w:rPr>
        <w:t>§$148 million lower contributions to Rockies Express. The $65 million contribution in the first quarter of 2010 was the last required for the construction phase of the project;</w:t>
      </w:r>
    </w:p>
    <w:p>
      <w:pPr>
        <w:spacing w:after="0" w:line="15" w:lineRule="exact"/>
        <w:rPr>
          <w:sz w:val="20"/>
          <w:szCs w:val="20"/>
          <w:color w:val="auto"/>
        </w:rPr>
      </w:pPr>
    </w:p>
    <w:p>
      <w:pPr>
        <w:ind w:left="140" w:right="1160"/>
        <w:spacing w:after="0" w:line="276" w:lineRule="auto"/>
        <w:rPr>
          <w:sz w:val="20"/>
          <w:szCs w:val="20"/>
          <w:color w:val="auto"/>
        </w:rPr>
      </w:pPr>
      <w:r>
        <w:rPr>
          <w:rFonts w:ascii="Arial" w:cs="Arial" w:eastAsia="Arial" w:hAnsi="Arial"/>
          <w:sz w:val="16"/>
          <w:szCs w:val="16"/>
          <w:i w:val="1"/>
          <w:iCs w:val="1"/>
          <w:color w:val="auto"/>
        </w:rPr>
        <w:t>§$99 million decrease in capital expenditures primarily due to the completion of Sempra LNG’s Cameron receipt terminal and the nitrogen-injection facility at its Energía Costa Azul receipt terminal; and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§$27 million higher distributions from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increase in cash used in investing activities at SDG&amp;E in 2010 was due to:</w:t>
      </w:r>
    </w:p>
    <w:p>
      <w:pPr>
        <w:spacing w:after="0" w:line="60" w:lineRule="exact"/>
        <w:rPr>
          <w:sz w:val="20"/>
          <w:szCs w:val="20"/>
          <w:color w:val="auto"/>
        </w:rPr>
      </w:pPr>
    </w:p>
    <w:p>
      <w:pPr>
        <w:ind w:left="140" w:right="2140"/>
        <w:spacing w:after="0" w:line="328" w:lineRule="auto"/>
        <w:rPr>
          <w:sz w:val="20"/>
          <w:szCs w:val="20"/>
          <w:color w:val="auto"/>
        </w:rPr>
      </w:pPr>
      <w:r>
        <w:rPr>
          <w:rFonts w:ascii="Arial" w:cs="Arial" w:eastAsia="Arial" w:hAnsi="Arial"/>
          <w:sz w:val="16"/>
          <w:szCs w:val="16"/>
          <w:i w:val="1"/>
          <w:iCs w:val="1"/>
          <w:color w:val="auto"/>
        </w:rPr>
        <w:t>§a $79 million net increase in capital expenditures (a $141 million increase at SDG&amp;E, offset by a decrease of $62 million at Otay Mesa VIE); §net proceeds of $24 million related to industrial development bonds in 2009; and §a $19 million lower decrease in loans to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 and SoCalGas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used in investing activities at PE and SoCalGas increased in 2010 primarily due to a $254 million increase in advances from SoCalGas to Sempra Energy in 2010.</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CONSTRUCTION EXPENDITURES AND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amounts and timing of capital expenditures are generally subject to approvals by the CPUC, the Federal Energy Regulatory Commission (FERC) and other regulatory bodies.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However, in 2010, we expect to make capital expenditures and investments of $2.9 billion, including:</w:t>
      </w:r>
    </w:p>
    <w:p>
      <w:pPr>
        <w:spacing w:after="0" w:line="53" w:lineRule="exact"/>
        <w:rPr>
          <w:sz w:val="20"/>
          <w:szCs w:val="20"/>
          <w:color w:val="auto"/>
        </w:rPr>
      </w:pPr>
    </w:p>
    <w:p>
      <w:pPr>
        <w:ind w:left="140" w:right="1620"/>
        <w:spacing w:after="0" w:line="276" w:lineRule="auto"/>
        <w:rPr>
          <w:sz w:val="20"/>
          <w:szCs w:val="20"/>
          <w:color w:val="auto"/>
        </w:rPr>
      </w:pPr>
      <w:r>
        <w:rPr>
          <w:rFonts w:ascii="Arial" w:cs="Arial" w:eastAsia="Arial" w:hAnsi="Arial"/>
          <w:sz w:val="16"/>
          <w:szCs w:val="16"/>
          <w:i w:val="1"/>
          <w:iCs w:val="1"/>
          <w:color w:val="auto"/>
        </w:rPr>
        <w:t>§$2 billion at the Sempra Utilities (excluding Otay Mesa VIE) for capital projects and plant improvements ($1.4 billion at SDG&amp;E and $600 million at SoCalGas)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§$900 million at our other subsidiaries for the development of natural gas storage facilities and pipelines, and renewable generation projects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Sempra Utilities expect the capital expenditures to include:</w:t>
      </w:r>
    </w:p>
    <w:p>
      <w:pPr>
        <w:spacing w:after="0" w:line="60" w:lineRule="exact"/>
        <w:rPr>
          <w:sz w:val="20"/>
          <w:szCs w:val="20"/>
          <w:color w:val="auto"/>
        </w:rPr>
      </w:pPr>
    </w:p>
    <w:p>
      <w:pPr>
        <w:ind w:left="140" w:right="1400"/>
        <w:spacing w:after="0" w:line="276" w:lineRule="auto"/>
        <w:rPr>
          <w:sz w:val="20"/>
          <w:szCs w:val="20"/>
          <w:color w:val="auto"/>
        </w:rPr>
      </w:pPr>
      <w:r>
        <w:rPr>
          <w:rFonts w:ascii="Arial" w:cs="Arial" w:eastAsia="Arial" w:hAnsi="Arial"/>
          <w:sz w:val="16"/>
          <w:szCs w:val="16"/>
          <w:i w:val="1"/>
          <w:iCs w:val="1"/>
          <w:color w:val="auto"/>
        </w:rPr>
        <w:t>§$780 million for additions to SDG&amp;E’s natural gas and electric distribution systems, advanced metering infrastructure, and electric generation plant and equipment</w:t>
      </w:r>
    </w:p>
    <w:p>
      <w:pPr>
        <w:spacing w:after="0" w:line="15" w:lineRule="exact"/>
        <w:rPr>
          <w:sz w:val="20"/>
          <w:szCs w:val="20"/>
          <w:color w:val="auto"/>
        </w:rPr>
      </w:pPr>
    </w:p>
    <w:p>
      <w:pPr>
        <w:ind w:left="140" w:right="3040"/>
        <w:spacing w:after="0" w:line="317" w:lineRule="auto"/>
        <w:rPr>
          <w:sz w:val="20"/>
          <w:szCs w:val="20"/>
          <w:color w:val="auto"/>
        </w:rPr>
      </w:pPr>
      <w:r>
        <w:rPr>
          <w:rFonts w:ascii="Arial" w:cs="Arial" w:eastAsia="Arial" w:hAnsi="Arial"/>
          <w:sz w:val="16"/>
          <w:szCs w:val="16"/>
          <w:i w:val="1"/>
          <w:iCs w:val="1"/>
          <w:color w:val="auto"/>
        </w:rPr>
        <w:t>§$600 million at SoCalGas for improvements to distribution and transmission systems, and for advanced metering infrastructure §$490 million at SDG&amp;E for the Sunrise Powerlink transmission line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§$190 million for improvements to SDG&amp;E’s electric transmission infrastructure</w:t>
      </w:r>
    </w:p>
    <w:p>
      <w:pPr>
        <w:spacing w:after="0" w:line="157"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i w:val="1"/>
          <w:iCs w:val="1"/>
          <w:color w:val="auto"/>
        </w:rPr>
        <w:t>The Sempra Utilities expect to finance these expenditures and investments with cash flows from operations, cash on hand and debt issuances. These amounts do not include expected capital expenditures of Otay Mesa VIE.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expected capital expenditures of $900 million at our other subsidiaries include:</w:t>
      </w:r>
    </w:p>
    <w:p>
      <w:pPr>
        <w:sectPr>
          <w:pgSz w:w="11900" w:h="16838" w:orient="portrait"/>
          <w:cols w:equalWidth="0" w:num="1">
            <w:col w:w="11360"/>
          </w:cols>
          <w:pgMar w:left="240" w:top="131" w:right="299" w:bottom="1" w:gutter="0" w:footer="0" w:header="0"/>
        </w:sectPr>
      </w:pPr>
    </w:p>
    <w:p>
      <w:pPr>
        <w:spacing w:after="0" w:line="60" w:lineRule="exact"/>
        <w:rPr>
          <w:sz w:val="20"/>
          <w:szCs w:val="20"/>
          <w:color w:val="auto"/>
        </w:rPr>
      </w:pPr>
    </w:p>
    <w:p>
      <w:pPr>
        <w:ind w:left="140" w:right="1620"/>
        <w:spacing w:after="0" w:line="276" w:lineRule="auto"/>
        <w:rPr>
          <w:sz w:val="20"/>
          <w:szCs w:val="20"/>
          <w:color w:val="auto"/>
        </w:rPr>
      </w:pPr>
      <w:r>
        <w:rPr>
          <w:rFonts w:ascii="Arial" w:cs="Arial" w:eastAsia="Arial" w:hAnsi="Arial"/>
          <w:sz w:val="16"/>
          <w:szCs w:val="16"/>
          <w:i w:val="1"/>
          <w:iCs w:val="1"/>
          <w:color w:val="auto"/>
        </w:rPr>
        <w:t>§approximately $150 million to $250 million for Copper Mountain Solar (a 48-megawatt (MW) solar generation facility under construction by Sempra Generation in Boulder City, Nevada);</w:t>
      </w:r>
    </w:p>
    <w:p>
      <w:pPr>
        <w:sectPr>
          <w:pgSz w:w="11900" w:h="16838" w:orient="portrait"/>
          <w:cols w:equalWidth="0" w:num="1">
            <w:col w:w="11360"/>
          </w:cols>
          <w:pgMar w:left="240" w:top="131" w:right="299" w:bottom="1" w:gutter="0" w:footer="0" w:header="0"/>
          <w:type w:val="continuous"/>
        </w:sectPr>
      </w:pPr>
    </w:p>
    <w:bookmarkStart w:id="51" w:name="page52"/>
    <w:bookmarkEnd w:id="51"/>
    <w:p>
      <w:pPr>
        <w:spacing w:after="0" w:line="10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§approximately $250 million to $300 million for Sempra Pipelines &amp; Storage’s contribution to Rockies Express and the development of natural gas storage projects at Bay Gas and Mississippi Hub; and</w:t>
      </w:r>
    </w:p>
    <w:p>
      <w:pPr>
        <w:spacing w:after="0" w:line="161" w:lineRule="exact"/>
        <w:rPr>
          <w:sz w:val="20"/>
          <w:szCs w:val="20"/>
          <w:color w:val="auto"/>
        </w:rPr>
      </w:pPr>
    </w:p>
    <w:p>
      <w:pPr>
        <w:ind w:left="140" w:right="1260"/>
        <w:spacing w:after="0" w:line="310" w:lineRule="auto"/>
        <w:rPr>
          <w:sz w:val="20"/>
          <w:szCs w:val="20"/>
          <w:color w:val="auto"/>
        </w:rPr>
      </w:pPr>
      <w:r>
        <w:rPr>
          <w:rFonts w:ascii="Arial" w:cs="Arial" w:eastAsia="Arial" w:hAnsi="Arial"/>
          <w:sz w:val="15"/>
          <w:szCs w:val="15"/>
          <w:i w:val="1"/>
          <w:iCs w:val="1"/>
          <w:color w:val="auto"/>
        </w:rPr>
        <w:t>§approximately $300 million for Sempra Pipelines &amp; Storage’s acquisition resulting in the purchase of Mexican pipeline and natural gas infrastructure assets which closed in April 2010 and that we discuss in Note 3 of the Notes to Condensed Consolidated Financial Statements herein.</w:t>
      </w:r>
    </w:p>
    <w:p>
      <w:pPr>
        <w:spacing w:after="0" w:line="90"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i w:val="1"/>
          <w:iCs w:val="1"/>
          <w:color w:val="auto"/>
        </w:rPr>
        <w:t>Our level of capital expenditures and investments in the next few years may vary substantially and will depend on the cost and availability of financing, regulatory approvals and business opportunities providing desirable rates of return. We int end to finance our capital expenditures in a manner that will maintain our strong investment-grade ratings and capital structure.</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3486785" cy="294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6785" cy="294005"/>
                    </a:xfrm>
                    <a:prstGeom prst="rect">
                      <a:avLst/>
                    </a:prstGeom>
                    <a:noFill/>
                  </pic:spPr>
                </pic:pic>
              </a:graphicData>
            </a:graphic>
          </wp:anchor>
        </w:drawing>
      </w:r>
    </w:p>
    <w:p>
      <w:pPr>
        <w:spacing w:after="0" w:line="36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CASH FLOWS FROM FINANCING ACTIVITIES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19"/>
        </w:trPr>
        <w:tc>
          <w:tcPr>
            <w:tcW w:w="212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249"/>
              <w:spacing w:after="0"/>
              <w:rPr>
                <w:sz w:val="20"/>
                <w:szCs w:val="20"/>
                <w:color w:val="auto"/>
              </w:rPr>
            </w:pPr>
            <w:r>
              <w:rPr>
                <w:rFonts w:ascii="Arial" w:cs="Arial" w:eastAsia="Arial" w:hAnsi="Arial"/>
                <w:sz w:val="13"/>
                <w:szCs w:val="13"/>
                <w:color w:val="auto"/>
              </w:rPr>
              <w:t>2010</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3"/>
                <w:szCs w:val="13"/>
                <w:color w:val="auto"/>
              </w:rPr>
              <w:t>2010 Change</w:t>
            </w:r>
          </w:p>
        </w:tc>
        <w:tc>
          <w:tcPr>
            <w:tcW w:w="3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2009</w:t>
            </w:r>
          </w:p>
        </w:tc>
      </w:tr>
      <w:tr>
        <w:trPr>
          <w:trHeight w:val="182"/>
        </w:trPr>
        <w:tc>
          <w:tcPr>
            <w:tcW w:w="2120" w:type="dxa"/>
            <w:vAlign w:val="bottom"/>
          </w:tcPr>
          <w:p>
            <w:pPr>
              <w:ind w:left="100"/>
              <w:spacing w:after="0"/>
              <w:rPr>
                <w:sz w:val="20"/>
                <w:szCs w:val="20"/>
                <w:color w:val="auto"/>
              </w:rPr>
            </w:pPr>
            <w:r>
              <w:rPr>
                <w:rFonts w:ascii="Arial" w:cs="Arial" w:eastAsia="Arial" w:hAnsi="Arial"/>
                <w:sz w:val="15"/>
                <w:szCs w:val="15"/>
                <w:color w:val="auto"/>
                <w:w w:val="92"/>
              </w:rPr>
              <w:t>Sempra Energy Consolidated   $</w:t>
            </w:r>
          </w:p>
        </w:tc>
        <w:tc>
          <w:tcPr>
            <w:tcW w:w="640" w:type="dxa"/>
            <w:vAlign w:val="bottom"/>
            <w:tcBorders>
              <w:right w:val="single" w:sz="8" w:color="auto"/>
            </w:tcBorders>
          </w:tcPr>
          <w:p>
            <w:pPr>
              <w:jc w:val="right"/>
              <w:ind w:right="49"/>
              <w:spacing w:after="0"/>
              <w:rPr>
                <w:sz w:val="20"/>
                <w:szCs w:val="20"/>
                <w:color w:val="auto"/>
              </w:rPr>
            </w:pPr>
            <w:r>
              <w:rPr>
                <w:rFonts w:ascii="Arial" w:cs="Arial" w:eastAsia="Arial" w:hAnsi="Arial"/>
                <w:sz w:val="15"/>
                <w:szCs w:val="15"/>
                <w:color w:val="auto"/>
              </w:rPr>
              <w:t>(62)</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9"/>
              <w:spacing w:after="0"/>
              <w:rPr>
                <w:sz w:val="20"/>
                <w:szCs w:val="20"/>
                <w:color w:val="auto"/>
              </w:rPr>
            </w:pPr>
            <w:r>
              <w:rPr>
                <w:rFonts w:ascii="Arial" w:cs="Arial" w:eastAsia="Arial" w:hAnsi="Arial"/>
                <w:sz w:val="15"/>
                <w:szCs w:val="15"/>
                <w:color w:val="auto"/>
              </w:rPr>
              <w:t>(11)</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(22)</w:t>
            </w:r>
          </w:p>
        </w:tc>
        <w:tc>
          <w:tcPr>
            <w:tcW w:w="340" w:type="dxa"/>
            <w:vAlign w:val="bottom"/>
            <w:tcBorders>
              <w:right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9"/>
              <w:spacing w:after="0"/>
              <w:rPr>
                <w:sz w:val="20"/>
                <w:szCs w:val="20"/>
                <w:color w:val="auto"/>
              </w:rPr>
            </w:pPr>
            <w:r>
              <w:rPr>
                <w:rFonts w:ascii="Arial" w:cs="Arial" w:eastAsia="Arial" w:hAnsi="Arial"/>
                <w:sz w:val="15"/>
                <w:szCs w:val="15"/>
                <w:color w:val="auto"/>
              </w:rPr>
              <w:t>(51)</w:t>
            </w:r>
          </w:p>
        </w:tc>
      </w:tr>
      <w:tr>
        <w:trPr>
          <w:trHeight w:val="219"/>
        </w:trPr>
        <w:tc>
          <w:tcPr>
            <w:tcW w:w="2120" w:type="dxa"/>
            <w:vAlign w:val="bottom"/>
          </w:tcPr>
          <w:p>
            <w:pPr>
              <w:ind w:left="100"/>
              <w:spacing w:after="0"/>
              <w:rPr>
                <w:sz w:val="20"/>
                <w:szCs w:val="20"/>
                <w:color w:val="auto"/>
              </w:rPr>
            </w:pPr>
            <w:r>
              <w:rPr>
                <w:rFonts w:ascii="Arial" w:cs="Arial" w:eastAsia="Arial" w:hAnsi="Arial"/>
                <w:sz w:val="15"/>
                <w:szCs w:val="15"/>
                <w:color w:val="auto"/>
              </w:rPr>
              <w:t>SDG&amp;E</w:t>
            </w:r>
          </w:p>
        </w:tc>
        <w:tc>
          <w:tcPr>
            <w:tcW w:w="640" w:type="dxa"/>
            <w:vAlign w:val="bottom"/>
            <w:tcBorders>
              <w:right w:val="single" w:sz="8" w:color="auto"/>
            </w:tcBorders>
          </w:tcPr>
          <w:p>
            <w:pPr>
              <w:jc w:val="right"/>
              <w:ind w:right="89"/>
              <w:spacing w:after="0"/>
              <w:rPr>
                <w:sz w:val="20"/>
                <w:szCs w:val="20"/>
                <w:color w:val="auto"/>
              </w:rPr>
            </w:pPr>
            <w:r>
              <w:rPr>
                <w:rFonts w:ascii="Arial" w:cs="Arial" w:eastAsia="Arial" w:hAnsi="Arial"/>
                <w:sz w:val="15"/>
                <w:szCs w:val="15"/>
                <w:color w:val="auto"/>
              </w:rPr>
              <w:t>303</w:t>
            </w:r>
          </w:p>
        </w:tc>
        <w:tc>
          <w:tcPr>
            <w:tcW w:w="280" w:type="dxa"/>
            <w:vAlign w:val="bottom"/>
          </w:tcPr>
          <w:p>
            <w:pPr>
              <w:spacing w:after="0"/>
              <w:rPr>
                <w:sz w:val="19"/>
                <w:szCs w:val="19"/>
                <w:color w:val="auto"/>
              </w:rPr>
            </w:pPr>
          </w:p>
        </w:tc>
        <w:tc>
          <w:tcPr>
            <w:tcW w:w="580" w:type="dxa"/>
            <w:vAlign w:val="bottom"/>
          </w:tcPr>
          <w:p>
            <w:pPr>
              <w:jc w:val="right"/>
              <w:ind w:right="89"/>
              <w:spacing w:after="0"/>
              <w:rPr>
                <w:sz w:val="20"/>
                <w:szCs w:val="20"/>
                <w:color w:val="auto"/>
              </w:rPr>
            </w:pPr>
            <w:r>
              <w:rPr>
                <w:rFonts w:ascii="Arial" w:cs="Arial" w:eastAsia="Arial" w:hAnsi="Arial"/>
                <w:sz w:val="15"/>
                <w:szCs w:val="15"/>
                <w:color w:val="auto"/>
              </w:rPr>
              <w:t>96</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46</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49"/>
              <w:spacing w:after="0"/>
              <w:rPr>
                <w:sz w:val="20"/>
                <w:szCs w:val="20"/>
                <w:color w:val="auto"/>
              </w:rPr>
            </w:pPr>
            <w:r>
              <w:rPr>
                <w:rFonts w:ascii="Arial" w:cs="Arial" w:eastAsia="Arial" w:hAnsi="Arial"/>
                <w:sz w:val="15"/>
                <w:szCs w:val="15"/>
                <w:color w:val="auto"/>
              </w:rPr>
              <w:t>207</w:t>
            </w:r>
          </w:p>
        </w:tc>
      </w:tr>
      <w:tr>
        <w:trPr>
          <w:trHeight w:val="219"/>
        </w:trPr>
        <w:tc>
          <w:tcPr>
            <w:tcW w:w="2120" w:type="dxa"/>
            <w:vAlign w:val="bottom"/>
          </w:tcPr>
          <w:p>
            <w:pPr>
              <w:ind w:left="100"/>
              <w:spacing w:after="0"/>
              <w:rPr>
                <w:sz w:val="20"/>
                <w:szCs w:val="20"/>
                <w:color w:val="auto"/>
              </w:rPr>
            </w:pPr>
            <w:r>
              <w:rPr>
                <w:rFonts w:ascii="Arial" w:cs="Arial" w:eastAsia="Arial" w:hAnsi="Arial"/>
                <w:sz w:val="15"/>
                <w:szCs w:val="15"/>
                <w:color w:val="auto"/>
              </w:rPr>
              <w:t>PE</w:t>
            </w:r>
          </w:p>
        </w:tc>
        <w:tc>
          <w:tcPr>
            <w:tcW w:w="640" w:type="dxa"/>
            <w:vAlign w:val="bottom"/>
            <w:tcBorders>
              <w:right w:val="single" w:sz="8" w:color="auto"/>
            </w:tcBorders>
          </w:tcPr>
          <w:p>
            <w:pPr>
              <w:jc w:val="right"/>
              <w:ind w:right="49"/>
              <w:spacing w:after="0"/>
              <w:rPr>
                <w:sz w:val="20"/>
                <w:szCs w:val="20"/>
                <w:color w:val="auto"/>
              </w:rPr>
            </w:pPr>
            <w:r>
              <w:rPr>
                <w:rFonts w:ascii="Arial" w:cs="Arial" w:eastAsia="Arial" w:hAnsi="Arial"/>
                <w:sz w:val="15"/>
                <w:szCs w:val="15"/>
                <w:color w:val="auto"/>
              </w:rPr>
              <w:t>(103)</w:t>
            </w:r>
          </w:p>
        </w:tc>
        <w:tc>
          <w:tcPr>
            <w:tcW w:w="280" w:type="dxa"/>
            <w:vAlign w:val="bottom"/>
          </w:tcPr>
          <w:p>
            <w:pPr>
              <w:spacing w:after="0"/>
              <w:rPr>
                <w:sz w:val="19"/>
                <w:szCs w:val="19"/>
                <w:color w:val="auto"/>
              </w:rPr>
            </w:pPr>
          </w:p>
        </w:tc>
        <w:tc>
          <w:tcPr>
            <w:tcW w:w="580" w:type="dxa"/>
            <w:vAlign w:val="bottom"/>
          </w:tcPr>
          <w:p>
            <w:pPr>
              <w:jc w:val="right"/>
              <w:ind w:right="49"/>
              <w:spacing w:after="0"/>
              <w:rPr>
                <w:sz w:val="20"/>
                <w:szCs w:val="20"/>
                <w:color w:val="auto"/>
              </w:rPr>
            </w:pPr>
            <w:r>
              <w:rPr>
                <w:rFonts w:ascii="Arial" w:cs="Arial" w:eastAsia="Arial" w:hAnsi="Arial"/>
                <w:sz w:val="15"/>
                <w:szCs w:val="15"/>
                <w:color w:val="auto"/>
              </w:rPr>
              <w:t>(100)</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(3,333)</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9"/>
              <w:spacing w:after="0"/>
              <w:rPr>
                <w:sz w:val="20"/>
                <w:szCs w:val="20"/>
                <w:color w:val="auto"/>
              </w:rPr>
            </w:pPr>
            <w:r>
              <w:rPr>
                <w:rFonts w:ascii="Arial" w:cs="Arial" w:eastAsia="Arial" w:hAnsi="Arial"/>
                <w:sz w:val="15"/>
                <w:szCs w:val="15"/>
                <w:color w:val="auto"/>
              </w:rPr>
              <w:t>(3)</w:t>
            </w:r>
          </w:p>
        </w:tc>
      </w:tr>
      <w:tr>
        <w:trPr>
          <w:trHeight w:val="228"/>
        </w:trPr>
        <w:tc>
          <w:tcPr>
            <w:tcW w:w="2120" w:type="dxa"/>
            <w:vAlign w:val="bottom"/>
            <w:tcBorders>
              <w:bottom w:val="single" w:sz="8" w:color="C0C0C0"/>
            </w:tcBorders>
          </w:tcPr>
          <w:p>
            <w:pPr>
              <w:ind w:left="100"/>
              <w:spacing w:after="0"/>
              <w:rPr>
                <w:sz w:val="20"/>
                <w:szCs w:val="20"/>
                <w:color w:val="auto"/>
              </w:rPr>
            </w:pPr>
            <w:r>
              <w:rPr>
                <w:rFonts w:ascii="Arial" w:cs="Arial" w:eastAsia="Arial" w:hAnsi="Arial"/>
                <w:sz w:val="15"/>
                <w:szCs w:val="15"/>
                <w:color w:val="auto"/>
              </w:rPr>
              <w:t>SoCalGas</w:t>
            </w:r>
          </w:p>
        </w:tc>
        <w:tc>
          <w:tcPr>
            <w:tcW w:w="640" w:type="dxa"/>
            <w:vAlign w:val="bottom"/>
            <w:tcBorders>
              <w:bottom w:val="single" w:sz="8" w:color="C0C0C0"/>
              <w:right w:val="single" w:sz="8" w:color="auto"/>
            </w:tcBorders>
          </w:tcPr>
          <w:p>
            <w:pPr>
              <w:jc w:val="right"/>
              <w:ind w:right="49"/>
              <w:spacing w:after="0"/>
              <w:rPr>
                <w:sz w:val="20"/>
                <w:szCs w:val="20"/>
                <w:color w:val="auto"/>
              </w:rPr>
            </w:pPr>
            <w:r>
              <w:rPr>
                <w:rFonts w:ascii="Arial" w:cs="Arial" w:eastAsia="Arial" w:hAnsi="Arial"/>
                <w:sz w:val="15"/>
                <w:szCs w:val="15"/>
                <w:color w:val="auto"/>
              </w:rPr>
              <w:t>(101)</w:t>
            </w:r>
          </w:p>
        </w:tc>
        <w:tc>
          <w:tcPr>
            <w:tcW w:w="280" w:type="dxa"/>
            <w:vAlign w:val="bottom"/>
            <w:tcBorders>
              <w:bottom w:val="single" w:sz="8" w:color="C0C0C0"/>
            </w:tcBorders>
          </w:tcPr>
          <w:p>
            <w:pPr>
              <w:spacing w:after="0"/>
              <w:rPr>
                <w:sz w:val="19"/>
                <w:szCs w:val="19"/>
                <w:color w:val="auto"/>
              </w:rPr>
            </w:pPr>
          </w:p>
        </w:tc>
        <w:tc>
          <w:tcPr>
            <w:tcW w:w="580" w:type="dxa"/>
            <w:vAlign w:val="bottom"/>
            <w:tcBorders>
              <w:bottom w:val="single" w:sz="8" w:color="C0C0C0"/>
            </w:tcBorders>
          </w:tcPr>
          <w:p>
            <w:pPr>
              <w:jc w:val="right"/>
              <w:ind w:right="49"/>
              <w:spacing w:after="0"/>
              <w:rPr>
                <w:sz w:val="20"/>
                <w:szCs w:val="20"/>
                <w:color w:val="auto"/>
              </w:rPr>
            </w:pPr>
            <w:r>
              <w:rPr>
                <w:rFonts w:ascii="Arial" w:cs="Arial" w:eastAsia="Arial" w:hAnsi="Arial"/>
                <w:sz w:val="15"/>
                <w:szCs w:val="15"/>
                <w:color w:val="auto"/>
              </w:rPr>
              <w:t>(100)</w:t>
            </w:r>
          </w:p>
        </w:tc>
        <w:tc>
          <w:tcPr>
            <w:tcW w:w="740" w:type="dxa"/>
            <w:vAlign w:val="bottom"/>
            <w:tcBorders>
              <w:bottom w:val="single" w:sz="8" w:color="C0C0C0"/>
            </w:tcBorders>
          </w:tcPr>
          <w:p>
            <w:pPr>
              <w:jc w:val="right"/>
              <w:ind w:right="7"/>
              <w:spacing w:after="0"/>
              <w:rPr>
                <w:sz w:val="20"/>
                <w:szCs w:val="20"/>
                <w:color w:val="auto"/>
              </w:rPr>
            </w:pPr>
            <w:r>
              <w:rPr>
                <w:rFonts w:ascii="Arial" w:cs="Arial" w:eastAsia="Arial" w:hAnsi="Arial"/>
                <w:sz w:val="15"/>
                <w:szCs w:val="15"/>
                <w:color w:val="auto"/>
              </w:rPr>
              <w:t>(10,000)</w:t>
            </w:r>
          </w:p>
        </w:tc>
        <w:tc>
          <w:tcPr>
            <w:tcW w:w="340" w:type="dxa"/>
            <w:vAlign w:val="bottom"/>
            <w:tcBorders>
              <w:bottom w:val="single" w:sz="8" w:color="C0C0C0"/>
              <w:right w:val="single" w:sz="8" w:color="auto"/>
            </w:tcBorders>
          </w:tcPr>
          <w:p>
            <w:pPr>
              <w:spacing w:after="0"/>
              <w:rPr>
                <w:sz w:val="19"/>
                <w:szCs w:val="19"/>
                <w:color w:val="auto"/>
              </w:rPr>
            </w:pPr>
          </w:p>
        </w:tc>
        <w:tc>
          <w:tcPr>
            <w:tcW w:w="200" w:type="dxa"/>
            <w:vAlign w:val="bottom"/>
            <w:tcBorders>
              <w:bottom w:val="single" w:sz="8" w:color="C0C0C0"/>
            </w:tcBorders>
          </w:tcPr>
          <w:p>
            <w:pPr>
              <w:spacing w:after="0"/>
              <w:rPr>
                <w:sz w:val="19"/>
                <w:szCs w:val="19"/>
                <w:color w:val="auto"/>
              </w:rPr>
            </w:pPr>
          </w:p>
        </w:tc>
        <w:tc>
          <w:tcPr>
            <w:tcW w:w="580" w:type="dxa"/>
            <w:vAlign w:val="bottom"/>
            <w:tcBorders>
              <w:bottom w:val="single" w:sz="8" w:color="C0C0C0"/>
            </w:tcBorders>
          </w:tcPr>
          <w:p>
            <w:pPr>
              <w:jc w:val="right"/>
              <w:ind w:right="9"/>
              <w:spacing w:after="0"/>
              <w:rPr>
                <w:sz w:val="20"/>
                <w:szCs w:val="20"/>
                <w:color w:val="auto"/>
              </w:rPr>
            </w:pPr>
            <w:r>
              <w:rPr>
                <w:rFonts w:ascii="Arial" w:cs="Arial" w:eastAsia="Arial" w:hAnsi="Arial"/>
                <w:sz w:val="15"/>
                <w:szCs w:val="15"/>
                <w:color w:val="auto"/>
              </w:rPr>
              <w:t>(1)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used in financing activities at Sempra Energy in 2010 increased slightly and included the following substantially offsetting activity: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§a $534 million increase in short-term debt in 2010 compared to a $612 million decrease in 2009;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§$94 million for the purchase of the remaining 40-percent ownership interest in Mississippi Hub in 2009;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§$838 million lower issuances of debt;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§$399 million higher debt payments.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provided by financing activities at SDG&amp;E increased primarily due to:</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§$150 million common dividends paid to Sempra Energy in 2009;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§$63 million increase in short-term debt in 2010; </w:t>
      </w:r>
      <w:r>
        <w:rPr>
          <w:rFonts w:ascii="Arial" w:cs="Arial" w:eastAsia="Arial" w:hAnsi="Arial"/>
          <w:sz w:val="16"/>
          <w:szCs w:val="16"/>
          <w:b w:val="1"/>
          <w:bCs w:val="1"/>
          <w:i w:val="1"/>
          <w:i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§$108 million lower issuances of long-term debt; and</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§$5 million higher payments on long-term debt.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 and SoCalGas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used in financing activities at PE and SoCalGas in 2010 increased due to $100 million common dividends paid to Sempra Energy and PE,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102"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We discuss significant changes to contractual commitments at Sempra Energy, SDG&amp;E, PE and SoCalGas in Note 10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370840</wp:posOffset>
            </wp:positionV>
            <wp:extent cx="72599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FACTORS INFLUENCING FUTURE PERFORMANCE</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OVERVIEW</w:t>
      </w:r>
    </w:p>
    <w:p>
      <w:pPr>
        <w:spacing w:after="0" w:line="102"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i w:val="1"/>
          <w:iCs w:val="1"/>
          <w:color w:val="auto"/>
        </w:rPr>
        <w:t>The Sempra Utilities' operations and Sempra Global's long-term contracts generally provide relatively stable earnings and liquidity. However, for the next few years, SDG&amp;E and SoCalGas intend to limit their common stock dividends to reinvest their earnings in significant capital projects. Also, Sempra Generation's contract with the DWR, which provides a significant portion of Sempra Generation's revenues, ends in late 2011. Because it is unable to forecast with certainty future electricity pr ices and the cost of natural gas, contracts it enters into to replace the DWR contract, if obtained, or merchant (daily) sales may provide substantially lower earnings. Sempra Generation is also undertaking several projects for the construction of renewable generation facilities, with planned in-service dates ranging from late 2010 to 2012.</w:t>
      </w:r>
    </w:p>
    <w:p>
      <w:pPr>
        <w:spacing w:after="0" w:line="62" w:lineRule="exact"/>
        <w:rPr>
          <w:sz w:val="20"/>
          <w:szCs w:val="20"/>
          <w:color w:val="auto"/>
        </w:rPr>
      </w:pPr>
    </w:p>
    <w:p>
      <w:pPr>
        <w:spacing w:after="0" w:line="310" w:lineRule="auto"/>
        <w:rPr>
          <w:sz w:val="20"/>
          <w:szCs w:val="20"/>
          <w:color w:val="auto"/>
        </w:rPr>
      </w:pPr>
      <w:r>
        <w:rPr>
          <w:rFonts w:ascii="Arial" w:cs="Arial" w:eastAsia="Arial" w:hAnsi="Arial"/>
          <w:sz w:val="14"/>
          <w:szCs w:val="14"/>
          <w:i w:val="1"/>
          <w:iCs w:val="1"/>
          <w:color w:val="auto"/>
        </w:rPr>
        <w:t>We expect that Sempra LNG and Sempra Pipelines &amp; Storage will provide relatively stable earnings and liquidity from their current operations. Sempra Pipelines &amp; Storage is also expected to provide earnings from construction programs when completed and other investments, but will require substantial funding for these investments. At Sempra LNG, until there are firm LNG supply or capacity services contracts from third parties that would subscribe to 100 percent of the capacity of Sempra LNG's Cameron receipt terminal, Sempra LNG will seek to purchase and market short-term LNG supplies and sell short-term capacity, which may result in greater variability in revenues and earnings.</w:t>
      </w:r>
    </w:p>
    <w:p>
      <w:pPr>
        <w:spacing w:after="0" w:line="45"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i w:val="1"/>
          <w:iCs w:val="1"/>
          <w:color w:val="auto"/>
        </w:rPr>
        <w:t>The Sempra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As the 2008 General Rate Case provides for fixed annual increases through 2011 rather than adjustments based on inflation indices as in the past, performance will depend on the Sempra Utilities' ability to manage costs, including bad debts. Starting in the third quarter of 2009, SDG&amp;E's liability insurance premiums increased significantly, by approximately $40 million annually, due to the increased costs of wildfire coverage as compared to the previous policy year. Starting in the third quarter of 2010, SDG&amp;E h as secured additional insurance coverage of approximately $560 million with respect to any future wildfire liabilities. SDG&amp;E's maximum loss recovery due to a wildfire incident from insurance carriers is now approximately $960 million, with the remainder of Sempra Energy's business units' maximum coverage for a wildfire incident remaining at $400 million, the same as in the previous policy year. Starting in the third quarter of 2010, SDG&amp;E's insurance premiums increase by approximately $30 million (pretax) annually for the increased coverage.</w:t>
      </w:r>
    </w:p>
    <w:p>
      <w:pPr>
        <w:spacing w:after="0" w:line="66" w:lineRule="exact"/>
        <w:rPr>
          <w:sz w:val="20"/>
          <w:szCs w:val="20"/>
          <w:color w:val="auto"/>
        </w:rPr>
      </w:pPr>
    </w:p>
    <w:p>
      <w:pPr>
        <w:spacing w:after="0" w:line="279" w:lineRule="auto"/>
        <w:rPr>
          <w:sz w:val="20"/>
          <w:szCs w:val="20"/>
          <w:color w:val="auto"/>
        </w:rPr>
      </w:pPr>
      <w:r>
        <w:rPr>
          <w:rFonts w:ascii="Arial" w:cs="Arial" w:eastAsia="Arial" w:hAnsi="Arial"/>
          <w:sz w:val="15"/>
          <w:szCs w:val="15"/>
          <w:i w:val="1"/>
          <w:iCs w:val="1"/>
          <w:color w:val="auto"/>
        </w:rPr>
        <w:t>In regard to the 2007 wildfire litigation, SDG&amp;E has concluded that it is probable that it will be permitted to recover from its utility customers substantially all reasonably incurred costs of resolving wildfire claims in excess of its $1.1 billion of liability insurance coverage and any amounts recovered from other potentially responsible parties. Consequently, Sempra Energy and SDG&amp;E expect no significant earnings impact from the resolution of the remaining wildfire claims. However, SDG&amp;E’s cash flow will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ectPr>
          <w:pgSz w:w="11900" w:h="16946" w:orient="portrait"/>
          <w:cols w:equalWidth="0" w:num="1">
            <w:col w:w="11420"/>
          </w:cols>
          <w:pgMar w:left="240" w:top="131" w:right="239" w:bottom="0" w:gutter="0" w:footer="0" w:header="0"/>
        </w:sectPr>
      </w:pPr>
    </w:p>
    <w:p>
      <w:pPr>
        <w:spacing w:after="0" w:line="63" w:lineRule="exact"/>
        <w:rPr>
          <w:sz w:val="20"/>
          <w:szCs w:val="20"/>
          <w:color w:val="auto"/>
        </w:rPr>
      </w:pPr>
    </w:p>
    <w:p>
      <w:pPr>
        <w:ind w:right="60"/>
        <w:spacing w:after="0" w:line="350" w:lineRule="auto"/>
        <w:rPr>
          <w:sz w:val="20"/>
          <w:szCs w:val="20"/>
          <w:color w:val="auto"/>
        </w:rPr>
      </w:pPr>
      <w:r>
        <w:rPr>
          <w:rFonts w:ascii="Arial" w:cs="Arial" w:eastAsia="Arial" w:hAnsi="Arial"/>
          <w:sz w:val="14"/>
          <w:szCs w:val="14"/>
          <w:i w:val="1"/>
          <w:iCs w:val="1"/>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ectPr>
          <w:pgSz w:w="11900" w:h="16946" w:orient="portrait"/>
          <w:cols w:equalWidth="0" w:num="1">
            <w:col w:w="11420"/>
          </w:cols>
          <w:pgMar w:left="240" w:top="131" w:right="239" w:bottom="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i w:val="1"/>
          <w:iCs w:val="1"/>
          <w:color w:val="auto"/>
        </w:rPr>
        <w:t>We provide additional informatio n concerning these matters in Notes 9 and 10 of the Notes to Condensed Consolidated Financial Statements herein.</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i w:val="1"/>
          <w:iCs w:val="1"/>
          <w:color w:val="auto"/>
        </w:rPr>
        <w:t>SDG&amp;E has a 20-percent ownership interest in San Onofre Nuclear Generating Station (SONGS), a 2,150-MW nuclear generating facility near San Clemente, California. SONGS is operated by Southern California Edison (SCE) and is subject to the jurisdiction of the Nuclear Regulatory Commission (NRC). SCE is currently addressing a number of regulatory and performance issues at SONGS, and the NRC has required SCE to take actions to provide greater assurance of compliance by SONGS personnel. SCE continues to implement plans and address the identified issues, however a number of these issues remain outstanding. To the extent that these issues persist, the likelihood of further required action by SCE persists, which may result in increased SONGS operating costs and/or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 We provide more information about SONGS in Notes 7, 15 and 17 of the Notes to Consolidated Financial Statements in the Annual Report, and in Items 1 and 1A of our 2009 Annual Report on Form 10-K.</w:t>
      </w:r>
    </w:p>
    <w:p>
      <w:pPr>
        <w:spacing w:after="0" w:line="84"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i w:val="1"/>
          <w:iCs w:val="1"/>
          <w:color w:val="auto"/>
        </w:rPr>
        <w:t>In 2008, we completed the formation of a partnership, RBS Sempra Commodities, to own and operate our commodities-marketing businesses, which generally comprised our Sempra Commodities segment. In November 2009, RBS announced its intention to divest its interest in the joint venture following a directive from the European Commission to dispose of certain assets. In February 2010, Sempra Energy, RBS and the partnership entered into an agreement to sell certain businesses within the partnership, which agreement was consummated on July 1, 2010. Our joint venture partner, RBS, continues to be obligated to provide the partnership with all growth capital, working-capital requirements and credit support, as we discuss above in "Capital Resources and Liquidity – Sempra Commodities."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We and RBS continue to engage in an active sales process for the remaining partnership businesses. Based on preliminary indications of value from potential buyers and discussions with our partner with respect to the ultimate allocation of proceeds, we currently believe that our share of the proceeds from the partnership for the sale to J.P. Morgan Ventures and proceeds from the sale or ultimate disposition of the remaining joint venture assets will be sufficient such that their application to our equity method investment will not have a material effect on our earnings. We and RBS are also continuing to discuss amending various provisions to our partnership agreement in light of the sale to J.P. Morgan Ventures and the sales process for the remaining businesses.</w:t>
      </w:r>
    </w:p>
    <w:p>
      <w:pPr>
        <w:spacing w:after="0" w:line="79"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i w:val="1"/>
          <w:iCs w:val="1"/>
          <w:color w:val="auto"/>
        </w:rPr>
        <w:t>Future earnings and distributions from the partnership will depend on the profitability achieved in the partnership's remaining businesses until their final disposition and the continued ability of RBS to provide capital and credit support for the partnership. Results of the joint venture in the first half of 2010 were impacted by low commodity prices and the disruptions caused by the process to sell the partnership's businesses. We provide additional information in Notes 4 and 6 of the Notes to Condensed Consolidated Financial Statements herein and in Notes 3, 4, 6 and 20 of the Notes to Consolidated Financial Statements in the Annual Report.</w:t>
      </w:r>
    </w:p>
    <w:p>
      <w:pPr>
        <w:spacing w:after="0" w:line="60" w:lineRule="exact"/>
        <w:rPr>
          <w:sz w:val="20"/>
          <w:szCs w:val="20"/>
          <w:color w:val="auto"/>
        </w:rPr>
      </w:pPr>
    </w:p>
    <w:p>
      <w:pPr>
        <w:ind w:right="440"/>
        <w:spacing w:after="0" w:line="284" w:lineRule="auto"/>
        <w:rPr>
          <w:sz w:val="20"/>
          <w:szCs w:val="20"/>
          <w:color w:val="auto"/>
        </w:rPr>
      </w:pPr>
      <w:r>
        <w:rPr>
          <w:rFonts w:ascii="Arial" w:cs="Arial" w:eastAsia="Arial" w:hAnsi="Arial"/>
          <w:sz w:val="15"/>
          <w:szCs w:val="15"/>
          <w:i w:val="1"/>
          <w:iCs w:val="1"/>
          <w:color w:val="auto"/>
        </w:rPr>
        <w:t>We may be further impacted by depressed and rapidly changing economic conditions. Moreover, the d ollar has fluctuated significantly compared to some foreign currencies, especially in Mexico and South America where we have significant operations. These factors, coupled with very low natural gas prices which affect profitability 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60"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i w:val="1"/>
          <w:iCs w:val="1"/>
          <w:color w:val="auto"/>
        </w:rPr>
        <w:t>We discuss additional matters that could affect our future performance in Notes 9 and 10 of the Notes to Condensed Consolidated Financial Statements herein and in Notes 15 through 17 of the Notes to Consolidated Financial Statements in the Annual Report.</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DERIVATIVES REFORMS</w:t>
      </w:r>
    </w:p>
    <w:p>
      <w:pPr>
        <w:spacing w:after="0" w:line="102" w:lineRule="exact"/>
        <w:rPr>
          <w:sz w:val="20"/>
          <w:szCs w:val="20"/>
          <w:color w:val="auto"/>
        </w:rPr>
      </w:pPr>
    </w:p>
    <w:p>
      <w:pPr>
        <w:spacing w:after="0" w:line="277" w:lineRule="auto"/>
        <w:rPr>
          <w:sz w:val="20"/>
          <w:szCs w:val="20"/>
          <w:color w:val="auto"/>
        </w:rPr>
      </w:pPr>
      <w:r>
        <w:rPr>
          <w:rFonts w:ascii="Arial" w:cs="Arial" w:eastAsia="Arial" w:hAnsi="Arial"/>
          <w:sz w:val="15"/>
          <w:szCs w:val="15"/>
          <w:i w:val="1"/>
          <w:iCs w:val="1"/>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 cause we would have less ability to tailor OTC derivatives to match the precise risk we are seeking to protect.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describe legal proceedings which could adversely affect our future performance in Note 10 of the Notes to Condensed Consolidated Financial Statements herein.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UTILITIES – INDUSTRY DEVELOPMENTS AND CAPITAL PROJECTS</w:t>
      </w:r>
    </w:p>
    <w:p>
      <w:pPr>
        <w:spacing w:after="0" w:line="102" w:lineRule="exact"/>
        <w:rPr>
          <w:sz w:val="20"/>
          <w:szCs w:val="20"/>
          <w:color w:val="auto"/>
        </w:rPr>
      </w:pPr>
    </w:p>
    <w:p>
      <w:pPr>
        <w:ind w:right="380"/>
        <w:spacing w:after="0" w:line="310" w:lineRule="auto"/>
        <w:rPr>
          <w:sz w:val="20"/>
          <w:szCs w:val="20"/>
          <w:color w:val="auto"/>
        </w:rPr>
      </w:pPr>
      <w:r>
        <w:rPr>
          <w:rFonts w:ascii="Arial" w:cs="Arial" w:eastAsia="Arial" w:hAnsi="Arial"/>
          <w:sz w:val="15"/>
          <w:szCs w:val="15"/>
          <w:i w:val="1"/>
          <w:iCs w:val="1"/>
          <w:color w:val="auto"/>
        </w:rPr>
        <w:t>We describe capital projects, electric and natural gas regulation and rates, and other pending proceedings and investigations that affect our business in Note 9 of the Notes to Condensed Consolidated Financial Statements herein and in Notes 15 and 16 of the Notes to Consolidated Financial Statements in the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 INVESTMENTS</w:t>
      </w:r>
    </w:p>
    <w:p>
      <w:pPr>
        <w:spacing w:after="0" w:line="108"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i w:val="1"/>
          <w:iCs w:val="1"/>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Generation</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Copper Mountain Solar</w:t>
      </w:r>
    </w:p>
    <w:p>
      <w:pPr>
        <w:spacing w:after="0" w:line="10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Pacific Gas and Electric has contracted for 48 MW of solar power from Copper Mountain Solar, a new plant under development in Boulder City, Nevada by Sempra Generation on land adjacent to the 10-MW El Dorado Energy Solar plant. Construction has begun and we expect it to be completed in late 2010.</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Mesquite Solar</w:t>
      </w:r>
    </w:p>
    <w:p>
      <w:pPr>
        <w:spacing w:after="0" w:line="10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i w:val="1"/>
          <w:iCs w:val="1"/>
          <w:color w:val="auto"/>
        </w:rPr>
        <w:t>Mesquite Solar is a photovoltaic generation facility under development by Sempra Generation in Maricopa County, Arizona. When fully developed, the project will be capable of producing approximately 400 to 600 MW of solar power. Mesquite Solar will connect to the 500-kilovolt Hassayampa switchyard via our existing Mesquite Power natural gas generation plant. Construction of the first phase of 150 MW is expected to begin in 2011 and be completed in 2012.</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Pipelines &amp; Storage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Storage Projects</w:t>
      </w:r>
    </w:p>
    <w:p>
      <w:pPr>
        <w:spacing w:after="0" w:line="108" w:lineRule="exact"/>
        <w:rPr>
          <w:sz w:val="20"/>
          <w:szCs w:val="20"/>
          <w:color w:val="auto"/>
        </w:rPr>
      </w:pPr>
    </w:p>
    <w:p>
      <w:pPr>
        <w:ind w:right="520"/>
        <w:spacing w:after="0" w:line="310" w:lineRule="auto"/>
        <w:rPr>
          <w:sz w:val="20"/>
          <w:szCs w:val="20"/>
          <w:color w:val="auto"/>
        </w:rPr>
      </w:pPr>
      <w:r>
        <w:rPr>
          <w:rFonts w:ascii="Arial" w:cs="Arial" w:eastAsia="Arial" w:hAnsi="Arial"/>
          <w:sz w:val="15"/>
          <w:szCs w:val="15"/>
          <w:i w:val="1"/>
          <w:iCs w:val="1"/>
          <w:color w:val="auto"/>
        </w:rPr>
        <w:t>Currently, Sempra Pipelines &amp; Storage has 11.4 billion cubic feet (Bcf) of operational working natural gas storage capacity. We are in construction to increase operational capacity by 12.5 Bcf by the end of 2010 (for a total of 24 Bcf) and we plan to develop as much as 75 Bcf of total storage capacity by 2015.</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Pipelines &amp; Storage’s natural gas storage facilities and projects include</w:t>
      </w:r>
    </w:p>
    <w:p>
      <w:pPr>
        <w:spacing w:after="0" w:line="60" w:lineRule="exact"/>
        <w:rPr>
          <w:sz w:val="20"/>
          <w:szCs w:val="20"/>
          <w:color w:val="auto"/>
        </w:rPr>
      </w:pPr>
    </w:p>
    <w:p>
      <w:pPr>
        <w:ind w:left="140" w:right="1460"/>
        <w:spacing w:after="0" w:line="326" w:lineRule="auto"/>
        <w:rPr>
          <w:sz w:val="20"/>
          <w:szCs w:val="20"/>
          <w:color w:val="auto"/>
        </w:rPr>
      </w:pPr>
      <w:r>
        <w:rPr>
          <w:rFonts w:ascii="Arial" w:cs="Arial" w:eastAsia="Arial" w:hAnsi="Arial"/>
          <w:sz w:val="14"/>
          <w:szCs w:val="14"/>
          <w:i w:val="1"/>
          <w:iCs w:val="1"/>
          <w:color w:val="auto"/>
        </w:rPr>
        <w:t>§Bay Gas Storage Company, a facility located 40 miles north of Mobile, Alabama, that provides underground storage and delivery of natural gas. Sempra Pipelines &amp; Storage owns 91 percent of the project. It is the easternmost storage facility on the Gulf Coast, with direct service to the Florida market.</w:t>
      </w:r>
    </w:p>
    <w:p>
      <w:pPr>
        <w:spacing w:after="0" w:line="1" w:lineRule="exact"/>
        <w:rPr>
          <w:sz w:val="20"/>
          <w:szCs w:val="20"/>
          <w:color w:val="auto"/>
        </w:rPr>
      </w:pPr>
    </w:p>
    <w:p>
      <w:pPr>
        <w:ind w:left="140" w:right="1440"/>
        <w:spacing w:after="0" w:line="326" w:lineRule="auto"/>
        <w:rPr>
          <w:sz w:val="20"/>
          <w:szCs w:val="20"/>
          <w:color w:val="auto"/>
        </w:rPr>
      </w:pPr>
      <w:r>
        <w:rPr>
          <w:rFonts w:ascii="Arial" w:cs="Arial" w:eastAsia="Arial" w:hAnsi="Arial"/>
          <w:sz w:val="14"/>
          <w:szCs w:val="14"/>
          <w:i w:val="1"/>
          <w:iCs w:val="1"/>
          <w:color w:val="auto"/>
        </w:rPr>
        <w:t>§Mississippi Hub storage facility, currently under construction in Simpson County, Mississippi, an underground salt-dome natural gas storage project with planned direct interconnections to the natural gas production areas in eastern Texa s, Oklahoma and Arkansas, as well as the Northeast market.</w:t>
      </w:r>
    </w:p>
    <w:p>
      <w:pPr>
        <w:sectPr>
          <w:pgSz w:w="11900" w:h="16838" w:orient="portrait"/>
          <w:cols w:equalWidth="0" w:num="1">
            <w:col w:w="11420"/>
          </w:cols>
          <w:pgMar w:left="240" w:top="131" w:right="239" w:bottom="0" w:gutter="0" w:footer="0" w:header="0"/>
        </w:sectPr>
      </w:pPr>
    </w:p>
    <w:p>
      <w:pPr>
        <w:spacing w:after="0" w:line="1" w:lineRule="exact"/>
        <w:rPr>
          <w:sz w:val="20"/>
          <w:szCs w:val="20"/>
          <w:color w:val="auto"/>
        </w:rPr>
      </w:pPr>
    </w:p>
    <w:p>
      <w:pPr>
        <w:ind w:left="140" w:right="1720"/>
        <w:spacing w:after="0" w:line="350" w:lineRule="auto"/>
        <w:rPr>
          <w:sz w:val="20"/>
          <w:szCs w:val="20"/>
          <w:color w:val="auto"/>
        </w:rPr>
      </w:pPr>
      <w:r>
        <w:rPr>
          <w:rFonts w:ascii="Arial" w:cs="Arial" w:eastAsia="Arial" w:hAnsi="Arial"/>
          <w:sz w:val="14"/>
          <w:szCs w:val="14"/>
          <w:i w:val="1"/>
          <w:iCs w:val="1"/>
          <w:color w:val="auto"/>
        </w:rPr>
        <w:t>§Liberty Gas Storage Expansion, a salt cavern facility in Cameron Parish, Louisiana. Sempra Pipelines &amp; Storage owns 75 percent of the project and ProLiance Transportation LLC owns the remaining 25 percent. The project’s location provides access to several LNG facilities in the area.</w:t>
      </w:r>
    </w:p>
    <w:p>
      <w:pPr>
        <w:sectPr>
          <w:pgSz w:w="11900" w:h="16838" w:orient="portrait"/>
          <w:cols w:equalWidth="0" w:num="1">
            <w:col w:w="11420"/>
          </w:cols>
          <w:pgMar w:left="240" w:top="131" w:right="239" w:bottom="0" w:gutter="0" w:footer="0" w:header="0"/>
          <w:type w:val="continuous"/>
        </w:sectPr>
      </w:pPr>
    </w:p>
    <w:bookmarkStart w:id="53" w:name="page54"/>
    <w:bookmarkEnd w:id="53"/>
    <w:p>
      <w:pPr>
        <w:spacing w:after="0" w:line="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Acquisition of Mexican Pipeline and Natural Gas Infrastructure</w:t>
      </w:r>
    </w:p>
    <w:p>
      <w:pPr>
        <w:spacing w:after="0" w:line="109"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i w:val="1"/>
          <w:iCs w:val="1"/>
          <w:color w:val="auto"/>
        </w:rPr>
        <w:t>On April 30, 2010, Sempra Pipelines &amp; Storage completed the acquisition resulting in a purchase of the Mexican pipeline and natural gas infrastructure assets of El Paso Corporation for $307 million ($292 million, net of cash acquired).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discuss the acquisition more fully in Note 3 of the Notes to Condensed Consolidat 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399415</wp:posOffset>
            </wp:positionV>
            <wp:extent cx="72599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CRITICAL ACCOUNTING POLICIES AND ESTIMATES</w:t>
      </w:r>
    </w:p>
    <w:p>
      <w:pPr>
        <w:spacing w:after="0" w:line="115"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describe our significant accounting policies in Note 1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NEW ACCOUNTING STANDARDS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370840</wp:posOffset>
            </wp:positionV>
            <wp:extent cx="72599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ITEM 3. QUANTITATIVE AND QUALITATIVE DISCLOSURES ABOUT MARKET RISK</w:t>
      </w:r>
    </w:p>
    <w:p>
      <w:pPr>
        <w:spacing w:after="0" w:line="200" w:lineRule="exact"/>
        <w:rPr>
          <w:sz w:val="20"/>
          <w:szCs w:val="20"/>
          <w:color w:val="auto"/>
        </w:rPr>
      </w:pPr>
    </w:p>
    <w:p>
      <w:pPr>
        <w:spacing w:after="0" w:line="20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table below shows the nominal amount and the one-year VaR for long-term debt, excluding capital lease obligations, at June 30, 2010 and December 31, 2009:</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i w:val="1"/>
                <w:iCs w:val="1"/>
                <w:color w:val="auto"/>
                <w:w w:val="97"/>
              </w:rPr>
              <w:t>Sempra Energy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4"/>
        </w:trPr>
        <w:tc>
          <w:tcPr>
            <w:tcW w:w="2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3"/>
                <w:szCs w:val="13"/>
                <w:color w:val="auto"/>
              </w:rPr>
              <w:t>Consolidated</w:t>
            </w: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color w:val="auto"/>
              </w:rPr>
              <w:t>SDG&amp;E</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3"/>
                <w:szCs w:val="13"/>
                <w:color w:val="auto"/>
              </w:rPr>
              <w:t>PE/SoCalGas</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color w:val="auto"/>
              </w:rPr>
              <w:t>Nominal</w:t>
            </w:r>
          </w:p>
        </w:tc>
        <w:tc>
          <w:tcPr>
            <w:tcW w:w="800" w:type="dxa"/>
            <w:vAlign w:val="bottom"/>
            <w:gridSpan w:val="2"/>
          </w:tcPr>
          <w:p>
            <w:pPr>
              <w:jc w:val="right"/>
              <w:ind w:right="48"/>
              <w:spacing w:after="0"/>
              <w:rPr>
                <w:sz w:val="20"/>
                <w:szCs w:val="20"/>
                <w:color w:val="auto"/>
              </w:rPr>
            </w:pPr>
            <w:r>
              <w:rPr>
                <w:rFonts w:ascii="Arial" w:cs="Arial" w:eastAsia="Arial" w:hAnsi="Arial"/>
                <w:sz w:val="13"/>
                <w:szCs w:val="13"/>
                <w:color w:val="auto"/>
              </w:rPr>
              <w:t>One-Year</w:t>
            </w:r>
          </w:p>
        </w:tc>
        <w:tc>
          <w:tcPr>
            <w:tcW w:w="1680" w:type="dxa"/>
            <w:vAlign w:val="bottom"/>
            <w:gridSpan w:val="2"/>
          </w:tcPr>
          <w:p>
            <w:pPr>
              <w:jc w:val="right"/>
              <w:ind w:right="566"/>
              <w:spacing w:after="0"/>
              <w:rPr>
                <w:sz w:val="20"/>
                <w:szCs w:val="20"/>
                <w:color w:val="auto"/>
              </w:rPr>
            </w:pPr>
            <w:r>
              <w:rPr>
                <w:rFonts w:ascii="Arial" w:cs="Arial" w:eastAsia="Arial" w:hAnsi="Arial"/>
                <w:sz w:val="13"/>
                <w:szCs w:val="13"/>
                <w:color w:val="auto"/>
              </w:rPr>
              <w:t>Nominal</w:t>
            </w:r>
          </w:p>
        </w:tc>
        <w:tc>
          <w:tcPr>
            <w:tcW w:w="120" w:type="dxa"/>
            <w:vAlign w:val="bottom"/>
          </w:tcPr>
          <w:p>
            <w:pPr>
              <w:spacing w:after="0"/>
              <w:rPr>
                <w:sz w:val="18"/>
                <w:szCs w:val="18"/>
                <w:color w:val="auto"/>
              </w:rPr>
            </w:pPr>
          </w:p>
        </w:tc>
        <w:tc>
          <w:tcPr>
            <w:tcW w:w="760" w:type="dxa"/>
            <w:vAlign w:val="bottom"/>
          </w:tcPr>
          <w:p>
            <w:pPr>
              <w:jc w:val="right"/>
              <w:ind w:right="126"/>
              <w:spacing w:after="0"/>
              <w:rPr>
                <w:sz w:val="20"/>
                <w:szCs w:val="20"/>
                <w:color w:val="auto"/>
              </w:rPr>
            </w:pPr>
            <w:r>
              <w:rPr>
                <w:rFonts w:ascii="Arial" w:cs="Arial" w:eastAsia="Arial" w:hAnsi="Arial"/>
                <w:sz w:val="13"/>
                <w:szCs w:val="13"/>
                <w:color w:val="auto"/>
                <w:w w:val="95"/>
              </w:rPr>
              <w:t>One-Year</w:t>
            </w:r>
          </w:p>
        </w:tc>
        <w:tc>
          <w:tcPr>
            <w:tcW w:w="18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color w:val="auto"/>
              </w:rPr>
              <w:t>Nominal</w:t>
            </w:r>
          </w:p>
        </w:tc>
        <w:tc>
          <w:tcPr>
            <w:tcW w:w="820" w:type="dxa"/>
            <w:vAlign w:val="bottom"/>
            <w:gridSpan w:val="2"/>
          </w:tcPr>
          <w:p>
            <w:pPr>
              <w:jc w:val="right"/>
              <w:ind w:right="48"/>
              <w:spacing w:after="0"/>
              <w:rPr>
                <w:sz w:val="20"/>
                <w:szCs w:val="20"/>
                <w:color w:val="auto"/>
              </w:rPr>
            </w:pPr>
            <w:r>
              <w:rPr>
                <w:rFonts w:ascii="Arial" w:cs="Arial" w:eastAsia="Arial" w:hAnsi="Arial"/>
                <w:sz w:val="13"/>
                <w:szCs w:val="13"/>
                <w:color w:val="auto"/>
              </w:rPr>
              <w:t>One-Year</w:t>
            </w:r>
          </w:p>
        </w:tc>
        <w:tc>
          <w:tcPr>
            <w:tcW w:w="0" w:type="dxa"/>
            <w:vAlign w:val="bottom"/>
          </w:tcPr>
          <w:p>
            <w:pPr>
              <w:spacing w:after="0"/>
              <w:rPr>
                <w:sz w:val="1"/>
                <w:szCs w:val="1"/>
                <w:color w:val="auto"/>
              </w:rPr>
            </w:pPr>
          </w:p>
        </w:tc>
      </w:tr>
      <w:tr>
        <w:trPr>
          <w:trHeight w:val="157"/>
        </w:trPr>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Debt</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w w:val="97"/>
              </w:rPr>
              <w:t>VaR(1)</w:t>
            </w:r>
          </w:p>
        </w:tc>
        <w:tc>
          <w:tcPr>
            <w:tcW w:w="168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3"/>
                <w:szCs w:val="13"/>
                <w:color w:val="auto"/>
              </w:rPr>
              <w:t>Debt</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color w:val="auto"/>
              </w:rPr>
              <w:t>VaR(1)</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Debt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color w:val="auto"/>
                <w:w w:val="97"/>
              </w:rPr>
              <w:t>VaR(1)</w:t>
            </w:r>
          </w:p>
        </w:tc>
        <w:tc>
          <w:tcPr>
            <w:tcW w:w="0" w:type="dxa"/>
            <w:vAlign w:val="bottom"/>
          </w:tcPr>
          <w:p>
            <w:pPr>
              <w:spacing w:after="0"/>
              <w:rPr>
                <w:sz w:val="1"/>
                <w:szCs w:val="1"/>
                <w:color w:val="auto"/>
              </w:rPr>
            </w:pPr>
          </w:p>
        </w:tc>
      </w:tr>
      <w:tr>
        <w:trPr>
          <w:trHeight w:val="215"/>
        </w:trPr>
        <w:tc>
          <w:tcPr>
            <w:tcW w:w="2820" w:type="dxa"/>
            <w:vAlign w:val="bottom"/>
          </w:tcPr>
          <w:p>
            <w:pPr>
              <w:ind w:left="100"/>
              <w:spacing w:after="0"/>
              <w:rPr>
                <w:sz w:val="20"/>
                <w:szCs w:val="20"/>
                <w:color w:val="auto"/>
              </w:rPr>
            </w:pPr>
            <w:r>
              <w:rPr>
                <w:rFonts w:ascii="Arial" w:cs="Arial" w:eastAsia="Arial" w:hAnsi="Arial"/>
                <w:sz w:val="15"/>
                <w:szCs w:val="15"/>
                <w:color w:val="auto"/>
              </w:rPr>
              <w:t>At June 30, 2010: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240"/>
              <w:spacing w:after="0"/>
              <w:rPr>
                <w:sz w:val="20"/>
                <w:szCs w:val="20"/>
                <w:color w:val="auto"/>
              </w:rPr>
            </w:pPr>
            <w:r>
              <w:rPr>
                <w:rFonts w:ascii="Arial" w:cs="Arial" w:eastAsia="Arial" w:hAnsi="Arial"/>
                <w:sz w:val="15"/>
                <w:szCs w:val="15"/>
                <w:color w:val="auto"/>
              </w:rPr>
              <w:t>Utility fixed-rate</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3,317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
              <w:spacing w:after="0"/>
              <w:rPr>
                <w:sz w:val="20"/>
                <w:szCs w:val="20"/>
                <w:color w:val="auto"/>
              </w:rPr>
            </w:pPr>
            <w:r>
              <w:rPr>
                <w:rFonts w:ascii="Arial" w:cs="Arial" w:eastAsia="Arial" w:hAnsi="Arial"/>
                <w:sz w:val="15"/>
                <w:szCs w:val="15"/>
                <w:color w:val="auto"/>
              </w:rPr>
              <w:t>520</w:t>
            </w:r>
          </w:p>
        </w:tc>
        <w:tc>
          <w:tcPr>
            <w:tcW w:w="740" w:type="dxa"/>
            <w:vAlign w:val="bottom"/>
          </w:tcPr>
          <w:p>
            <w:pPr>
              <w:ind w:left="1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2,204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410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30"/>
              <w:spacing w:after="0"/>
              <w:rPr>
                <w:sz w:val="20"/>
                <w:szCs w:val="20"/>
                <w:color w:val="auto"/>
              </w:rPr>
            </w:pPr>
            <w:r>
              <w:rPr>
                <w:rFonts w:ascii="Arial" w:cs="Arial" w:eastAsia="Arial" w:hAnsi="Arial"/>
                <w:sz w:val="15"/>
                <w:szCs w:val="15"/>
                <w:color w:val="auto"/>
              </w:rPr>
              <w:t>1,113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8"/>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42</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60"/>
              <w:spacing w:after="0"/>
              <w:rPr>
                <w:sz w:val="20"/>
                <w:szCs w:val="20"/>
                <w:color w:val="auto"/>
              </w:rPr>
            </w:pPr>
            <w:r>
              <w:rPr>
                <w:rFonts w:ascii="Arial" w:cs="Arial" w:eastAsia="Arial" w:hAnsi="Arial"/>
                <w:sz w:val="15"/>
                <w:szCs w:val="15"/>
                <w:color w:val="auto"/>
              </w:rPr>
              <w:t>Utility variable-rate</w:t>
            </w:r>
          </w:p>
        </w:tc>
        <w:tc>
          <w:tcPr>
            <w:tcW w:w="2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756</w:t>
            </w:r>
          </w:p>
        </w:tc>
        <w:tc>
          <w:tcPr>
            <w:tcW w:w="20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5"/>
                <w:szCs w:val="15"/>
                <w:color w:val="auto"/>
              </w:rPr>
              <w:t>42</w:t>
            </w:r>
          </w:p>
        </w:tc>
        <w:tc>
          <w:tcPr>
            <w:tcW w:w="740" w:type="dxa"/>
            <w:vAlign w:val="bottom"/>
          </w:tcPr>
          <w:p>
            <w:pPr>
              <w:spacing w:after="0"/>
              <w:rPr>
                <w:sz w:val="21"/>
                <w:szCs w:val="21"/>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606</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9"/>
                <w:szCs w:val="19"/>
                <w:color w:val="auto"/>
              </w:rPr>
              <w:t>&lt; /td&gt;</w:t>
            </w: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21"/>
                <w:szCs w:val="21"/>
                <w:color w:val="auto"/>
              </w:rPr>
            </w:pPr>
          </w:p>
        </w:tc>
        <w:tc>
          <w:tcPr>
            <w:tcW w:w="6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820" w:type="dxa"/>
            <w:vAlign w:val="bottom"/>
          </w:tcPr>
          <w:p>
            <w:pPr>
              <w:ind w:left="260"/>
              <w:spacing w:after="0"/>
              <w:rPr>
                <w:sz w:val="20"/>
                <w:szCs w:val="20"/>
                <w:color w:val="auto"/>
              </w:rPr>
            </w:pPr>
            <w:r>
              <w:rPr>
                <w:rFonts w:ascii="Arial" w:cs="Arial" w:eastAsia="Arial" w:hAnsi="Arial"/>
                <w:sz w:val="15"/>
                <w:szCs w:val="15"/>
                <w:color w:val="auto"/>
                <w:w w:val="99"/>
              </w:rPr>
              <w:t>Non-utility, fixed-rate and variable-rate</w:t>
            </w:r>
          </w:p>
        </w:tc>
        <w:tc>
          <w:tcPr>
            <w:tcW w:w="20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3,588</w:t>
            </w:r>
          </w:p>
        </w:tc>
        <w:tc>
          <w:tcPr>
            <w:tcW w:w="2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5"/>
                <w:szCs w:val="15"/>
                <w:color w:val="auto"/>
              </w:rPr>
              <w:t>454</w:t>
            </w:r>
          </w:p>
        </w:tc>
        <w:tc>
          <w:tcPr>
            <w:tcW w:w="740" w:type="dxa"/>
            <w:vAlign w:val="bottom"/>
          </w:tcPr>
          <w:p>
            <w:pPr>
              <w:spacing w:after="0"/>
              <w:rPr>
                <w:sz w:val="18"/>
                <w:szCs w:val="18"/>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820" w:type="dxa"/>
            <w:vAlign w:val="bottom"/>
          </w:tcPr>
          <w:p>
            <w:pPr>
              <w:ind w:left="100"/>
              <w:spacing w:after="0"/>
              <w:rPr>
                <w:sz w:val="20"/>
                <w:szCs w:val="20"/>
                <w:color w:val="auto"/>
              </w:rPr>
            </w:pPr>
            <w:r>
              <w:rPr>
                <w:rFonts w:ascii="Arial" w:cs="Arial" w:eastAsia="Arial" w:hAnsi="Arial"/>
                <w:sz w:val="15"/>
                <w:szCs w:val="15"/>
                <w:color w:val="auto"/>
              </w:rPr>
              <w:t>At December 31, 2009:</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vMerge w:val="restart"/>
          </w:tcPr>
          <w:p>
            <w:pPr>
              <w:jc w:val="right"/>
              <w:ind w:right="146"/>
              <w:spacing w:after="0"/>
              <w:rPr>
                <w:sz w:val="20"/>
                <w:szCs w:val="20"/>
                <w:color w:val="auto"/>
              </w:rPr>
            </w:pPr>
            <w:r>
              <w:rPr>
                <w:rFonts w:ascii="Arial" w:cs="Arial" w:eastAsia="Arial" w:hAnsi="Arial"/>
                <w:sz w:val="19"/>
                <w:szCs w:val="19"/>
                <w:color w:val="auto"/>
              </w:rPr>
              <w:t>1,954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260"/>
              <w:spacing w:after="0"/>
              <w:rPr>
                <w:sz w:val="20"/>
                <w:szCs w:val="20"/>
                <w:color w:val="auto"/>
              </w:rPr>
            </w:pPr>
            <w:r>
              <w:rPr>
                <w:rFonts w:ascii="Arial" w:cs="Arial" w:eastAsia="Arial" w:hAnsi="Arial"/>
                <w:sz w:val="15"/>
                <w:szCs w:val="15"/>
                <w:color w:val="auto"/>
              </w:rPr>
              <w:t>Utility fixed-ra te</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3,067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8"/>
              <w:spacing w:after="0"/>
              <w:rPr>
                <w:sz w:val="20"/>
                <w:szCs w:val="20"/>
                <w:color w:val="auto"/>
              </w:rPr>
            </w:pPr>
            <w:r>
              <w:rPr>
                <w:rFonts w:ascii="Arial" w:cs="Arial" w:eastAsia="Arial" w:hAnsi="Arial"/>
                <w:sz w:val="15"/>
                <w:szCs w:val="15"/>
                <w:color w:val="auto"/>
              </w:rPr>
              <w:t>369</w:t>
            </w:r>
          </w:p>
        </w:tc>
        <w:tc>
          <w:tcPr>
            <w:tcW w:w="740" w:type="dxa"/>
            <w:vAlign w:val="bottom"/>
          </w:tcPr>
          <w:p>
            <w:pPr>
              <w:ind w:left="100"/>
              <w:spacing w:after="0"/>
              <w:rPr>
                <w:sz w:val="20"/>
                <w:szCs w:val="20"/>
                <w:color w:val="auto"/>
              </w:rPr>
            </w:pPr>
            <w:r>
              <w:rPr>
                <w:rFonts w:ascii="Arial" w:cs="Arial" w:eastAsia="Arial" w:hAnsi="Arial"/>
                <w:sz w:val="15"/>
                <w:szCs w:val="15"/>
                <w:color w:val="auto"/>
              </w:rPr>
              <w:t>$</w:t>
            </w:r>
          </w:p>
        </w:tc>
        <w:tc>
          <w:tcPr>
            <w:tcW w:w="94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273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30"/>
              <w:spacing w:after="0"/>
              <w:rPr>
                <w:sz w:val="20"/>
                <w:szCs w:val="20"/>
                <w:color w:val="auto"/>
              </w:rPr>
            </w:pPr>
            <w:r>
              <w:rPr>
                <w:rFonts w:ascii="Arial" w:cs="Arial" w:eastAsia="Arial" w:hAnsi="Arial"/>
                <w:sz w:val="15"/>
                <w:szCs w:val="15"/>
                <w:color w:val="auto"/>
              </w:rPr>
              <w:t>1,113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8"/>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48"/>
        </w:trPr>
        <w:tc>
          <w:tcPr>
            <w:tcW w:w="2820" w:type="dxa"/>
            <w:vAlign w:val="bottom"/>
          </w:tcPr>
          <w:p>
            <w:pPr>
              <w:ind w:left="260"/>
              <w:spacing w:after="0"/>
              <w:rPr>
                <w:sz w:val="20"/>
                <w:szCs w:val="20"/>
                <w:color w:val="auto"/>
              </w:rPr>
            </w:pPr>
            <w:r>
              <w:rPr>
                <w:rFonts w:ascii="Arial" w:cs="Arial" w:eastAsia="Arial" w:hAnsi="Arial"/>
                <w:sz w:val="15"/>
                <w:szCs w:val="15"/>
                <w:color w:val="auto"/>
              </w:rPr>
              <w:t>Utility variable-rate</w:t>
            </w:r>
          </w:p>
        </w:tc>
        <w:tc>
          <w:tcPr>
            <w:tcW w:w="2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5"/>
                <w:szCs w:val="15"/>
                <w:color w:val="auto"/>
              </w:rPr>
              <w:t>848</w:t>
            </w: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5"/>
                <w:szCs w:val="15"/>
                <w:color w:val="auto"/>
              </w:rPr>
              <w:t>43</w:t>
            </w:r>
          </w:p>
        </w:tc>
        <w:tc>
          <w:tcPr>
            <w:tcW w:w="740" w:type="dxa"/>
            <w:vAlign w:val="bottom"/>
          </w:tcPr>
          <w:p>
            <w:pPr>
              <w:ind w:left="100"/>
              <w:spacing w:after="0"/>
              <w:rPr>
                <w:sz w:val="20"/>
                <w:szCs w:val="20"/>
                <w:color w:val="auto"/>
              </w:rPr>
            </w:pPr>
            <w:r>
              <w:rPr>
                <w:rFonts w:ascii="Arial" w:cs="Arial" w:eastAsia="Arial" w:hAnsi="Arial"/>
                <w:sz w:val="19"/>
                <w:szCs w:val="19"/>
                <w:color w:val="auto"/>
                <w:w w:val="96"/>
              </w:rPr>
              <w:t>&amp;nb sp;</w:t>
            </w: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698</w:t>
            </w:r>
          </w:p>
        </w:tc>
        <w:tc>
          <w:tcPr>
            <w:tcW w:w="120" w:type="dxa"/>
            <w:vAlign w:val="bottom"/>
          </w:tcPr>
          <w:p>
            <w:pPr>
              <w:spacing w:after="0"/>
              <w:rPr>
                <w:sz w:val="21"/>
                <w:szCs w:val="21"/>
                <w:color w:val="auto"/>
              </w:rPr>
            </w:pP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43</w:t>
            </w: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21"/>
                <w:szCs w:val="21"/>
                <w:color w:val="auto"/>
              </w:rPr>
            </w:pPr>
          </w:p>
        </w:tc>
        <w:tc>
          <w:tcPr>
            <w:tcW w:w="6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2820" w:type="dxa"/>
            <w:vAlign w:val="bottom"/>
            <w:tcBorders>
              <w:bottom w:val="single" w:sz="8" w:color="C0C0C0"/>
            </w:tcBorders>
          </w:tcPr>
          <w:p>
            <w:pPr>
              <w:ind w:left="260"/>
              <w:spacing w:after="0"/>
              <w:rPr>
                <w:sz w:val="20"/>
                <w:szCs w:val="20"/>
                <w:color w:val="auto"/>
              </w:rPr>
            </w:pPr>
            <w:r>
              <w:rPr>
                <w:rFonts w:ascii="Arial" w:cs="Arial" w:eastAsia="Arial" w:hAnsi="Arial"/>
                <w:sz w:val="15"/>
                <w:szCs w:val="15"/>
                <w:color w:val="auto"/>
                <w:w w:val="99"/>
              </w:rPr>
              <w:t>Non-utility, fixed-rate and variable-rate</w:t>
            </w:r>
          </w:p>
        </w:tc>
        <w:tc>
          <w:tcPr>
            <w:tcW w:w="200" w:type="dxa"/>
            <w:vAlign w:val="bottom"/>
            <w:tcBorders>
              <w:bottom w:val="single" w:sz="8" w:color="C0C0C0"/>
            </w:tcBorders>
          </w:tcPr>
          <w:p>
            <w:pPr>
              <w:spacing w:after="0"/>
              <w:rPr>
                <w:sz w:val="19"/>
                <w:szCs w:val="19"/>
                <w:color w:val="auto"/>
              </w:rPr>
            </w:pPr>
          </w:p>
        </w:tc>
        <w:tc>
          <w:tcPr>
            <w:tcW w:w="700" w:type="dxa"/>
            <w:vAlign w:val="bottom"/>
            <w:tcBorders>
              <w:bottom w:val="single" w:sz="8" w:color="C0C0C0"/>
            </w:tcBorders>
          </w:tcPr>
          <w:p>
            <w:pPr>
              <w:jc w:val="right"/>
              <w:ind w:right="50"/>
              <w:spacing w:after="0"/>
              <w:rPr>
                <w:sz w:val="20"/>
                <w:szCs w:val="20"/>
                <w:color w:val="auto"/>
              </w:rPr>
            </w:pPr>
            <w:r>
              <w:rPr>
                <w:rFonts w:ascii="Arial" w:cs="Arial" w:eastAsia="Arial" w:hAnsi="Arial"/>
                <w:sz w:val="15"/>
                <w:szCs w:val="15"/>
                <w:color w:val="auto"/>
              </w:rPr>
              <w:t>4,075</w:t>
            </w:r>
          </w:p>
        </w:tc>
        <w:tc>
          <w:tcPr>
            <w:tcW w:w="200" w:type="dxa"/>
            <w:vAlign w:val="bottom"/>
            <w:tcBorders>
              <w:bottom w:val="single" w:sz="8" w:color="C0C0C0"/>
            </w:tcBorders>
          </w:tcPr>
          <w:p>
            <w:pPr>
              <w:spacing w:after="0"/>
              <w:rPr>
                <w:sz w:val="19"/>
                <w:szCs w:val="19"/>
                <w:color w:val="auto"/>
              </w:rPr>
            </w:pPr>
          </w:p>
        </w:tc>
        <w:tc>
          <w:tcPr>
            <w:tcW w:w="600" w:type="dxa"/>
            <w:vAlign w:val="bottom"/>
            <w:tcBorders>
              <w:bottom w:val="single" w:sz="8" w:color="C0C0C0"/>
            </w:tcBorders>
          </w:tcPr>
          <w:p>
            <w:pPr>
              <w:jc w:val="right"/>
              <w:ind w:right="48"/>
              <w:spacing w:after="0"/>
              <w:rPr>
                <w:sz w:val="20"/>
                <w:szCs w:val="20"/>
                <w:color w:val="auto"/>
              </w:rPr>
            </w:pPr>
            <w:r>
              <w:rPr>
                <w:rFonts w:ascii="Arial" w:cs="Arial" w:eastAsia="Arial" w:hAnsi="Arial"/>
                <w:sz w:val="15"/>
                <w:szCs w:val="15"/>
                <w:color w:val="auto"/>
              </w:rPr>
              <w:t>392</w:t>
            </w:r>
          </w:p>
        </w:tc>
        <w:tc>
          <w:tcPr>
            <w:tcW w:w="740" w:type="dxa"/>
            <w:vAlign w:val="bottom"/>
            <w:tcBorders>
              <w:bottom w:val="single" w:sz="8" w:color="C0C0C0"/>
            </w:tcBorders>
          </w:tcPr>
          <w:p>
            <w:pPr>
              <w:spacing w:after="0"/>
              <w:rPr>
                <w:sz w:val="19"/>
                <w:szCs w:val="19"/>
                <w:color w:val="auto"/>
              </w:rPr>
            </w:pPr>
          </w:p>
        </w:tc>
        <w:tc>
          <w:tcPr>
            <w:tcW w:w="940" w:type="dxa"/>
            <w:vAlign w:val="bottom"/>
            <w:tcBorders>
              <w:bottom w:val="single" w:sz="8" w:color="C0C0C0"/>
            </w:tcBorders>
          </w:tcPr>
          <w:p>
            <w:pPr>
              <w:jc w:val="right"/>
              <w:ind w:right="1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0C0C0"/>
            </w:tcBorders>
          </w:tcPr>
          <w:p>
            <w:pPr>
              <w:spacing w:after="0"/>
              <w:rPr>
                <w:sz w:val="19"/>
                <w:szCs w:val="19"/>
                <w:color w:val="auto"/>
              </w:rPr>
            </w:pPr>
          </w:p>
        </w:tc>
        <w:tc>
          <w:tcPr>
            <w:tcW w:w="760" w:type="dxa"/>
            <w:vAlign w:val="bottom"/>
            <w:tcBorders>
              <w:bottom w:val="single" w:sz="8" w:color="C0C0C0"/>
            </w:tcBorders>
          </w:tcPr>
          <w:p>
            <w:pPr>
              <w:jc w:val="right"/>
              <w:ind w:right="6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0C0C0"/>
            </w:tcBorders>
          </w:tcPr>
          <w:p>
            <w:pPr>
              <w:spacing w:after="0"/>
              <w:rPr>
                <w:sz w:val="19"/>
                <w:szCs w:val="19"/>
                <w:color w:val="auto"/>
              </w:rPr>
            </w:pPr>
          </w:p>
        </w:tc>
        <w:tc>
          <w:tcPr>
            <w:tcW w:w="700" w:type="dxa"/>
            <w:vAlign w:val="bottom"/>
            <w:tcBorders>
              <w:bottom w:val="single" w:sz="8" w:color="C0C0C0"/>
            </w:tcBorders>
          </w:tcPr>
          <w:p>
            <w:pPr>
              <w:jc w:val="right"/>
              <w:ind w:right="3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0C0C0"/>
            </w:tcBorders>
          </w:tcPr>
          <w:p>
            <w:pPr>
              <w:spacing w:after="0"/>
              <w:rPr>
                <w:sz w:val="19"/>
                <w:szCs w:val="19"/>
                <w:color w:val="auto"/>
              </w:rPr>
            </w:pPr>
          </w:p>
        </w:tc>
        <w:tc>
          <w:tcPr>
            <w:tcW w:w="620" w:type="dxa"/>
            <w:vAlign w:val="bottom"/>
            <w:tcBorders>
              <w:bottom w:val="single" w:sz="8" w:color="C0C0C0"/>
            </w:tcBorders>
          </w:tcPr>
          <w:p>
            <w:pPr>
              <w:jc w:val="right"/>
              <w:ind w:right="6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(1) After the effects of interest rate swaps.</w:t>
      </w:r>
    </w:p>
    <w:p>
      <w:pPr>
        <w:spacing w:after="0" w:line="200" w:lineRule="exact"/>
        <w:rPr>
          <w:sz w:val="20"/>
          <w:szCs w:val="20"/>
          <w:color w:val="auto"/>
        </w:rPr>
      </w:pPr>
    </w:p>
    <w:p>
      <w:pPr>
        <w:spacing w:after="0" w:line="211" w:lineRule="exact"/>
        <w:rPr>
          <w:sz w:val="20"/>
          <w:szCs w:val="20"/>
          <w:color w:val="auto"/>
        </w:rPr>
      </w:pPr>
    </w:p>
    <w:p>
      <w:pPr>
        <w:ind w:right="340"/>
        <w:spacing w:after="0" w:line="350" w:lineRule="auto"/>
        <w:rPr>
          <w:sz w:val="20"/>
          <w:szCs w:val="20"/>
          <w:color w:val="auto"/>
        </w:rPr>
      </w:pPr>
      <w:r>
        <w:rPr>
          <w:rFonts w:ascii="Arial" w:cs="Arial" w:eastAsia="Arial" w:hAnsi="Arial"/>
          <w:sz w:val="14"/>
          <w:szCs w:val="14"/>
          <w:i w:val="1"/>
          <w:iCs w:val="1"/>
          <w:color w:val="auto"/>
        </w:rPr>
        <w:t>At June 30, 2010, the net notional amount of interest rate swap transactions ranged from $215 million to $355 million at Sempra Energy (ranges relate to amortizing notional amounts). We provide additional information about interest rate swap transactions in Note 7 of the Notes to Condensed Consolidated Financial Statements herein.</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RATE RISK</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We discuss our foreign currency rate risk in detail in "Management's Discussion and Analysis of Financial Condition and Results of Operations" in the Annual Report. At June 30, 2010, there were no significant changes to our exposure to foreign currency rate risk since December 31, 2009.</w:t>
      </w:r>
    </w:p>
    <w:p>
      <w:pPr>
        <w:spacing w:after="0"/>
        <w:rPr>
          <w:sz w:val="20"/>
          <w:szCs w:val="20"/>
          <w:color w:val="auto"/>
        </w:rPr>
      </w:pPr>
      <w:r>
        <w:rPr>
          <w:rFonts w:ascii="Arial" w:cs="Arial" w:eastAsia="Arial" w:hAnsi="Arial"/>
          <w:sz w:val="19"/>
          <w:szCs w:val="19"/>
          <w:i w:val="1"/>
          <w:iCs w:val="1"/>
          <w:color w:val="auto"/>
        </w:rPr>
        <w:t>&lt; /div&gt;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512445</wp:posOffset>
            </wp:positionV>
            <wp:extent cx="72599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ITEM 4. CONTROLS AND PROCEDURES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ectPr>
          <w:pgSz w:w="11900" w:h="16901" w:orient="portrait"/>
          <w:cols w:equalWidth="0" w:num="1">
            <w:col w:w="11380"/>
          </w:cols>
          <w:pgMar w:left="240" w:top="120" w:right="279" w:bottom="0" w:gutter="0" w:footer="0" w:header="0"/>
        </w:sectPr>
      </w:pPr>
    </w:p>
    <w:p>
      <w:pPr>
        <w:spacing w:after="0" w:line="102" w:lineRule="exact"/>
        <w:rPr>
          <w:sz w:val="20"/>
          <w:szCs w:val="20"/>
          <w:color w:val="auto"/>
        </w:rPr>
      </w:pPr>
    </w:p>
    <w:p>
      <w:pPr>
        <w:jc w:val="both"/>
        <w:ind w:right="80"/>
        <w:spacing w:after="0" w:line="320" w:lineRule="auto"/>
        <w:rPr>
          <w:sz w:val="20"/>
          <w:szCs w:val="20"/>
          <w:color w:val="auto"/>
        </w:rPr>
      </w:pPr>
      <w:r>
        <w:rPr>
          <w:rFonts w:ascii="Arial" w:cs="Arial" w:eastAsia="Arial" w:hAnsi="Arial"/>
          <w:sz w:val="14"/>
          <w:szCs w:val="14"/>
          <w:i w:val="1"/>
          <w:iCs w:val="1"/>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 ding each respective Chief Executive Officer and Chief Financial Officer, to allow timely decisions regarding</w:t>
      </w:r>
    </w:p>
    <w:p>
      <w:pPr>
        <w:sectPr>
          <w:pgSz w:w="11900" w:h="16901" w:orient="portrait"/>
          <w:cols w:equalWidth="0" w:num="1">
            <w:col w:w="11380"/>
          </w:cols>
          <w:pgMar w:left="240" w:top="120" w:right="279" w:bottom="0" w:gutter="0" w:footer="0" w:header="0"/>
          <w:type w:val="continuous"/>
        </w:sectPr>
      </w:pPr>
    </w:p>
    <w:bookmarkStart w:id="54" w:name="page55"/>
    <w:bookmarkEnd w:id="54"/>
    <w:p>
      <w:pPr>
        <w:jc w:val="both"/>
        <w:ind w:right="40"/>
        <w:spacing w:after="0" w:line="265" w:lineRule="auto"/>
        <w:rPr>
          <w:sz w:val="20"/>
          <w:szCs w:val="20"/>
          <w:color w:val="auto"/>
        </w:rPr>
      </w:pPr>
      <w:r>
        <w:rPr>
          <w:rFonts w:ascii="Arial" w:cs="Arial" w:eastAsia="Arial" w:hAnsi="Arial"/>
          <w:sz w:val="16"/>
          <w:szCs w:val="16"/>
          <w:i w:val="1"/>
          <w:iCs w:val="1"/>
          <w:color w:val="auto"/>
        </w:rPr>
        <w:t>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June 30, 2010, the end of the period covered by this report. Based on these evaluations, the Chief Executive Officers and Chief Fin ancial Officers of Sempra Energy, SDG&amp;E, PE and SoCalGas concluded that their respective company's disclosure controls and procedures were effective at the reasonable assurance level.</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528320</wp:posOffset>
            </wp:positionV>
            <wp:extent cx="72599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ITEM 1. LEGAL PROCEEDINGS</w:t>
      </w:r>
    </w:p>
    <w:p>
      <w:pPr>
        <w:spacing w:after="0" w:line="115" w:lineRule="exact"/>
        <w:rPr>
          <w:sz w:val="20"/>
          <w:szCs w:val="20"/>
          <w:color w:val="auto"/>
        </w:rPr>
      </w:pPr>
    </w:p>
    <w:p>
      <w:pPr>
        <w:jc w:val="both"/>
        <w:ind w:right="220"/>
        <w:spacing w:after="0" w:line="265" w:lineRule="auto"/>
        <w:rPr>
          <w:sz w:val="20"/>
          <w:szCs w:val="20"/>
          <w:color w:val="auto"/>
        </w:rPr>
      </w:pPr>
      <w:r>
        <w:rPr>
          <w:rFonts w:ascii="Arial" w:cs="Arial" w:eastAsia="Arial" w:hAnsi="Arial"/>
          <w:sz w:val="16"/>
          <w:szCs w:val="16"/>
          <w:i w:val="1"/>
          <w:iCs w:val="1"/>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376555</wp:posOffset>
            </wp:positionV>
            <wp:extent cx="72599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ITEM 1A. RISK FACTORS</w:t>
      </w:r>
    </w:p>
    <w:p>
      <w:pPr>
        <w:spacing w:after="0" w:line="11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i w:val="1"/>
          <w:iCs w:val="1"/>
          <w:color w:val="auto"/>
        </w:rPr>
        <w:t>There have not been any material changes from the risk factors previously disclosed in our Annual Report on Form 10-K for the year ended December 31, 2009, except for the following additional risk that was disclosed in our Quarterly Report on Form 10-Q for the quarter ended March 31, 2010:</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RECOVERY OF 2007 WILDFIRE LITIGATION COSTS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As we discuss in Note 10 of the Notes to Condensed Consolidated Financial Statements herein, SDG&amp;E is subject to numerous lawsuits arising out of the San Diego County wildfires in 2007. It expects that substantially all reasonably incurred costs of resolving 2007 wildfire claims that exceed its liability insurance coverage and any amounts recovered from other potentially responsible parties will be recovered from utility customers. However, recovery from customers will require future regulatory actions, and a failure to obtain recovery, or any negative assessment of the likelihood of recovery, would likely have a material adverse effect on Sempra Energy’s and SDG&amp;E’s cash flows and results of ope 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380365</wp:posOffset>
            </wp:positionV>
            <wp:extent cx="72599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ITEM 6. EXHIBITS</w:t>
      </w:r>
    </w:p>
    <w:p>
      <w:pPr>
        <w:spacing w:after="0" w:line="200" w:lineRule="exact"/>
        <w:rPr>
          <w:sz w:val="20"/>
          <w:szCs w:val="20"/>
          <w:color w:val="auto"/>
        </w:rPr>
      </w:pP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EXHIBIT 3 -- BYLAWS AND ARTICLES OF INCORPORATION</w:t>
      </w:r>
    </w:p>
    <w:p>
      <w:pPr>
        <w:spacing w:after="0" w:line="289" w:lineRule="exact"/>
        <w:rPr>
          <w:sz w:val="20"/>
          <w:szCs w:val="20"/>
          <w:color w:val="auto"/>
        </w:rPr>
      </w:pPr>
    </w:p>
    <w:p>
      <w:pPr>
        <w:ind w:left="212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60" w:lineRule="exact"/>
        <w:rPr>
          <w:sz w:val="20"/>
          <w:szCs w:val="20"/>
          <w:color w:val="auto"/>
        </w:rPr>
      </w:pPr>
    </w:p>
    <w:p>
      <w:pPr>
        <w:ind w:left="3080" w:right="2340" w:hanging="311"/>
        <w:spacing w:after="0" w:line="276" w:lineRule="auto"/>
        <w:rPr>
          <w:sz w:val="20"/>
          <w:szCs w:val="20"/>
          <w:color w:val="auto"/>
        </w:rPr>
      </w:pPr>
      <w:r>
        <w:rPr>
          <w:rFonts w:ascii="Arial" w:cs="Arial" w:eastAsia="Arial" w:hAnsi="Arial"/>
          <w:sz w:val="16"/>
          <w:szCs w:val="16"/>
          <w:color w:val="auto"/>
        </w:rPr>
        <w:t>3.1 Amended and Restated Bylaws of San Diego Gas &amp; Electric Company effective June 15, 2010 (Form 8-K filed on June 17, 2010, Exhibit 3).</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60" w:lineRule="exact"/>
        <w:rPr>
          <w:sz w:val="20"/>
          <w:szCs w:val="20"/>
          <w:color w:val="auto"/>
        </w:rPr>
      </w:pPr>
    </w:p>
    <w:p>
      <w:pPr>
        <w:ind w:left="3080" w:right="2200" w:hanging="311"/>
        <w:spacing w:after="0" w:line="276" w:lineRule="auto"/>
        <w:rPr>
          <w:sz w:val="20"/>
          <w:szCs w:val="20"/>
          <w:color w:val="auto"/>
        </w:rPr>
      </w:pPr>
      <w:r>
        <w:rPr>
          <w:rFonts w:ascii="Arial" w:cs="Arial" w:eastAsia="Arial" w:hAnsi="Arial"/>
          <w:sz w:val="16"/>
          <w:szCs w:val="16"/>
          <w:color w:val="auto"/>
        </w:rPr>
        <w:t>3.2 Amended and Restated Bylaws of Pacific Enterprises effective June 14, 2010 (Form 8-K filed on June 17, 2010, Exhibit 3.2).</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60" w:lineRule="exact"/>
        <w:rPr>
          <w:sz w:val="20"/>
          <w:szCs w:val="20"/>
          <w:color w:val="auto"/>
        </w:rPr>
      </w:pPr>
    </w:p>
    <w:p>
      <w:pPr>
        <w:ind w:left="3080" w:right="2440" w:hanging="311"/>
        <w:spacing w:after="0" w:line="276" w:lineRule="auto"/>
        <w:rPr>
          <w:sz w:val="20"/>
          <w:szCs w:val="20"/>
          <w:color w:val="auto"/>
        </w:rPr>
      </w:pPr>
      <w:r>
        <w:rPr>
          <w:rFonts w:ascii="Arial" w:cs="Arial" w:eastAsia="Arial" w:hAnsi="Arial"/>
          <w:sz w:val="16"/>
          <w:szCs w:val="16"/>
          <w:color w:val="auto"/>
        </w:rPr>
        <w:t>3.3 Amended and Restated Bylaws of Southern California Gas Company effective June 14, 2010 (Form 8-K filed on June 17, 2010, Exhibit 3.1).</w:t>
      </w:r>
    </w:p>
    <w:p>
      <w:pPr>
        <w:spacing w:after="0" w:line="299"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EXHIBIT 10 -- MATERIAL CONTRACTS</w:t>
      </w:r>
    </w:p>
    <w:p>
      <w:pPr>
        <w:spacing w:after="0" w:line="289" w:lineRule="exact"/>
        <w:rPr>
          <w:sz w:val="20"/>
          <w:szCs w:val="20"/>
          <w:color w:val="auto"/>
        </w:rPr>
      </w:pPr>
    </w:p>
    <w:p>
      <w:pPr>
        <w:ind w:left="2120"/>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left="3080" w:right="2260" w:hanging="390"/>
        <w:spacing w:after="0" w:line="294" w:lineRule="auto"/>
        <w:rPr>
          <w:sz w:val="20"/>
          <w:szCs w:val="20"/>
          <w:color w:val="auto"/>
        </w:rPr>
      </w:pPr>
      <w:r>
        <w:rPr>
          <w:rFonts w:ascii="Arial" w:cs="Arial" w:eastAsia="Arial" w:hAnsi="Arial"/>
          <w:sz w:val="15"/>
          <w:szCs w:val="15"/>
          <w:color w:val="auto"/>
        </w:rPr>
        <w:t>10.1 First Amendment to Purchase and Sale Agreement, dated as of June 30, 2010, entered into by and among J.P. Morgan Ventures Energy Corporation, Sempra Energy Trading LLC, RBS Sempra Commodities LLP, Sempra Energy and The Royal Bank of Scotland plc.</w:t>
      </w:r>
    </w:p>
    <w:p>
      <w:pPr>
        <w:spacing w:after="0" w:line="170" w:lineRule="exact"/>
        <w:rPr>
          <w:sz w:val="20"/>
          <w:szCs w:val="20"/>
          <w:color w:val="auto"/>
        </w:rPr>
      </w:pPr>
    </w:p>
    <w:p>
      <w:pPr>
        <w:ind w:left="3080" w:right="2360" w:hanging="390"/>
        <w:spacing w:after="0" w:line="283" w:lineRule="auto"/>
        <w:rPr>
          <w:sz w:val="20"/>
          <w:szCs w:val="20"/>
          <w:color w:val="auto"/>
        </w:rPr>
      </w:pPr>
      <w:r>
        <w:rPr>
          <w:rFonts w:ascii="Arial" w:cs="Arial" w:eastAsia="Arial" w:hAnsi="Arial"/>
          <w:sz w:val="16"/>
          <w:szCs w:val="16"/>
          <w:color w:val="auto"/>
        </w:rPr>
        <w:t>10.2 Form of Sempra Energy 2008 Long Term Incentive Plan, 2010 Restricted Stock Unit Award for Sempra Energy’s Board of Directors</w:t>
      </w:r>
    </w:p>
    <w:p>
      <w:pPr>
        <w:sectPr>
          <w:pgSz w:w="11900" w:h="16838" w:orient="portrait"/>
          <w:cols w:equalWidth="0" w:num="1">
            <w:col w:w="11420"/>
          </w:cols>
          <w:pgMar w:left="240" w:top="131" w:right="239" w:bottom="0" w:gutter="0" w:footer="0" w:header="0"/>
        </w:sectPr>
      </w:pPr>
    </w:p>
    <w:p>
      <w:pPr>
        <w:spacing w:after="0" w:line="292"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EXHIBIT 12 – STATEMENTS RE: COMPUTATION OF RATIOS</w:t>
      </w:r>
    </w:p>
    <w:p>
      <w:pPr>
        <w:sectPr>
          <w:pgSz w:w="11900" w:h="16838" w:orient="portrait"/>
          <w:cols w:equalWidth="0" w:num="1">
            <w:col w:w="11420"/>
          </w:cols>
          <w:pgMar w:left="240" w:top="131" w:right="239" w:bottom="0" w:gutter="0" w:footer="0" w:header="0"/>
          <w:type w:val="continuous"/>
        </w:sectPr>
      </w:pPr>
    </w:p>
    <w:bookmarkStart w:id="55" w:name="page56"/>
    <w:bookmarkEnd w:id="55"/>
    <w:p>
      <w:pPr>
        <w:spacing w:after="0" w:line="2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Sempra Energy</w:t>
      </w:r>
    </w:p>
    <w:p>
      <w:pPr>
        <w:spacing w:after="0" w:line="60" w:lineRule="exact"/>
        <w:rPr>
          <w:sz w:val="20"/>
          <w:szCs w:val="20"/>
          <w:color w:val="auto"/>
        </w:rPr>
      </w:pPr>
    </w:p>
    <w:p>
      <w:pPr>
        <w:ind w:left="1880" w:right="1259" w:hanging="390"/>
        <w:spacing w:after="0" w:line="276" w:lineRule="auto"/>
        <w:rPr>
          <w:sz w:val="20"/>
          <w:szCs w:val="20"/>
          <w:color w:val="auto"/>
        </w:rPr>
      </w:pPr>
      <w:r>
        <w:rPr>
          <w:rFonts w:ascii="Arial" w:cs="Arial" w:eastAsia="Arial" w:hAnsi="Arial"/>
          <w:sz w:val="16"/>
          <w:szCs w:val="16"/>
          <w:color w:val="auto"/>
        </w:rPr>
        <w:t>12.1 Sempra Energy Computation of Ratio of Earnings to Combined Fixed Charges and Preferred Stock Dividends.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60" w:lineRule="exact"/>
        <w:rPr>
          <w:sz w:val="20"/>
          <w:szCs w:val="20"/>
          <w:color w:val="auto"/>
        </w:rPr>
      </w:pPr>
    </w:p>
    <w:p>
      <w:pPr>
        <w:ind w:left="1880" w:right="1379" w:hanging="390"/>
        <w:spacing w:after="0" w:line="276" w:lineRule="auto"/>
        <w:rPr>
          <w:sz w:val="20"/>
          <w:szCs w:val="20"/>
          <w:color w:val="auto"/>
        </w:rPr>
      </w:pPr>
      <w:r>
        <w:rPr>
          <w:rFonts w:ascii="Arial" w:cs="Arial" w:eastAsia="Arial" w:hAnsi="Arial"/>
          <w:sz w:val="16"/>
          <w:szCs w:val="16"/>
          <w:color w:val="auto"/>
        </w:rPr>
        <w:t>12.2 San Diego Gas &amp; Electric Company Computation of Ratio of Earnings to Combined Fixed Charges and Preferred Stock Dividends.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60" w:lineRule="exact"/>
        <w:rPr>
          <w:sz w:val="20"/>
          <w:szCs w:val="20"/>
          <w:color w:val="auto"/>
        </w:rPr>
      </w:pPr>
    </w:p>
    <w:p>
      <w:pPr>
        <w:ind w:left="1880" w:right="1039" w:hanging="390"/>
        <w:spacing w:after="0" w:line="276" w:lineRule="auto"/>
        <w:rPr>
          <w:sz w:val="20"/>
          <w:szCs w:val="20"/>
          <w:color w:val="auto"/>
        </w:rPr>
      </w:pPr>
      <w:r>
        <w:rPr>
          <w:rFonts w:ascii="Arial" w:cs="Arial" w:eastAsia="Arial" w:hAnsi="Arial"/>
          <w:sz w:val="16"/>
          <w:szCs w:val="16"/>
          <w:color w:val="auto"/>
        </w:rPr>
        <w:t>12.3 Pacific Enterprises Computation of Ratio of Earnings to Combined Fixed Charges and Preferred Stock Dividends.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60" w:lineRule="exact"/>
        <w:rPr>
          <w:sz w:val="20"/>
          <w:szCs w:val="20"/>
          <w:color w:val="auto"/>
        </w:rPr>
      </w:pPr>
    </w:p>
    <w:p>
      <w:pPr>
        <w:ind w:left="1880" w:right="939" w:hanging="390"/>
        <w:spacing w:after="0" w:line="276" w:lineRule="auto"/>
        <w:rPr>
          <w:sz w:val="20"/>
          <w:szCs w:val="20"/>
          <w:color w:val="auto"/>
        </w:rPr>
      </w:pPr>
      <w:r>
        <w:rPr>
          <w:rFonts w:ascii="Arial" w:cs="Arial" w:eastAsia="Arial" w:hAnsi="Arial"/>
          <w:sz w:val="16"/>
          <w:szCs w:val="16"/>
          <w:color w:val="auto"/>
        </w:rPr>
        <w:t>12.4 Southern California Gas Company Computation of Ratio of Earnings to Combined Fixed Charges and Preferred Stock Dividends.</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EXHIBIT 31 -- SECTION 302 CERTIFICATIONS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Sempra Energy</w:t>
      </w:r>
    </w:p>
    <w:p>
      <w:pPr>
        <w:spacing w:after="0" w:line="60" w:lineRule="exact"/>
        <w:rPr>
          <w:sz w:val="20"/>
          <w:szCs w:val="20"/>
          <w:color w:val="auto"/>
        </w:rPr>
      </w:pPr>
    </w:p>
    <w:p>
      <w:pPr>
        <w:ind w:left="1880" w:right="1079" w:hanging="390"/>
        <w:spacing w:after="0" w:line="276" w:lineRule="auto"/>
        <w:rPr>
          <w:sz w:val="20"/>
          <w:szCs w:val="20"/>
          <w:color w:val="auto"/>
        </w:rPr>
      </w:pPr>
      <w:r>
        <w:rPr>
          <w:rFonts w:ascii="Arial" w:cs="Arial" w:eastAsia="Arial" w:hAnsi="Arial"/>
          <w:sz w:val="16"/>
          <w:szCs w:val="16"/>
          <w:color w:val="auto"/>
        </w:rPr>
        <w:t>31.1 Statement of S empra Energy's Chief Executive Officer pursuant to Rules 13a-14 and 15d-14 of the Securities Exchange Act of 1934.</w:t>
      </w:r>
    </w:p>
    <w:p>
      <w:pPr>
        <w:spacing w:after="0" w:line="186" w:lineRule="exact"/>
        <w:rPr>
          <w:sz w:val="20"/>
          <w:szCs w:val="20"/>
          <w:color w:val="auto"/>
        </w:rPr>
      </w:pPr>
    </w:p>
    <w:p>
      <w:pPr>
        <w:ind w:left="1880" w:right="939" w:hanging="390"/>
        <w:spacing w:after="0" w:line="276" w:lineRule="auto"/>
        <w:rPr>
          <w:sz w:val="20"/>
          <w:szCs w:val="20"/>
          <w:color w:val="auto"/>
        </w:rPr>
      </w:pPr>
      <w:r>
        <w:rPr>
          <w:rFonts w:ascii="Arial" w:cs="Arial" w:eastAsia="Arial" w:hAnsi="Arial"/>
          <w:sz w:val="16"/>
          <w:szCs w:val="16"/>
          <w:color w:val="auto"/>
        </w:rPr>
        <w:t>31.2 Statement of Sempra Energy's Chief Financial Officer pursuant to Rules 13a-14 and 15d-14 of the Securities Exchange Act of 1934.</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31.3  Statement of San Diego Gas &amp; Electric Company's Chief Executive Officer pursuant to Rules</w:t>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13a-14 and 15d-14 of the Securities Exchange Act of 1934.</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31.4  Statement of San Diego Gas &amp; Electric Company's Chief Financial Officer pursuant to Rules</w:t>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13a-14 and 15d-14 of the Securities Exchange Act of 1934.</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60" w:lineRule="exact"/>
        <w:rPr>
          <w:sz w:val="20"/>
          <w:szCs w:val="20"/>
          <w:color w:val="auto"/>
        </w:rPr>
      </w:pPr>
    </w:p>
    <w:p>
      <w:pPr>
        <w:ind w:left="1880" w:right="959" w:hanging="390"/>
        <w:spacing w:after="0" w:line="276" w:lineRule="auto"/>
        <w:rPr>
          <w:sz w:val="20"/>
          <w:szCs w:val="20"/>
          <w:color w:val="auto"/>
        </w:rPr>
      </w:pPr>
      <w:r>
        <w:rPr>
          <w:rFonts w:ascii="Arial" w:cs="Arial" w:eastAsia="Arial" w:hAnsi="Arial"/>
          <w:sz w:val="16"/>
          <w:szCs w:val="16"/>
          <w:color w:val="auto"/>
        </w:rPr>
        <w:t>31.5 Statement of Pacific Enterprise's Chief Executive Officer pursuant to Rules 13a-14 and 15d-14 of the Securities Exchange Act of 1934.</w:t>
      </w:r>
    </w:p>
    <w:p>
      <w:pPr>
        <w:spacing w:after="0" w:line="186" w:lineRule="exact"/>
        <w:rPr>
          <w:sz w:val="20"/>
          <w:szCs w:val="20"/>
          <w:color w:val="auto"/>
        </w:rPr>
      </w:pPr>
    </w:p>
    <w:p>
      <w:pPr>
        <w:ind w:left="1880" w:right="1019" w:hanging="390"/>
        <w:spacing w:after="0" w:line="276" w:lineRule="auto"/>
        <w:rPr>
          <w:sz w:val="20"/>
          <w:szCs w:val="20"/>
          <w:color w:val="auto"/>
        </w:rPr>
      </w:pPr>
      <w:r>
        <w:rPr>
          <w:rFonts w:ascii="Arial" w:cs="Arial" w:eastAsia="Arial" w:hAnsi="Arial"/>
          <w:sz w:val="16"/>
          <w:szCs w:val="16"/>
          <w:color w:val="auto"/>
        </w:rPr>
        <w:t>31.6 Statement of Pacific Enterprise's Chief Financial Officer pursuant to Rules 13a-14 and 15d-14 of the Securities Exchange Act of 1934.</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6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31.7  Statement of Southern California Gas Company's Chief Executive Officer pursuant to Rules 13a-</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14 and 15d-14 of the Securities Exchange Act of 1934.</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31.8  Statement of Southern California Gas Company's Chief Financial Officer pursuant to Rules 13a-</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14 and 15d-14 of the Securities Exchange Act of 1934.</w:t>
      </w:r>
    </w:p>
    <w:p>
      <w:pPr>
        <w:spacing w:after="0" w:line="33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EXHIBIT 32 -- SECTION 906 CERTIFICATIONS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Sempra Energy</w:t>
      </w:r>
    </w:p>
    <w:p>
      <w:pPr>
        <w:spacing w:after="0" w:line="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32.1  Statement of Sempra Energy's Chief Executive Officer pursuant to 18 U.S.C. Sec. 1350.</w:t>
      </w: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32.2  Statement of Sempra Energy's Chief Financial Officer pursuant to 18 U.S.C. Sec. 1350.</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6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32.3  Statement of San Diego Gas &amp; Electric Company's Chief Executive Officer pursuant to 18 U.S.C.</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 1350.</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32.4  Statement of San Diego Gas &amp; Electric Company's Chief Financial Officer pursuant to 18 U.S.C.</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 1350.</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32.5  Statement of Pacific Enterprise's Chief Executive Officer pursuant to 18 U.S.C. Sec. 1350.</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&amp;n bsp;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32.6  Statement of Pacific Enterprise's Chief Financial Officer pursuant to 18 U.S.C. Sec. 1350.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&lt; tr&gt;</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6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32.7  Statement of Southern California Gas Company's Chief Executive Officer pursuant to 18 U.S.C.</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 1350.</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32.8  Statement of Southern California Gas Company's Chief Financial Offi cer pursuant to 18 U.S.C.</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 1350.</w:t>
      </w:r>
    </w:p>
    <w:p>
      <w:pPr>
        <w:sectPr>
          <w:pgSz w:w="11900" w:h="16860" w:orient="portrait"/>
          <w:cols w:equalWidth="0" w:num="1">
            <w:col w:w="9019"/>
          </w:cols>
          <w:pgMar w:left="1440" w:top="120" w:right="1440" w:bottom="0" w:gutter="0" w:footer="0" w:header="0"/>
        </w:sectPr>
      </w:pPr>
    </w:p>
    <w:p>
      <w:pPr>
        <w:spacing w:after="0" w:line="337"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EXHIBIT 101 -- INTERACTIVE DATA FILE</w:t>
      </w:r>
    </w:p>
    <w:p>
      <w:pPr>
        <w:sectPr>
          <w:pgSz w:w="11900" w:h="16860" w:orient="portrait"/>
          <w:cols w:equalWidth="0" w:num="1">
            <w:col w:w="9019"/>
          </w:cols>
          <w:pgMar w:left="1440" w:top="120" w:right="1440" w:bottom="0" w:gutter="0" w:footer="0" w:header="0"/>
          <w:type w:val="continuous"/>
        </w:sectPr>
      </w:pPr>
    </w:p>
    <w:bookmarkStart w:id="56" w:name="page57"/>
    <w:bookmarkEnd w:id="56"/>
    <w:p>
      <w:pPr>
        <w:ind w:left="1240"/>
        <w:spacing w:after="0"/>
        <w:rPr>
          <w:sz w:val="20"/>
          <w:szCs w:val="20"/>
          <w:color w:val="auto"/>
        </w:rPr>
      </w:pPr>
      <w:r>
        <w:rPr>
          <w:rFonts w:ascii="Arial" w:cs="Arial" w:eastAsia="Arial" w:hAnsi="Arial"/>
          <w:sz w:val="16"/>
          <w:szCs w:val="16"/>
          <w:color w:val="auto"/>
        </w:rPr>
        <w:t>101.INS  XBRL Instance Document</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9"/>
          <w:szCs w:val="19"/>
          <w:color w:val="auto"/>
        </w:rPr>
        <w:t>;</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101.SCH  XBRL Taxonomy Extension Schema Document</w:t>
      </w:r>
    </w:p>
    <w:p>
      <w:pPr>
        <w:spacing w:after="0" w:line="21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2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101.DEF  XBRL Taxonomy Extension Definition Linkbase Document</w:t>
      </w:r>
    </w:p>
    <w:p>
      <w:pPr>
        <w:spacing w:after="0" w:line="2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101.LAB  XBRL Taxonomy Extension Label Linkbase Document</w:t>
      </w:r>
    </w:p>
    <w:p>
      <w:pPr>
        <w:spacing w:after="0" w:line="23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SIGNATURES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Sempra Energy:</w:t>
      </w:r>
    </w:p>
    <w:p>
      <w:pPr>
        <w:spacing w:after="0" w:line="224" w:lineRule="exact"/>
        <w:rPr>
          <w:sz w:val="20"/>
          <w:szCs w:val="20"/>
          <w:color w:val="auto"/>
        </w:rPr>
      </w:pPr>
    </w:p>
    <w:p>
      <w:pPr>
        <w:ind w:left="460" w:right="1299"/>
        <w:spacing w:after="0" w:line="31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SEMPRA ENERGY,</w:t>
            </w:r>
          </w:p>
        </w:tc>
      </w:tr>
      <w:tr>
        <w:trPr>
          <w:trHeight w:val="201"/>
        </w:trPr>
        <w:tc>
          <w:tcPr>
            <w:tcW w:w="318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(Registrant)</w:t>
            </w:r>
          </w:p>
        </w:tc>
      </w:tr>
      <w:tr>
        <w:trPr>
          <w:trHeight w:val="415"/>
        </w:trPr>
        <w:tc>
          <w:tcPr>
            <w:tcW w:w="3180" w:type="dxa"/>
            <w:vAlign w:val="bottom"/>
          </w:tcPr>
          <w:p>
            <w:pPr>
              <w:spacing w:after="0"/>
              <w:rPr>
                <w:sz w:val="20"/>
                <w:szCs w:val="20"/>
                <w:color w:val="auto"/>
              </w:rPr>
            </w:pPr>
            <w:r>
              <w:rPr>
                <w:rFonts w:ascii="Arial" w:cs="Arial" w:eastAsia="Arial" w:hAnsi="Arial"/>
                <w:sz w:val="16"/>
                <w:szCs w:val="16"/>
                <w:color w:val="auto"/>
              </w:rPr>
              <w:t>Date: August 3, 2010</w:t>
            </w: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Joseph A. Householder</w:t>
            </w:r>
          </w:p>
        </w:tc>
      </w:tr>
      <w:tr>
        <w:trPr>
          <w:trHeight w:val="179"/>
        </w:trPr>
        <w:tc>
          <w:tcPr>
            <w:tcW w:w="318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Arial" w:cs="Arial" w:eastAsia="Arial" w:hAnsi="Arial"/>
                <w:sz w:val="16"/>
                <w:szCs w:val="16"/>
                <w:color w:val="auto"/>
              </w:rPr>
              <w:t>Joseph A. Householder</w:t>
            </w:r>
          </w:p>
        </w:tc>
      </w:tr>
      <w:tr>
        <w:trPr>
          <w:trHeight w:val="195"/>
        </w:trPr>
        <w:tc>
          <w:tcPr>
            <w:tcW w:w="318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Senior Vice President, Controller and</w:t>
            </w:r>
          </w:p>
        </w:tc>
      </w:tr>
      <w:tr>
        <w:trPr>
          <w:trHeight w:val="201"/>
        </w:trPr>
        <w:tc>
          <w:tcPr>
            <w:tcW w:w="318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Chief Accounting Officer</w:t>
            </w: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San Diego Gas &amp; Electric Company:</w:t>
      </w:r>
    </w:p>
    <w:p>
      <w:pPr>
        <w:spacing w:after="0" w:line="234" w:lineRule="exact"/>
        <w:rPr>
          <w:sz w:val="20"/>
          <w:szCs w:val="20"/>
          <w:color w:val="auto"/>
        </w:rPr>
      </w:pPr>
    </w:p>
    <w:p>
      <w:pPr>
        <w:ind w:left="460" w:right="1299"/>
        <w:spacing w:after="0" w:line="31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SAN DIEGO GAS &amp; ELECTRIC COMPANY,</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(Registrant)</w:t>
            </w:r>
          </w:p>
        </w:tc>
      </w:tr>
      <w:tr>
        <w:trPr>
          <w:trHeight w:val="415"/>
        </w:trPr>
        <w:tc>
          <w:tcPr>
            <w:tcW w:w="3100" w:type="dxa"/>
            <w:vAlign w:val="bottom"/>
          </w:tcPr>
          <w:p>
            <w:pPr>
              <w:spacing w:after="0"/>
              <w:rPr>
                <w:sz w:val="20"/>
                <w:szCs w:val="20"/>
                <w:color w:val="auto"/>
              </w:rPr>
            </w:pPr>
            <w:r>
              <w:rPr>
                <w:rFonts w:ascii="Arial" w:cs="Arial" w:eastAsia="Arial" w:hAnsi="Arial"/>
                <w:sz w:val="16"/>
                <w:szCs w:val="16"/>
                <w:color w:val="auto"/>
              </w:rPr>
              <w:t>Date: August 3, 2010</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Robert M. Schlax</w:t>
            </w:r>
          </w:p>
        </w:tc>
      </w:tr>
      <w:tr>
        <w:trPr>
          <w:trHeight w:val="179"/>
        </w:trPr>
        <w:tc>
          <w:tcPr>
            <w:tcW w:w="3100" w:type="dxa"/>
            <w:vAlign w:val="bottom"/>
          </w:tcPr>
          <w:p>
            <w:pPr>
              <w:spacing w:after="0"/>
              <w:rPr>
                <w:sz w:val="15"/>
                <w:szCs w:val="15"/>
                <w:color w:val="auto"/>
              </w:rPr>
            </w:pPr>
          </w:p>
        </w:tc>
        <w:tc>
          <w:tcPr>
            <w:tcW w:w="3940" w:type="dxa"/>
            <w:vAlign w:val="bottom"/>
          </w:tcPr>
          <w:p>
            <w:pPr>
              <w:spacing w:after="0" w:line="180" w:lineRule="exact"/>
              <w:rPr>
                <w:sz w:val="20"/>
                <w:szCs w:val="20"/>
                <w:color w:val="auto"/>
              </w:rPr>
            </w:pPr>
            <w:r>
              <w:rPr>
                <w:rFonts w:ascii="Arial" w:cs="Arial" w:eastAsia="Arial" w:hAnsi="Arial"/>
                <w:sz w:val="16"/>
                <w:szCs w:val="16"/>
                <w:color w:val="auto"/>
              </w:rPr>
              <w:t>Robert M. Schlax</w:t>
            </w:r>
          </w:p>
        </w:tc>
      </w:t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Vice President, Controller, Chief Financial Officer</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and Chief Accounting Officer</w:t>
            </w: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Pacific Enterprises:</w:t>
      </w:r>
    </w:p>
    <w:p>
      <w:pPr>
        <w:spacing w:after="0" w:line="234" w:lineRule="exact"/>
        <w:rPr>
          <w:sz w:val="20"/>
          <w:szCs w:val="20"/>
          <w:color w:val="auto"/>
        </w:rPr>
      </w:pPr>
    </w:p>
    <w:p>
      <w:pPr>
        <w:ind w:left="460" w:right="1299"/>
        <w:spacing w:after="0" w:line="31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PACIFIC ENTERPRISES,</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(Registrant)</w:t>
            </w:r>
          </w:p>
        </w:tc>
      </w:tr>
      <w:tr>
        <w:trPr>
          <w:trHeight w:val="415"/>
        </w:trPr>
        <w:tc>
          <w:tcPr>
            <w:tcW w:w="3100" w:type="dxa"/>
            <w:vAlign w:val="bottom"/>
          </w:tcPr>
          <w:p>
            <w:pPr>
              <w:spacing w:after="0"/>
              <w:rPr>
                <w:sz w:val="20"/>
                <w:szCs w:val="20"/>
                <w:color w:val="auto"/>
              </w:rPr>
            </w:pPr>
            <w:r>
              <w:rPr>
                <w:rFonts w:ascii="Arial" w:cs="Arial" w:eastAsia="Arial" w:hAnsi="Arial"/>
                <w:sz w:val="16"/>
                <w:szCs w:val="16"/>
                <w:color w:val="auto"/>
              </w:rPr>
              <w:t>Date: August 3, 2010</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Robert M. Schlax</w:t>
            </w:r>
          </w:p>
        </w:tc>
      </w:tr>
      <w:tr>
        <w:trPr>
          <w:trHeight w:val="179"/>
        </w:trPr>
        <w:tc>
          <w:tcPr>
            <w:tcW w:w="3100" w:type="dxa"/>
            <w:vAlign w:val="bottom"/>
          </w:tcPr>
          <w:p>
            <w:pPr>
              <w:spacing w:after="0"/>
              <w:rPr>
                <w:sz w:val="15"/>
                <w:szCs w:val="15"/>
                <w:color w:val="auto"/>
              </w:rPr>
            </w:pPr>
          </w:p>
        </w:tc>
        <w:tc>
          <w:tcPr>
            <w:tcW w:w="3940" w:type="dxa"/>
            <w:vAlign w:val="bottom"/>
          </w:tcPr>
          <w:p>
            <w:pPr>
              <w:spacing w:after="0" w:line="180" w:lineRule="exact"/>
              <w:rPr>
                <w:sz w:val="20"/>
                <w:szCs w:val="20"/>
                <w:color w:val="auto"/>
              </w:rPr>
            </w:pPr>
            <w:r>
              <w:rPr>
                <w:rFonts w:ascii="Arial" w:cs="Arial" w:eastAsia="Arial" w:hAnsi="Arial"/>
                <w:sz w:val="16"/>
                <w:szCs w:val="16"/>
                <w:color w:val="auto"/>
              </w:rPr>
              <w:t>Robert M. Schlax</w:t>
            </w:r>
          </w:p>
        </w:tc>
      </w:t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Vice President, Controller, Chief Financial Officer</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and Chief Accounting Officer</w:t>
            </w: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Southe rn California Gas Company:</w:t>
      </w:r>
    </w:p>
    <w:p>
      <w:pPr>
        <w:spacing w:after="0" w:line="234" w:lineRule="exact"/>
        <w:rPr>
          <w:sz w:val="20"/>
          <w:szCs w:val="20"/>
          <w:color w:val="auto"/>
        </w:rPr>
      </w:pPr>
    </w:p>
    <w:p>
      <w:pPr>
        <w:ind w:left="460" w:right="1299"/>
        <w:spacing w:after="0" w:line="31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SOUTHERN CALIFORNIA GAS COMPANY,</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(Registrant)</w:t>
            </w:r>
          </w:p>
        </w:tc>
      </w:tr>
      <w:tr>
        <w:trPr>
          <w:trHeight w:val="415"/>
        </w:trPr>
        <w:tc>
          <w:tcPr>
            <w:tcW w:w="3100" w:type="dxa"/>
            <w:vAlign w:val="bottom"/>
          </w:tcPr>
          <w:p>
            <w:pPr>
              <w:spacing w:after="0"/>
              <w:rPr>
                <w:sz w:val="20"/>
                <w:szCs w:val="20"/>
                <w:color w:val="auto"/>
              </w:rPr>
            </w:pPr>
            <w:r>
              <w:rPr>
                <w:rFonts w:ascii="Arial" w:cs="Arial" w:eastAsia="Arial" w:hAnsi="Arial"/>
                <w:sz w:val="16"/>
                <w:szCs w:val="16"/>
                <w:color w:val="auto"/>
              </w:rPr>
              <w:t>Date: August 3, 2010</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Robert M. Schlax</w:t>
            </w:r>
          </w:p>
        </w:tc>
      </w:tr>
      <w:tr>
        <w:trPr>
          <w:trHeight w:val="179"/>
        </w:trPr>
        <w:tc>
          <w:tcPr>
            <w:tcW w:w="3100" w:type="dxa"/>
            <w:vAlign w:val="bottom"/>
          </w:tcPr>
          <w:p>
            <w:pPr>
              <w:spacing w:after="0"/>
              <w:rPr>
                <w:sz w:val="15"/>
                <w:szCs w:val="15"/>
                <w:color w:val="auto"/>
              </w:rPr>
            </w:pPr>
          </w:p>
        </w:tc>
        <w:tc>
          <w:tcPr>
            <w:tcW w:w="3940" w:type="dxa"/>
            <w:vAlign w:val="bottom"/>
          </w:tcPr>
          <w:p>
            <w:pPr>
              <w:spacing w:after="0" w:line="180" w:lineRule="exact"/>
              <w:rPr>
                <w:sz w:val="20"/>
                <w:szCs w:val="20"/>
                <w:color w:val="auto"/>
              </w:rPr>
            </w:pPr>
            <w:r>
              <w:rPr>
                <w:rFonts w:ascii="Arial" w:cs="Arial" w:eastAsia="Arial" w:hAnsi="Arial"/>
                <w:sz w:val="16"/>
                <w:szCs w:val="16"/>
                <w:color w:val="auto"/>
              </w:rPr>
              <w:t>Robert M. Schlax</w:t>
            </w:r>
          </w:p>
        </w:tc>
      </w:tr>
      <w:tr>
        <w:trPr>
          <w:trHeight w:val="195"/>
        </w:trPr>
        <w:tc>
          <w:tcPr>
            <w:tcW w:w="31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Vice President, Controller, Chief Financial Officer</w:t>
            </w:r>
          </w:p>
        </w:tc>
      </w:tr>
      <w:tr>
        <w:trPr>
          <w:trHeight w:val="201"/>
        </w:trPr>
        <w:tc>
          <w:tcPr>
            <w:tcW w:w="31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and Chief Accounting Officer</w:t>
            </w:r>
          </w:p>
        </w:tc>
      </w:tr>
    </w:tbl>
    <w:p>
      <w:pPr>
        <w:sectPr>
          <w:pgSz w:w="11900" w:h="16838" w:orient="portrait"/>
          <w:cols w:equalWidth="0" w:num="1">
            <w:col w:w="9019"/>
          </w:cols>
          <w:pgMar w:left="1440" w:top="423"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AMENDMENT TO THE PURCHASE AND SALE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J.P. Morgan Ventures Energy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383 Madison Avenue, 10th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New York, New York 10017</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June 30, 2010</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Royal Bank of Scotland plc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House 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RBS Gogarburn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Edinburgh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EH12 1HQ</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Attention: Group General Counsel</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101 Ash Street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San Diego, California 92101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Attention: Mark Snell, Chief 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RBS Sempra Commodities LLP</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600 Washington Boulevard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Stamford, Connecticut 06901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Attention: Michael Goldstein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Trading LLC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 RBS Sempra Commodities LLP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600 Washington Boulevard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Stamford, Connecticut 06901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Attention: Michael Goldstein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Ladies and Gentlemen:</w:t>
      </w:r>
    </w:p>
    <w:p>
      <w:pPr>
        <w:spacing w:after="0" w:line="220" w:lineRule="exact"/>
        <w:rPr>
          <w:sz w:val="20"/>
          <w:szCs w:val="20"/>
          <w:color w:val="auto"/>
        </w:rPr>
      </w:pPr>
    </w:p>
    <w:p>
      <w:pPr>
        <w:ind w:right="340" w:firstLine="1169"/>
        <w:spacing w:after="0" w:line="247" w:lineRule="auto"/>
        <w:rPr>
          <w:sz w:val="20"/>
          <w:szCs w:val="20"/>
          <w:color w:val="auto"/>
        </w:rPr>
      </w:pPr>
      <w:r>
        <w:rPr>
          <w:rFonts w:ascii="Arial" w:cs="Arial" w:eastAsia="Arial" w:hAnsi="Arial"/>
          <w:sz w:val="19"/>
          <w:szCs w:val="19"/>
          <w:i w:val="1"/>
          <w:iCs w:val="1"/>
          <w:color w:val="auto"/>
        </w:rPr>
        <w:t>Reference is made to the Purchase and Sale Agreement, dated as of February 16, 2010, by and among J.P. Morgan Ventures Energy Corporation, a Delaware corporation, Sempra Energy, a California corporation, The Royal Bank of Scotland plc, a public limited company incorporated in Scotland, Sempra Energy Trading LLC, a Delaware limited liability company, and RBS Sempra Commodities LLP, a limited liability partnership constituted under the Limited Liability Partnership Act of 2000 of the United Kingdom and the regulations made thereunder (the “</w:t>
      </w:r>
      <w:r>
        <w:rPr>
          <w:rFonts w:ascii="Arial" w:cs="Arial" w:eastAsia="Arial" w:hAnsi="Arial"/>
          <w:sz w:val="19"/>
          <w:szCs w:val="19"/>
          <w:i w:val="1"/>
          <w:iCs w:val="1"/>
          <w:u w:val="single" w:color="auto"/>
          <w:color w:val="auto"/>
        </w:rPr>
        <w:t>Purchase Agreement</w:t>
      </w:r>
      <w:r>
        <w:rPr>
          <w:rFonts w:ascii="Arial" w:cs="Arial" w:eastAsia="Arial" w:hAnsi="Arial"/>
          <w:sz w:val="19"/>
          <w:szCs w:val="19"/>
          <w:i w:val="1"/>
          <w:iCs w:val="1"/>
          <w:color w:val="auto"/>
        </w:rPr>
        <w:t>”). Capitalized terms used herein without definition have the meanings provided in the Purchase Agreement.</w:t>
      </w:r>
    </w:p>
    <w:p>
      <w:pPr>
        <w:spacing w:after="0" w:line="161" w:lineRule="exact"/>
        <w:rPr>
          <w:sz w:val="20"/>
          <w:szCs w:val="20"/>
          <w:color w:val="auto"/>
        </w:rPr>
      </w:pPr>
    </w:p>
    <w:p>
      <w:pPr>
        <w:ind w:right="40" w:firstLine="1169"/>
        <w:spacing w:after="0" w:line="256" w:lineRule="auto"/>
        <w:rPr>
          <w:sz w:val="20"/>
          <w:szCs w:val="20"/>
          <w:color w:val="auto"/>
        </w:rPr>
      </w:pPr>
      <w:r>
        <w:rPr>
          <w:rFonts w:ascii="Arial" w:cs="Arial" w:eastAsia="Arial" w:hAnsi="Arial"/>
          <w:sz w:val="19"/>
          <w:szCs w:val="19"/>
          <w:i w:val="1"/>
          <w:iCs w:val="1"/>
          <w:color w:val="auto"/>
        </w:rPr>
        <w:t>The parties hereto, in consideration of the mutual promises contained herein, intending to be legally bound and in accordance with the requirements of Section 10.7 of the Purchase Agreement, hereby agree to make the following amendments to the Purchase Agreement (this agreement, the “</w:t>
      </w:r>
      <w:r>
        <w:rPr>
          <w:rFonts w:ascii="Arial" w:cs="Arial" w:eastAsia="Arial" w:hAnsi="Arial"/>
          <w:sz w:val="19"/>
          <w:szCs w:val="19"/>
          <w:i w:val="1"/>
          <w:iCs w:val="1"/>
          <w:u w:val="single" w:color="auto"/>
          <w:color w:val="auto"/>
        </w:rPr>
        <w:t>First Amendment</w:t>
      </w:r>
      <w:r>
        <w:rPr>
          <w:rFonts w:ascii="Arial" w:cs="Arial" w:eastAsia="Arial" w:hAnsi="Arial"/>
          <w:sz w:val="19"/>
          <w:szCs w:val="19"/>
          <w:i w:val="1"/>
          <w:i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Exclusion of Certain Assets</w:t>
      </w:r>
    </w:p>
    <w:p>
      <w:pPr>
        <w:spacing w:after="0" w:line="183" w:lineRule="exact"/>
        <w:rPr>
          <w:sz w:val="20"/>
          <w:szCs w:val="20"/>
          <w:color w:val="auto"/>
        </w:rPr>
      </w:pPr>
    </w:p>
    <w:p>
      <w:pPr>
        <w:ind w:right="700" w:firstLine="582"/>
        <w:spacing w:after="0" w:line="272" w:lineRule="auto"/>
        <w:tabs>
          <w:tab w:leader="none" w:pos="1169" w:val="left"/>
        </w:tabs>
        <w:numPr>
          <w:ilvl w:val="0"/>
          <w:numId w:val="53"/>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2.1(c)(i)(B)</w:t>
      </w:r>
      <w:r>
        <w:rPr>
          <w:rFonts w:ascii="Arial" w:cs="Arial" w:eastAsia="Arial" w:hAnsi="Arial"/>
          <w:sz w:val="19"/>
          <w:szCs w:val="19"/>
          <w:i w:val="1"/>
          <w:iCs w:val="1"/>
          <w:color w:val="auto"/>
        </w:rPr>
        <w:t xml:space="preserve"> of the Purchase Agreement is hereby amended by inserting the following at the beginning thereof: “the Aquantum and RCOM Assets,”.</w:t>
      </w:r>
    </w:p>
    <w:p>
      <w:pPr>
        <w:spacing w:after="0" w:line="137" w:lineRule="exact"/>
        <w:rPr>
          <w:rFonts w:ascii="Arial" w:cs="Arial" w:eastAsia="Arial" w:hAnsi="Arial"/>
          <w:sz w:val="19"/>
          <w:szCs w:val="19"/>
          <w:i w:val="1"/>
          <w:iCs w:val="1"/>
          <w:color w:val="7F0000"/>
        </w:rPr>
      </w:pPr>
    </w:p>
    <w:p>
      <w:pPr>
        <w:ind w:left="1160" w:hanging="578"/>
        <w:spacing w:after="0"/>
        <w:tabs>
          <w:tab w:leader="none" w:pos="1160" w:val="left"/>
        </w:tabs>
        <w:numPr>
          <w:ilvl w:val="0"/>
          <w:numId w:val="53"/>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new defined terms are hereby added to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(in alphabetical order):</w:t>
      </w:r>
    </w:p>
    <w:p>
      <w:pPr>
        <w:spacing w:after="0" w:line="183" w:lineRule="exact"/>
        <w:rPr>
          <w:rFonts w:ascii="Arial" w:cs="Arial" w:eastAsia="Arial" w:hAnsi="Arial"/>
          <w:sz w:val="19"/>
          <w:szCs w:val="19"/>
          <w:i w:val="1"/>
          <w:iCs w:val="1"/>
          <w:color w:val="7F0000"/>
        </w:rPr>
      </w:pPr>
    </w:p>
    <w:p>
      <w:pPr>
        <w:ind w:left="580" w:right="140" w:firstLine="584"/>
        <w:spacing w:after="0" w:line="272" w:lineRule="auto"/>
        <w:rPr>
          <w:rFonts w:ascii="Arial" w:cs="Arial" w:eastAsia="Arial" w:hAnsi="Arial"/>
          <w:sz w:val="19"/>
          <w:szCs w:val="19"/>
          <w:i w:val="1"/>
          <w:iCs w:val="1"/>
          <w:color w:val="7F0000"/>
        </w:rPr>
      </w:pPr>
      <w:r>
        <w:rPr>
          <w:rFonts w:ascii="Arial" w:cs="Arial" w:eastAsia="Arial" w:hAnsi="Arial"/>
          <w:sz w:val="19"/>
          <w:szCs w:val="19"/>
          <w:i w:val="1"/>
          <w:iCs w:val="1"/>
          <w:color w:val="7F0000"/>
        </w:rPr>
        <w:t xml:space="preserve">A. </w:t>
      </w:r>
      <w:r>
        <w:rPr>
          <w:rFonts w:ascii="Arial" w:cs="Arial" w:eastAsia="Arial" w:hAnsi="Arial"/>
          <w:sz w:val="19"/>
          <w:szCs w:val="19"/>
          <w:i w:val="1"/>
          <w:iCs w:val="1"/>
          <w:color w:val="000000"/>
        </w:rPr>
        <w:t>““</w:t>
      </w:r>
      <w:r>
        <w:rPr>
          <w:rFonts w:ascii="Arial" w:cs="Arial" w:eastAsia="Arial" w:hAnsi="Arial"/>
          <w:sz w:val="19"/>
          <w:szCs w:val="19"/>
          <w:i w:val="1"/>
          <w:iCs w:val="1"/>
          <w:u w:val="single" w:color="auto"/>
          <w:color w:val="000000"/>
        </w:rPr>
        <w:t>Aquantum and RCOM Assets</w:t>
      </w:r>
      <w:r>
        <w:rPr>
          <w:rFonts w:ascii="Arial" w:cs="Arial" w:eastAsia="Arial" w:hAnsi="Arial"/>
          <w:sz w:val="19"/>
          <w:szCs w:val="19"/>
          <w:i w:val="1"/>
          <w:iCs w:val="1"/>
          <w:color w:val="000000"/>
        </w:rPr>
        <w:t>” – any index trades of the Combined Business booked referencing either the Aquantum or</w:t>
      </w:r>
      <w:r>
        <w:rPr>
          <w:rFonts w:ascii="Arial" w:cs="Arial" w:eastAsia="Arial" w:hAnsi="Arial"/>
          <w:sz w:val="19"/>
          <w:szCs w:val="19"/>
          <w:i w:val="1"/>
          <w:iCs w:val="1"/>
          <w:color w:val="7F0000"/>
        </w:rPr>
        <w:t xml:space="preserve"> </w:t>
      </w:r>
      <w:r>
        <w:rPr>
          <w:rFonts w:ascii="Arial" w:cs="Arial" w:eastAsia="Arial" w:hAnsi="Arial"/>
          <w:sz w:val="19"/>
          <w:szCs w:val="19"/>
          <w:i w:val="1"/>
          <w:iCs w:val="1"/>
          <w:color w:val="000000"/>
        </w:rPr>
        <w:t>the RCOM commodities indices, along with related hedges and reserves.”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Certain Defined Terms</w:t>
      </w:r>
    </w:p>
    <w:p>
      <w:pPr>
        <w:spacing w:after="0" w:line="208" w:lineRule="exact"/>
        <w:rPr>
          <w:sz w:val="20"/>
          <w:szCs w:val="20"/>
          <w:color w:val="auto"/>
        </w:rPr>
      </w:pPr>
    </w:p>
    <w:p>
      <w:pPr>
        <w:ind w:right="40" w:firstLine="582"/>
        <w:spacing w:after="0" w:line="256" w:lineRule="auto"/>
        <w:tabs>
          <w:tab w:leader="none" w:pos="1169" w:val="left"/>
        </w:tabs>
        <w:numPr>
          <w:ilvl w:val="0"/>
          <w:numId w:val="54"/>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defined term “RBS Collateralized TRS”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 adding the following at the end thereof: “, and, for the avoidance of doubt, the term “RBS Collateralized TRS” shall be deemed to include any Bilateral Trades entered into as contemplated thereby to the extent set forth therein”.”.</w:t>
      </w:r>
    </w:p>
    <w:p>
      <w:pPr>
        <w:spacing w:after="0" w:line="153" w:lineRule="exact"/>
        <w:rPr>
          <w:rFonts w:ascii="Arial" w:cs="Arial" w:eastAsia="Arial" w:hAnsi="Arial"/>
          <w:sz w:val="19"/>
          <w:szCs w:val="19"/>
          <w:i w:val="1"/>
          <w:iCs w:val="1"/>
          <w:color w:val="7F0000"/>
        </w:rPr>
      </w:pPr>
    </w:p>
    <w:p>
      <w:pPr>
        <w:ind w:right="40" w:firstLine="582"/>
        <w:spacing w:after="0" w:line="256" w:lineRule="auto"/>
        <w:tabs>
          <w:tab w:leader="none" w:pos="1169" w:val="left"/>
        </w:tabs>
        <w:numPr>
          <w:ilvl w:val="0"/>
          <w:numId w:val="54"/>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defined term “SET Collateralized TRS”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 adding the following at the end thereof: “, and, for the avoidance of doubt, the term “SET Collateralized TRS” shall be deemed to include any Bilateral Trades entered into as contemplated thereby to the extent set forth therein”.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Transferred Companies and Transferred Holding Companies</w:t>
      </w:r>
    </w:p>
    <w:p>
      <w:pPr>
        <w:spacing w:after="0" w:line="183" w:lineRule="exact"/>
        <w:rPr>
          <w:sz w:val="20"/>
          <w:szCs w:val="20"/>
          <w:color w:val="auto"/>
        </w:rPr>
      </w:pPr>
    </w:p>
    <w:p>
      <w:pPr>
        <w:ind w:right="200" w:firstLine="582"/>
        <w:spacing w:after="0" w:line="272" w:lineRule="auto"/>
        <w:tabs>
          <w:tab w:leader="none" w:pos="1169" w:val="left"/>
        </w:tabs>
        <w:numPr>
          <w:ilvl w:val="0"/>
          <w:numId w:val="55"/>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1.1(s)</w:t>
      </w:r>
      <w:r>
        <w:rPr>
          <w:rFonts w:ascii="Arial" w:cs="Arial" w:eastAsia="Arial" w:hAnsi="Arial"/>
          <w:sz w:val="19"/>
          <w:szCs w:val="19"/>
          <w:i w:val="1"/>
          <w:iCs w:val="1"/>
          <w:color w:val="auto"/>
        </w:rPr>
        <w:t xml:space="preserve"> of the Seller Disclosure Letter is hereby amended by adding “RBS Sempra Commodities Holdings IV B.V.” to the list of Transferred Holding Companies.</w:t>
      </w:r>
    </w:p>
    <w:p>
      <w:pPr>
        <w:sectPr>
          <w:pgSz w:w="11900" w:h="16838" w:orient="portrait"/>
          <w:cols w:equalWidth="0" w:num="1">
            <w:col w:w="11440"/>
          </w:cols>
          <w:pgMar w:left="240" w:top="120" w:right="219" w:bottom="0" w:gutter="0" w:footer="0" w:header="0"/>
        </w:sectPr>
      </w:pPr>
    </w:p>
    <w:p>
      <w:pPr>
        <w:spacing w:after="0" w:line="126" w:lineRule="exact"/>
        <w:rPr>
          <w:sz w:val="20"/>
          <w:szCs w:val="20"/>
          <w:color w:val="auto"/>
        </w:rPr>
      </w:pPr>
    </w:p>
    <w:p>
      <w:pPr>
        <w:ind w:right="60" w:firstLine="582"/>
        <w:spacing w:after="0" w:line="301" w:lineRule="auto"/>
        <w:tabs>
          <w:tab w:leader="none" w:pos="1169" w:val="left"/>
        </w:tabs>
        <w:numPr>
          <w:ilvl w:val="0"/>
          <w:numId w:val="56"/>
        </w:numPr>
        <w:rPr>
          <w:rFonts w:ascii="Arial" w:cs="Arial" w:eastAsia="Arial" w:hAnsi="Arial"/>
          <w:sz w:val="17"/>
          <w:szCs w:val="17"/>
          <w:i w:val="1"/>
          <w:iCs w:val="1"/>
          <w:color w:val="7F0000"/>
        </w:rPr>
      </w:pPr>
      <w:r>
        <w:rPr>
          <w:rFonts w:ascii="Arial" w:cs="Arial" w:eastAsia="Arial" w:hAnsi="Arial"/>
          <w:sz w:val="17"/>
          <w:szCs w:val="17"/>
          <w:i w:val="1"/>
          <w:iCs w:val="1"/>
          <w:u w:val="single" w:color="auto"/>
          <w:color w:val="auto"/>
        </w:rPr>
        <w:t>Schedule 1.1(q)</w:t>
      </w:r>
      <w:r>
        <w:rPr>
          <w:rFonts w:ascii="Arial" w:cs="Arial" w:eastAsia="Arial" w:hAnsi="Arial"/>
          <w:sz w:val="17"/>
          <w:szCs w:val="17"/>
          <w:i w:val="1"/>
          <w:iCs w:val="1"/>
          <w:color w:val="auto"/>
        </w:rPr>
        <w:t xml:space="preserve"> of the Seller Disclosure Letter is hereby amended by adding “RBS Sempra Metals Trading (Shanghai) Co. Ltd.” to the list of Transferred Companies and by inserting the following footnote with respect thereto: “If this entity has been dissolved prior to the Closing, this entity will not be a Transferred Company and none of the Seller Parties shall have any obligation to sell and the Purchaser shall not</w:t>
      </w:r>
    </w:p>
    <w:p>
      <w:pPr>
        <w:sectPr>
          <w:pgSz w:w="11900" w:h="16838" w:orient="portrait"/>
          <w:cols w:equalWidth="0" w:num="1">
            <w:col w:w="11440"/>
          </w:cols>
          <w:pgMar w:left="240" w:top="120" w:right="219" w:bottom="0" w:gutter="0" w:footer="0" w:header="0"/>
          <w:type w:val="continuous"/>
        </w:sectPr>
      </w:pPr>
    </w:p>
    <w:bookmarkStart w:id="58" w:name="page59"/>
    <w:bookmarkEnd w:id="58"/>
    <w:p>
      <w:pPr>
        <w:ind w:right="660"/>
        <w:spacing w:after="0" w:line="273" w:lineRule="auto"/>
        <w:rPr>
          <w:sz w:val="20"/>
          <w:szCs w:val="20"/>
          <w:color w:val="auto"/>
        </w:rPr>
      </w:pPr>
      <w:r>
        <w:rPr>
          <w:rFonts w:ascii="Arial" w:cs="Arial" w:eastAsia="Arial" w:hAnsi="Arial"/>
          <w:sz w:val="19"/>
          <w:szCs w:val="19"/>
          <w:i w:val="1"/>
          <w:iCs w:val="1"/>
          <w:color w:val="auto"/>
        </w:rPr>
        <w:t>have any obligation to purchase any Transferred Equity Interests in relation to such entity, or otherwise transfer any assets or assume any liabilities in relation to such entity pursuant to this Agreement.”</w:t>
      </w:r>
    </w:p>
    <w:p>
      <w:pPr>
        <w:spacing w:after="0" w:line="125" w:lineRule="exact"/>
        <w:rPr>
          <w:sz w:val="20"/>
          <w:szCs w:val="20"/>
          <w:color w:val="auto"/>
        </w:rPr>
      </w:pPr>
    </w:p>
    <w:p>
      <w:pPr>
        <w:ind w:right="80" w:firstLine="582"/>
        <w:spacing w:after="0" w:line="272" w:lineRule="auto"/>
        <w:tabs>
          <w:tab w:leader="none" w:pos="1169"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Item 2 of </w:t>
      </w:r>
      <w:r>
        <w:rPr>
          <w:rFonts w:ascii="Arial" w:cs="Arial" w:eastAsia="Arial" w:hAnsi="Arial"/>
          <w:sz w:val="19"/>
          <w:szCs w:val="19"/>
          <w:i w:val="1"/>
          <w:iCs w:val="1"/>
          <w:u w:val="single" w:color="auto"/>
          <w:color w:val="auto"/>
        </w:rPr>
        <w:t>Schedule 1</w:t>
      </w:r>
      <w:r>
        <w:rPr>
          <w:rFonts w:ascii="Arial" w:cs="Arial" w:eastAsia="Arial" w:hAnsi="Arial"/>
          <w:sz w:val="19"/>
          <w:szCs w:val="19"/>
          <w:i w:val="1"/>
          <w:iCs w:val="1"/>
          <w:color w:val="auto"/>
        </w:rPr>
        <w:t xml:space="preserve"> of the Seller Disclosure Letter is hereby amended by adding “j. RBS Sempra Commodities Cooperatief W.A.” at the end thereof.</w:t>
      </w:r>
    </w:p>
    <w:p>
      <w:pPr>
        <w:spacing w:after="0" w:line="137" w:lineRule="exact"/>
        <w:rPr>
          <w:rFonts w:ascii="Arial" w:cs="Arial" w:eastAsia="Arial" w:hAnsi="Arial"/>
          <w:sz w:val="19"/>
          <w:szCs w:val="19"/>
          <w:i w:val="1"/>
          <w:iCs w:val="1"/>
          <w:color w:val="7F0000"/>
        </w:rPr>
      </w:pPr>
    </w:p>
    <w:p>
      <w:pPr>
        <w:ind w:right="140" w:firstLine="582"/>
        <w:spacing w:after="0" w:line="256" w:lineRule="auto"/>
        <w:tabs>
          <w:tab w:leader="none" w:pos="1169"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Item 2 of </w:t>
      </w:r>
      <w:r>
        <w:rPr>
          <w:rFonts w:ascii="Arial" w:cs="Arial" w:eastAsia="Arial" w:hAnsi="Arial"/>
          <w:sz w:val="19"/>
          <w:szCs w:val="19"/>
          <w:i w:val="1"/>
          <w:iCs w:val="1"/>
          <w:u w:val="single" w:color="auto"/>
          <w:color w:val="auto"/>
        </w:rPr>
        <w:t>Schedule 1</w:t>
      </w:r>
      <w:r>
        <w:rPr>
          <w:rFonts w:ascii="Arial" w:cs="Arial" w:eastAsia="Arial" w:hAnsi="Arial"/>
          <w:sz w:val="19"/>
          <w:szCs w:val="19"/>
          <w:i w:val="1"/>
          <w:iCs w:val="1"/>
          <w:color w:val="auto"/>
        </w:rPr>
        <w:t xml:space="preserve"> of the Seller Disclosure Letter is hereby amended by adding “k. RBS Sempra Metals Trading (Shanghai) Co. Ltd.” at the end thereof and by inserting the following footnote with respect thereto: “This entity is in dissolution, but such dissolution may not occur prior to the Closing Date, in which case such entity shall be a Transferred Company.”</w:t>
      </w:r>
    </w:p>
    <w:p>
      <w:pPr>
        <w:spacing w:after="0" w:line="140" w:lineRule="exact"/>
        <w:rPr>
          <w:rFonts w:ascii="Arial" w:cs="Arial" w:eastAsia="Arial" w:hAnsi="Arial"/>
          <w:sz w:val="19"/>
          <w:szCs w:val="19"/>
          <w:i w:val="1"/>
          <w:iCs w:val="1"/>
          <w:color w:val="7F0000"/>
        </w:rPr>
      </w:pPr>
    </w:p>
    <w:p>
      <w:pPr>
        <w:ind w:right="240" w:firstLine="582"/>
        <w:spacing w:after="0" w:line="272" w:lineRule="auto"/>
        <w:tabs>
          <w:tab w:leader="none" w:pos="1169"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1.1(s)</w:t>
      </w:r>
      <w:r>
        <w:rPr>
          <w:rFonts w:ascii="Arial" w:cs="Arial" w:eastAsia="Arial" w:hAnsi="Arial"/>
          <w:sz w:val="19"/>
          <w:szCs w:val="19"/>
          <w:i w:val="1"/>
          <w:iCs w:val="1"/>
          <w:color w:val="auto"/>
        </w:rPr>
        <w:t xml:space="preserve"> of the Seller Disclosure Letter is hereby amended by deleting “RBS Sempra Oil Trading (Ireland) Limited” from such Schedule (including the associated footnote).</w:t>
      </w:r>
    </w:p>
    <w:p>
      <w:pPr>
        <w:spacing w:after="0" w:line="125" w:lineRule="exact"/>
        <w:rPr>
          <w:rFonts w:ascii="Arial" w:cs="Arial" w:eastAsia="Arial" w:hAnsi="Arial"/>
          <w:sz w:val="19"/>
          <w:szCs w:val="19"/>
          <w:i w:val="1"/>
          <w:iCs w:val="1"/>
          <w:color w:val="7F0000"/>
        </w:rPr>
      </w:pPr>
    </w:p>
    <w:p>
      <w:pPr>
        <w:ind w:right="220" w:firstLine="582"/>
        <w:spacing w:after="0" w:line="251" w:lineRule="auto"/>
        <w:tabs>
          <w:tab w:leader="none" w:pos="1169"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1.1(q)</w:t>
      </w:r>
      <w:r>
        <w:rPr>
          <w:rFonts w:ascii="Arial" w:cs="Arial" w:eastAsia="Arial" w:hAnsi="Arial"/>
          <w:sz w:val="19"/>
          <w:szCs w:val="19"/>
          <w:i w:val="1"/>
          <w:iCs w:val="1"/>
          <w:color w:val="auto"/>
        </w:rPr>
        <w:t xml:space="preserve"> of the Seller Disclosure Letter is hereby amended by replacing footnote 1 thereto with the following: “As of the date hereof, RBS Sempra Oil Trading (Ireland) Limited is owned 0.00004% by Sempra Energy Trading LLC and 99.9988% by RBS Sempra Energy Trading Holdings Limited. At the Closing, RBS Sempra Energy Trading Holdings Limited will directly own all of the Equity Interests of RBS Sempra Oil Trading (Ireland) Limited.”</w:t>
      </w:r>
    </w:p>
    <w:p>
      <w:pPr>
        <w:spacing w:after="0" w:line="157" w:lineRule="exact"/>
        <w:rPr>
          <w:rFonts w:ascii="Arial" w:cs="Arial" w:eastAsia="Arial" w:hAnsi="Arial"/>
          <w:sz w:val="19"/>
          <w:szCs w:val="19"/>
          <w:i w:val="1"/>
          <w:iCs w:val="1"/>
          <w:color w:val="7F0000"/>
        </w:rPr>
      </w:pPr>
    </w:p>
    <w:p>
      <w:pPr>
        <w:ind w:right="260" w:firstLine="582"/>
        <w:spacing w:after="0" w:line="272" w:lineRule="auto"/>
        <w:tabs>
          <w:tab w:leader="none" w:pos="1169"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Item 2 of </w:t>
      </w:r>
      <w:r>
        <w:rPr>
          <w:rFonts w:ascii="Arial" w:cs="Arial" w:eastAsia="Arial" w:hAnsi="Arial"/>
          <w:sz w:val="19"/>
          <w:szCs w:val="19"/>
          <w:i w:val="1"/>
          <w:iCs w:val="1"/>
          <w:u w:val="single" w:color="auto"/>
          <w:color w:val="auto"/>
        </w:rPr>
        <w:t>Schedule 9.2</w:t>
      </w:r>
      <w:r>
        <w:rPr>
          <w:rFonts w:ascii="Arial" w:cs="Arial" w:eastAsia="Arial" w:hAnsi="Arial"/>
          <w:sz w:val="19"/>
          <w:szCs w:val="19"/>
          <w:i w:val="1"/>
          <w:iCs w:val="1"/>
          <w:color w:val="auto"/>
        </w:rPr>
        <w:t xml:space="preserve"> of the Purchaser Disclosure Letter is hereby amended by adding “RBS Sempra Commodities Cooperatief W.A.” at the end thereof.</w:t>
      </w:r>
    </w:p>
    <w:p>
      <w:pPr>
        <w:spacing w:after="0" w:line="125" w:lineRule="exact"/>
        <w:rPr>
          <w:rFonts w:ascii="Arial" w:cs="Arial" w:eastAsia="Arial" w:hAnsi="Arial"/>
          <w:sz w:val="19"/>
          <w:szCs w:val="19"/>
          <w:i w:val="1"/>
          <w:iCs w:val="1"/>
          <w:color w:val="7F0000"/>
        </w:rPr>
      </w:pPr>
    </w:p>
    <w:p>
      <w:pPr>
        <w:ind w:left="1160" w:hanging="578"/>
        <w:spacing w:after="0"/>
        <w:tabs>
          <w:tab w:leader="none" w:pos="1160" w:val="left"/>
        </w:tabs>
        <w:numPr>
          <w:ilvl w:val="0"/>
          <w:numId w:val="57"/>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9.2</w:t>
      </w:r>
      <w:r>
        <w:rPr>
          <w:rFonts w:ascii="Arial" w:cs="Arial" w:eastAsia="Arial" w:hAnsi="Arial"/>
          <w:sz w:val="19"/>
          <w:szCs w:val="19"/>
          <w:i w:val="1"/>
          <w:iCs w:val="1"/>
          <w:color w:val="auto"/>
        </w:rPr>
        <w:t xml:space="preserve"> to the Purchaser Disclosure Letter is hereby amended by adding the following at the end thereof:</w:t>
      </w:r>
    </w:p>
    <w:p>
      <w:pPr>
        <w:spacing w:after="0" w:line="195" w:lineRule="exact"/>
        <w:rPr>
          <w:sz w:val="20"/>
          <w:szCs w:val="20"/>
          <w:color w:val="auto"/>
        </w:rPr>
      </w:pPr>
    </w:p>
    <w:p>
      <w:pPr>
        <w:ind w:left="580"/>
        <w:spacing w:after="0" w:line="248" w:lineRule="auto"/>
        <w:rPr>
          <w:sz w:val="20"/>
          <w:szCs w:val="20"/>
          <w:color w:val="auto"/>
        </w:rPr>
      </w:pPr>
      <w:r>
        <w:rPr>
          <w:rFonts w:ascii="Arial" w:cs="Arial" w:eastAsia="Arial" w:hAnsi="Arial"/>
          <w:sz w:val="19"/>
          <w:szCs w:val="19"/>
          <w:i w:val="1"/>
          <w:iCs w:val="1"/>
          <w:color w:val="auto"/>
        </w:rPr>
        <w:t>“9. Any Liabilities incurred or arising from the Purchaser's or its Affiliates’, including the Transferred Companies’, ownership of RBS Sempra Metals Trading (Shanghai) Co. Ltd. (to the extent such entity is not, prior to the Closing, dissolved or liquidated without further Liability of the Purchaser, its Affiliates or any Transferred Company or any of their respective Subsidiaries), including for the avoidance of doubt, any and all Damages relating to the liquidation or dissolution of such entity or arising or incurred due to the fact that such entity was not liquidated and dissolved prior to the Closing.”</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Period for Allocating Purchase Price</w:t>
      </w:r>
    </w:p>
    <w:p>
      <w:pPr>
        <w:spacing w:after="0" w:line="183" w:lineRule="exact"/>
        <w:rPr>
          <w:sz w:val="20"/>
          <w:szCs w:val="20"/>
          <w:color w:val="auto"/>
        </w:rPr>
      </w:pPr>
    </w:p>
    <w:p>
      <w:pPr>
        <w:ind w:left="1160" w:hanging="578"/>
        <w:spacing w:after="0"/>
        <w:tabs>
          <w:tab w:leader="none" w:pos="1160" w:val="left"/>
        </w:tabs>
        <w:numPr>
          <w:ilvl w:val="0"/>
          <w:numId w:val="58"/>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10.3(h)(i)</w:t>
      </w:r>
      <w:r>
        <w:rPr>
          <w:rFonts w:ascii="Arial" w:cs="Arial" w:eastAsia="Arial" w:hAnsi="Arial"/>
          <w:sz w:val="19"/>
          <w:szCs w:val="19"/>
          <w:i w:val="1"/>
          <w:iCs w:val="1"/>
          <w:color w:val="auto"/>
        </w:rPr>
        <w:t xml:space="preserve"> of the Purchase Agreement is hereby amended as follows:</w:t>
      </w:r>
    </w:p>
    <w:p>
      <w:pPr>
        <w:spacing w:after="0" w:line="195" w:lineRule="exact"/>
        <w:rPr>
          <w:rFonts w:ascii="Arial" w:cs="Arial" w:eastAsia="Arial" w:hAnsi="Arial"/>
          <w:sz w:val="19"/>
          <w:szCs w:val="19"/>
          <w:i w:val="1"/>
          <w:iCs w:val="1"/>
          <w:color w:val="7F0000"/>
        </w:rPr>
      </w:pPr>
    </w:p>
    <w:p>
      <w:pPr>
        <w:ind w:left="580" w:right="120" w:firstLine="586"/>
        <w:spacing w:after="0" w:line="272" w:lineRule="auto"/>
        <w:tabs>
          <w:tab w:leader="none" w:pos="1749" w:val="left"/>
        </w:tabs>
        <w:numPr>
          <w:ilvl w:val="1"/>
          <w:numId w:val="58"/>
        </w:numPr>
        <w:rPr>
          <w:rFonts w:ascii="Arial" w:cs="Arial" w:eastAsia="Arial" w:hAnsi="Arial"/>
          <w:sz w:val="19"/>
          <w:szCs w:val="19"/>
          <w:i w:val="1"/>
          <w:iCs w:val="1"/>
          <w:color w:val="7F0000"/>
        </w:rPr>
      </w:pPr>
      <w:r>
        <w:rPr>
          <w:rFonts w:ascii="Arial" w:cs="Arial" w:eastAsia="Arial" w:hAnsi="Arial"/>
          <w:sz w:val="19"/>
          <w:szCs w:val="19"/>
          <w:i w:val="1"/>
          <w:iCs w:val="1"/>
          <w:color w:val="auto"/>
        </w:rPr>
        <w:t>by replacing in the second sentence thereof the words “shall use commercially reasonable efforts to agree” with the words “have agreed”;</w:t>
      </w:r>
    </w:p>
    <w:p>
      <w:pPr>
        <w:spacing w:after="0" w:line="125" w:lineRule="exact"/>
        <w:rPr>
          <w:rFonts w:ascii="Arial" w:cs="Arial" w:eastAsia="Arial" w:hAnsi="Arial"/>
          <w:sz w:val="19"/>
          <w:szCs w:val="19"/>
          <w:i w:val="1"/>
          <w:iCs w:val="1"/>
          <w:color w:val="7F0000"/>
        </w:rPr>
      </w:pPr>
    </w:p>
    <w:p>
      <w:pPr>
        <w:ind w:left="1760" w:hanging="594"/>
        <w:spacing w:after="0"/>
        <w:tabs>
          <w:tab w:leader="none" w:pos="1760" w:val="left"/>
        </w:tabs>
        <w:numPr>
          <w:ilvl w:val="1"/>
          <w:numId w:val="58"/>
        </w:numPr>
        <w:rPr>
          <w:rFonts w:ascii="Arial" w:cs="Arial" w:eastAsia="Arial" w:hAnsi="Arial"/>
          <w:sz w:val="19"/>
          <w:szCs w:val="19"/>
          <w:i w:val="1"/>
          <w:iCs w:val="1"/>
          <w:color w:val="7F0000"/>
        </w:rPr>
      </w:pPr>
      <w:r>
        <w:rPr>
          <w:rFonts w:ascii="Arial" w:cs="Arial" w:eastAsia="Arial" w:hAnsi="Arial"/>
          <w:sz w:val="19"/>
          <w:szCs w:val="19"/>
          <w:i w:val="1"/>
          <w:iCs w:val="1"/>
          <w:color w:val="auto"/>
        </w:rPr>
        <w:t>by adding in the second sentence thereof the words “a methodology for performing” after “on”;</w:t>
      </w:r>
    </w:p>
    <w:p>
      <w:pPr>
        <w:spacing w:after="0" w:line="183" w:lineRule="exact"/>
        <w:rPr>
          <w:rFonts w:ascii="Arial" w:cs="Arial" w:eastAsia="Arial" w:hAnsi="Arial"/>
          <w:sz w:val="19"/>
          <w:szCs w:val="19"/>
          <w:i w:val="1"/>
          <w:iCs w:val="1"/>
          <w:color w:val="7F0000"/>
        </w:rPr>
      </w:pPr>
    </w:p>
    <w:p>
      <w:pPr>
        <w:ind w:left="580" w:right="500" w:firstLine="586"/>
        <w:spacing w:after="0" w:line="272" w:lineRule="auto"/>
        <w:tabs>
          <w:tab w:leader="none" w:pos="1749" w:val="left"/>
        </w:tabs>
        <w:numPr>
          <w:ilvl w:val="1"/>
          <w:numId w:val="58"/>
        </w:numPr>
        <w:rPr>
          <w:rFonts w:ascii="Arial" w:cs="Arial" w:eastAsia="Arial" w:hAnsi="Arial"/>
          <w:sz w:val="19"/>
          <w:szCs w:val="19"/>
          <w:i w:val="1"/>
          <w:iCs w:val="1"/>
          <w:color w:val="7F0000"/>
        </w:rPr>
      </w:pPr>
      <w:r>
        <w:rPr>
          <w:rFonts w:ascii="Arial" w:cs="Arial" w:eastAsia="Arial" w:hAnsi="Arial"/>
          <w:sz w:val="19"/>
          <w:szCs w:val="19"/>
          <w:i w:val="1"/>
          <w:iCs w:val="1"/>
          <w:color w:val="auto"/>
        </w:rPr>
        <w:t>by replacing in the second sentence thereof the words “within forty-five (45) Business Days of date of this Agreement, subject to (iv) and (v) below” with the words “on or before June 28, 2010 (the “</w:t>
      </w:r>
      <w:r>
        <w:rPr>
          <w:rFonts w:ascii="Arial" w:cs="Arial" w:eastAsia="Arial" w:hAnsi="Arial"/>
          <w:sz w:val="19"/>
          <w:szCs w:val="19"/>
          <w:i w:val="1"/>
          <w:iCs w:val="1"/>
          <w:u w:val="single" w:color="auto"/>
          <w:color w:val="auto"/>
        </w:rPr>
        <w:t>Agreed Methodology</w:t>
      </w:r>
      <w:r>
        <w:rPr>
          <w:rFonts w:ascii="Arial" w:cs="Arial" w:eastAsia="Arial" w:hAnsi="Arial"/>
          <w:sz w:val="19"/>
          <w:szCs w:val="19"/>
          <w:i w:val="1"/>
          <w:iCs w:val="1"/>
          <w:color w:val="auto"/>
        </w:rPr>
        <w:t>”)”; and</w:t>
      </w:r>
    </w:p>
    <w:p>
      <w:pPr>
        <w:spacing w:after="0" w:line="137" w:lineRule="exact"/>
        <w:rPr>
          <w:rFonts w:ascii="Arial" w:cs="Arial" w:eastAsia="Arial" w:hAnsi="Arial"/>
          <w:sz w:val="19"/>
          <w:szCs w:val="19"/>
          <w:i w:val="1"/>
          <w:iCs w:val="1"/>
          <w:color w:val="7F0000"/>
        </w:rPr>
      </w:pPr>
    </w:p>
    <w:p>
      <w:pPr>
        <w:ind w:left="1760" w:hanging="594"/>
        <w:spacing w:after="0"/>
        <w:tabs>
          <w:tab w:leader="none" w:pos="1760" w:val="left"/>
        </w:tabs>
        <w:numPr>
          <w:ilvl w:val="1"/>
          <w:numId w:val="58"/>
        </w:numPr>
        <w:rPr>
          <w:rFonts w:ascii="Arial" w:cs="Arial" w:eastAsia="Arial" w:hAnsi="Arial"/>
          <w:sz w:val="19"/>
          <w:szCs w:val="19"/>
          <w:i w:val="1"/>
          <w:iCs w:val="1"/>
          <w:color w:val="7F0000"/>
        </w:rPr>
      </w:pPr>
      <w:r>
        <w:rPr>
          <w:rFonts w:ascii="Arial" w:cs="Arial" w:eastAsia="Arial" w:hAnsi="Arial"/>
          <w:sz w:val="19"/>
          <w:szCs w:val="19"/>
          <w:i w:val="1"/>
          <w:iCs w:val="1"/>
          <w:color w:val="auto"/>
        </w:rPr>
        <w:t>by adding after the second sentence thereof the following:</w:t>
      </w:r>
    </w:p>
    <w:p>
      <w:pPr>
        <w:spacing w:after="0" w:line="195" w:lineRule="exact"/>
        <w:rPr>
          <w:sz w:val="20"/>
          <w:szCs w:val="20"/>
          <w:color w:val="auto"/>
        </w:rPr>
      </w:pPr>
    </w:p>
    <w:p>
      <w:pPr>
        <w:ind w:left="580" w:right="380"/>
        <w:spacing w:after="0" w:line="251" w:lineRule="auto"/>
        <w:rPr>
          <w:sz w:val="20"/>
          <w:szCs w:val="20"/>
          <w:color w:val="auto"/>
        </w:rPr>
      </w:pPr>
      <w:r>
        <w:rPr>
          <w:rFonts w:ascii="Arial" w:cs="Arial" w:eastAsia="Arial" w:hAnsi="Arial"/>
          <w:sz w:val="19"/>
          <w:szCs w:val="19"/>
          <w:i w:val="1"/>
          <w:iCs w:val="1"/>
          <w:color w:val="auto"/>
        </w:rPr>
        <w:t xml:space="preserve">“Prior to the determination of the Final Allocation Schedule pursuant to this </w:t>
      </w:r>
      <w:r>
        <w:rPr>
          <w:rFonts w:ascii="Arial" w:cs="Arial" w:eastAsia="Arial" w:hAnsi="Arial"/>
          <w:sz w:val="19"/>
          <w:szCs w:val="19"/>
          <w:i w:val="1"/>
          <w:iCs w:val="1"/>
          <w:u w:val="single" w:color="auto"/>
          <w:color w:val="auto"/>
        </w:rPr>
        <w:t>Section 10.3(h)</w:t>
      </w:r>
      <w:r>
        <w:rPr>
          <w:rFonts w:ascii="Arial" w:cs="Arial" w:eastAsia="Arial" w:hAnsi="Arial"/>
          <w:sz w:val="19"/>
          <w:szCs w:val="19"/>
          <w:i w:val="1"/>
          <w:iCs w:val="1"/>
          <w:color w:val="auto"/>
        </w:rPr>
        <w:t>, to the extent required to comply with applicable Transfer Tax obligations, the Parties shall agree on any applicable allocations with respect to any Transferred Companies, Transferred Assets or Transferred Liabilities. Allocations pursuant to this Section 10.3(h) shall be performed in accordance with the Agreed Methodology.”</w:t>
      </w:r>
    </w:p>
    <w:p>
      <w:pPr>
        <w:spacing w:after="0" w:line="145" w:lineRule="exact"/>
        <w:rPr>
          <w:sz w:val="20"/>
          <w:szCs w:val="20"/>
          <w:color w:val="auto"/>
        </w:rPr>
      </w:pPr>
    </w:p>
    <w:p>
      <w:pPr>
        <w:ind w:right="120" w:firstLine="582"/>
        <w:spacing w:after="0" w:line="251" w:lineRule="auto"/>
        <w:tabs>
          <w:tab w:leader="none" w:pos="1169" w:val="left"/>
        </w:tabs>
        <w:numPr>
          <w:ilvl w:val="0"/>
          <w:numId w:val="59"/>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10.3(h)(ii)</w:t>
      </w:r>
      <w:r>
        <w:rPr>
          <w:rFonts w:ascii="Arial" w:cs="Arial" w:eastAsia="Arial" w:hAnsi="Arial"/>
          <w:sz w:val="19"/>
          <w:szCs w:val="19"/>
          <w:i w:val="1"/>
          <w:iCs w:val="1"/>
          <w:color w:val="auto"/>
        </w:rPr>
        <w:t xml:space="preserve"> of the Purchase Agreement is hereby amended by replacing the words “In the event the Parties are unable to agree on such allocation within forty-five days of date of this Agreement, as promptly as practicable after such forty-five-day period, but no later than ten (10) days thereafter,” with the words “Within twenty (20) days after the determination of the Final Closing Amount pursuant to </w:t>
      </w:r>
      <w:r>
        <w:rPr>
          <w:rFonts w:ascii="Arial" w:cs="Arial" w:eastAsia="Arial" w:hAnsi="Arial"/>
          <w:sz w:val="19"/>
          <w:szCs w:val="19"/>
          <w:i w:val="1"/>
          <w:iCs w:val="1"/>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2.7(b)</w:t>
      </w:r>
      <w:r>
        <w:rPr>
          <w:rFonts w:ascii="Arial" w:cs="Arial" w:eastAsia="Arial" w:hAnsi="Arial"/>
          <w:sz w:val="19"/>
          <w:szCs w:val="19"/>
          <w:i w:val="1"/>
          <w:iCs w:val="1"/>
          <w:color w:val="auto"/>
        </w:rPr>
        <w:t xml:space="preserve"> or </w:t>
      </w:r>
      <w:r>
        <w:rPr>
          <w:rFonts w:ascii="Arial" w:cs="Arial" w:eastAsia="Arial" w:hAnsi="Arial"/>
          <w:sz w:val="19"/>
          <w:szCs w:val="19"/>
          <w:i w:val="1"/>
          <w:iCs w:val="1"/>
          <w:u w:val="single" w:color="auto"/>
          <w:color w:val="auto"/>
        </w:rPr>
        <w:t>Section 2.7(c)</w:t>
      </w:r>
      <w:r>
        <w:rPr>
          <w:rFonts w:ascii="Arial" w:cs="Arial" w:eastAsia="Arial" w:hAnsi="Arial"/>
          <w:sz w:val="19"/>
          <w:szCs w:val="19"/>
          <w:i w:val="1"/>
          <w:iCs w:val="1"/>
          <w:color w:val="auto"/>
        </w:rPr>
        <w:t>,”.</w:t>
      </w:r>
    </w:p>
    <w:p>
      <w:pPr>
        <w:spacing w:after="0" w:line="145" w:lineRule="exact"/>
        <w:rPr>
          <w:rFonts w:ascii="Arial" w:cs="Arial" w:eastAsia="Arial" w:hAnsi="Arial"/>
          <w:sz w:val="19"/>
          <w:szCs w:val="19"/>
          <w:i w:val="1"/>
          <w:iCs w:val="1"/>
          <w:color w:val="7F0000"/>
        </w:rPr>
      </w:pPr>
    </w:p>
    <w:p>
      <w:pPr>
        <w:ind w:left="1160" w:hanging="578"/>
        <w:spacing w:after="0"/>
        <w:tabs>
          <w:tab w:leader="none" w:pos="1160" w:val="left"/>
        </w:tabs>
        <w:numPr>
          <w:ilvl w:val="0"/>
          <w:numId w:val="59"/>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10.3(h)(iv)</w:t>
      </w:r>
      <w:r>
        <w:rPr>
          <w:rFonts w:ascii="Arial" w:cs="Arial" w:eastAsia="Arial" w:hAnsi="Arial"/>
          <w:sz w:val="19"/>
          <w:szCs w:val="19"/>
          <w:i w:val="1"/>
          <w:iCs w:val="1"/>
          <w:color w:val="auto"/>
        </w:rPr>
        <w:t xml:space="preserve"> of the Purchase Agreement is hereby amended by deleting the following words:</w:t>
      </w:r>
    </w:p>
    <w:p>
      <w:pPr>
        <w:spacing w:after="0" w:line="195" w:lineRule="exact"/>
        <w:rPr>
          <w:sz w:val="20"/>
          <w:szCs w:val="20"/>
          <w:color w:val="auto"/>
        </w:rPr>
      </w:pPr>
    </w:p>
    <w:p>
      <w:pPr>
        <w:ind w:left="580" w:right="60"/>
        <w:spacing w:after="0" w:line="251" w:lineRule="auto"/>
        <w:rPr>
          <w:sz w:val="20"/>
          <w:szCs w:val="20"/>
          <w:color w:val="auto"/>
        </w:rPr>
      </w:pPr>
      <w:r>
        <w:rPr>
          <w:rFonts w:ascii="Arial" w:cs="Arial" w:eastAsia="Arial" w:hAnsi="Arial"/>
          <w:sz w:val="19"/>
          <w:szCs w:val="19"/>
          <w:i w:val="1"/>
          <w:iCs w:val="1"/>
          <w:color w:val="auto"/>
        </w:rPr>
        <w:t xml:space="preserve">“The Parties will revise the Final Allocation Schedule to the extent necessary to reflect any payment made pursuant to </w:t>
      </w:r>
      <w:r>
        <w:rPr>
          <w:rFonts w:ascii="Arial" w:cs="Arial" w:eastAsia="Arial" w:hAnsi="Arial"/>
          <w:sz w:val="19"/>
          <w:szCs w:val="19"/>
          <w:i w:val="1"/>
          <w:iCs w:val="1"/>
          <w:u w:val="single" w:color="auto"/>
          <w:color w:val="auto"/>
        </w:rPr>
        <w:t>Section 2.7(d)</w:t>
      </w:r>
      <w:r>
        <w:rPr>
          <w:rFonts w:ascii="Arial" w:cs="Arial" w:eastAsia="Arial" w:hAnsi="Arial"/>
          <w:sz w:val="19"/>
          <w:szCs w:val="19"/>
          <w:i w:val="1"/>
          <w:iCs w:val="1"/>
          <w:color w:val="auto"/>
        </w:rPr>
        <w:t>. In the case of any such payment, the Purchaser shall promptly prepare and deliver (with reasonable assistance as requested from the Sellers) to the Sellers a revised Final Allocation Schedule, and the Parties shall follow the procedures outlined above with respect to review, dispute and resolution in respect of such revision.”</w:t>
      </w:r>
    </w:p>
    <w:p>
      <w:pPr>
        <w:spacing w:after="0" w:line="157" w:lineRule="exact"/>
        <w:rPr>
          <w:sz w:val="20"/>
          <w:szCs w:val="20"/>
          <w:color w:val="auto"/>
        </w:rPr>
      </w:pPr>
    </w:p>
    <w:p>
      <w:pPr>
        <w:ind w:left="580" w:right="560" w:firstLine="2"/>
        <w:spacing w:after="0" w:line="454" w:lineRule="auto"/>
        <w:tabs>
          <w:tab w:leader="none" w:pos="1164" w:val="left"/>
        </w:tabs>
        <w:numPr>
          <w:ilvl w:val="0"/>
          <w:numId w:val="60"/>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 adding the following new defined term (in alphabetical order): ““</w:t>
      </w:r>
      <w:r>
        <w:rPr>
          <w:rFonts w:ascii="Arial" w:cs="Arial" w:eastAsia="Arial" w:hAnsi="Arial"/>
          <w:sz w:val="19"/>
          <w:szCs w:val="19"/>
          <w:i w:val="1"/>
          <w:iCs w:val="1"/>
          <w:u w:val="single" w:color="auto"/>
          <w:color w:val="auto"/>
        </w:rPr>
        <w:t>Agreed Methodology</w:t>
      </w:r>
      <w:r>
        <w:rPr>
          <w:rFonts w:ascii="Arial" w:cs="Arial" w:eastAsia="Arial" w:hAnsi="Arial"/>
          <w:sz w:val="19"/>
          <w:szCs w:val="19"/>
          <w:i w:val="1"/>
          <w:iCs w:val="1"/>
          <w:color w:val="auto"/>
        </w:rPr>
        <w:t xml:space="preserve">” – as defined in </w:t>
      </w:r>
      <w:r>
        <w:rPr>
          <w:rFonts w:ascii="Arial" w:cs="Arial" w:eastAsia="Arial" w:hAnsi="Arial"/>
          <w:sz w:val="19"/>
          <w:szCs w:val="19"/>
          <w:i w:val="1"/>
          <w:iCs w:val="1"/>
          <w:u w:val="single" w:color="auto"/>
          <w:color w:val="auto"/>
        </w:rPr>
        <w:t>Section 10.3(h)(i)</w:t>
      </w:r>
      <w:r>
        <w:rPr>
          <w:rFonts w:ascii="Arial" w:cs="Arial" w:eastAsia="Arial" w:hAnsi="Arial"/>
          <w:sz w:val="19"/>
          <w:szCs w:val="19"/>
          <w:i w:val="1"/>
          <w:i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Certain CTSA Defined Terms</w:t>
      </w:r>
    </w:p>
    <w:p>
      <w:pPr>
        <w:spacing w:after="0" w:line="183" w:lineRule="exact"/>
        <w:rPr>
          <w:sz w:val="20"/>
          <w:szCs w:val="20"/>
          <w:color w:val="auto"/>
        </w:rPr>
      </w:pPr>
    </w:p>
    <w:p>
      <w:pPr>
        <w:ind w:right="500" w:firstLine="582"/>
        <w:spacing w:after="0" w:line="272" w:lineRule="auto"/>
        <w:tabs>
          <w:tab w:leader="none" w:pos="1169" w:val="left"/>
        </w:tabs>
        <w:numPr>
          <w:ilvl w:val="0"/>
          <w:numId w:val="61"/>
        </w:numPr>
        <w:rPr>
          <w:rFonts w:ascii="Arial" w:cs="Arial" w:eastAsia="Arial" w:hAnsi="Arial"/>
          <w:sz w:val="19"/>
          <w:szCs w:val="19"/>
          <w:i w:val="1"/>
          <w:iCs w:val="1"/>
          <w:color w:val="7F0000"/>
        </w:rPr>
      </w:pPr>
      <w:r>
        <w:rPr>
          <w:rFonts w:ascii="Arial" w:cs="Arial" w:eastAsia="Arial" w:hAnsi="Arial"/>
          <w:sz w:val="19"/>
          <w:szCs w:val="19"/>
          <w:i w:val="1"/>
          <w:iCs w:val="1"/>
          <w:color w:val="auto"/>
        </w:rPr>
        <w:t>Notwithstanding any provision of the Purchase Agreement to the contrary, from and after the date on which the Commodities Trading and Services Agreement is executed and delivered by the parties thereto:</w:t>
      </w:r>
    </w:p>
    <w:p>
      <w:pPr>
        <w:spacing w:after="0" w:line="137" w:lineRule="exact"/>
        <w:rPr>
          <w:rFonts w:ascii="Arial" w:cs="Arial" w:eastAsia="Arial" w:hAnsi="Arial"/>
          <w:sz w:val="19"/>
          <w:szCs w:val="19"/>
          <w:i w:val="1"/>
          <w:iCs w:val="1"/>
          <w:color w:val="7F0000"/>
        </w:rPr>
      </w:pPr>
    </w:p>
    <w:p>
      <w:pPr>
        <w:ind w:left="580" w:right="200" w:firstLine="586"/>
        <w:spacing w:after="0" w:line="256" w:lineRule="auto"/>
        <w:tabs>
          <w:tab w:leader="none" w:pos="1749" w:val="left"/>
        </w:tabs>
        <w:numPr>
          <w:ilvl w:val="1"/>
          <w:numId w:val="61"/>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any reference to “Acquired Commodities Business Portfolio” in </w:t>
      </w:r>
      <w:r>
        <w:rPr>
          <w:rFonts w:ascii="Arial" w:cs="Arial" w:eastAsia="Arial" w:hAnsi="Arial"/>
          <w:sz w:val="19"/>
          <w:szCs w:val="19"/>
          <w:i w:val="1"/>
          <w:iCs w:val="1"/>
          <w:u w:val="single" w:color="auto"/>
          <w:color w:val="auto"/>
        </w:rPr>
        <w:t>Section 7.6(b)</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7.6(i)</w:t>
      </w:r>
      <w:r>
        <w:rPr>
          <w:rFonts w:ascii="Arial" w:cs="Arial" w:eastAsia="Arial" w:hAnsi="Arial"/>
          <w:sz w:val="19"/>
          <w:szCs w:val="19"/>
          <w:i w:val="1"/>
          <w:iCs w:val="1"/>
          <w:color w:val="auto"/>
        </w:rPr>
        <w:t xml:space="preserve"> or </w:t>
      </w:r>
      <w:r>
        <w:rPr>
          <w:rFonts w:ascii="Arial" w:cs="Arial" w:eastAsia="Arial" w:hAnsi="Arial"/>
          <w:sz w:val="19"/>
          <w:szCs w:val="19"/>
          <w:i w:val="1"/>
          <w:iCs w:val="1"/>
          <w:u w:val="single" w:color="auto"/>
          <w:color w:val="auto"/>
        </w:rPr>
        <w:t>7.11(c)(ii)</w:t>
      </w:r>
      <w:r>
        <w:rPr>
          <w:rFonts w:ascii="Arial" w:cs="Arial" w:eastAsia="Arial" w:hAnsi="Arial"/>
          <w:sz w:val="19"/>
          <w:szCs w:val="19"/>
          <w:i w:val="1"/>
          <w:iCs w:val="1"/>
          <w:color w:val="auto"/>
        </w:rPr>
        <w:t xml:space="preserve"> of the Purchase Agreement shall be deemed to be a reference to the “Acquired Commodities Business Portfolio,” as defined in the Commodities Trading and Services Agreement;</w:t>
      </w:r>
    </w:p>
    <w:p>
      <w:pPr>
        <w:spacing w:after="0" w:line="140" w:lineRule="exact"/>
        <w:rPr>
          <w:rFonts w:ascii="Arial" w:cs="Arial" w:eastAsia="Arial" w:hAnsi="Arial"/>
          <w:sz w:val="19"/>
          <w:szCs w:val="19"/>
          <w:i w:val="1"/>
          <w:iCs w:val="1"/>
          <w:color w:val="7F0000"/>
        </w:rPr>
      </w:pPr>
    </w:p>
    <w:p>
      <w:pPr>
        <w:ind w:left="580" w:right="160" w:firstLine="586"/>
        <w:spacing w:after="0" w:line="272" w:lineRule="auto"/>
        <w:tabs>
          <w:tab w:leader="none" w:pos="1749" w:val="left"/>
        </w:tabs>
        <w:numPr>
          <w:ilvl w:val="1"/>
          <w:numId w:val="61"/>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any reference to “Portfolio Services” in </w:t>
      </w:r>
      <w:r>
        <w:rPr>
          <w:rFonts w:ascii="Arial" w:cs="Arial" w:eastAsia="Arial" w:hAnsi="Arial"/>
          <w:sz w:val="19"/>
          <w:szCs w:val="19"/>
          <w:i w:val="1"/>
          <w:iCs w:val="1"/>
          <w:u w:val="single" w:color="auto"/>
          <w:color w:val="auto"/>
        </w:rPr>
        <w:t>Section 7.6(i)</w:t>
      </w:r>
      <w:r>
        <w:rPr>
          <w:rFonts w:ascii="Arial" w:cs="Arial" w:eastAsia="Arial" w:hAnsi="Arial"/>
          <w:sz w:val="19"/>
          <w:szCs w:val="19"/>
          <w:i w:val="1"/>
          <w:iCs w:val="1"/>
          <w:color w:val="auto"/>
        </w:rPr>
        <w:t xml:space="preserve"> of the Purchase Agreement shall be deemed to be a reference to the “Services,” as defined in the Commodities Trading and Services Agreement;</w:t>
      </w:r>
    </w:p>
    <w:p>
      <w:pPr>
        <w:sectPr>
          <w:pgSz w:w="11900" w:h="16838" w:orient="portrait"/>
          <w:cols w:equalWidth="0" w:num="1">
            <w:col w:w="11420"/>
          </w:cols>
          <w:pgMar w:left="240" w:top="120" w:right="239" w:bottom="0" w:gutter="0" w:footer="0" w:header="0"/>
        </w:sectPr>
      </w:pPr>
    </w:p>
    <w:p>
      <w:pPr>
        <w:spacing w:after="0" w:line="126" w:lineRule="exact"/>
        <w:rPr>
          <w:sz w:val="20"/>
          <w:szCs w:val="20"/>
          <w:color w:val="auto"/>
        </w:rPr>
      </w:pPr>
    </w:p>
    <w:p>
      <w:pPr>
        <w:ind w:left="580" w:right="600" w:firstLine="586"/>
        <w:spacing w:after="0" w:line="272" w:lineRule="auto"/>
        <w:tabs>
          <w:tab w:leader="none" w:pos="1749" w:val="left"/>
        </w:tabs>
        <w:numPr>
          <w:ilvl w:val="0"/>
          <w:numId w:val="62"/>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any reference to “Trading Activities” in </w:t>
      </w:r>
      <w:r>
        <w:rPr>
          <w:rFonts w:ascii="Arial" w:cs="Arial" w:eastAsia="Arial" w:hAnsi="Arial"/>
          <w:sz w:val="19"/>
          <w:szCs w:val="19"/>
          <w:i w:val="1"/>
          <w:iCs w:val="1"/>
          <w:u w:val="single" w:color="auto"/>
          <w:color w:val="auto"/>
        </w:rPr>
        <w:t>Section 7.6(i)</w:t>
      </w:r>
      <w:r>
        <w:rPr>
          <w:rFonts w:ascii="Arial" w:cs="Arial" w:eastAsia="Arial" w:hAnsi="Arial"/>
          <w:sz w:val="19"/>
          <w:szCs w:val="19"/>
          <w:i w:val="1"/>
          <w:iCs w:val="1"/>
          <w:color w:val="auto"/>
        </w:rPr>
        <w:t xml:space="preserve"> or </w:t>
      </w:r>
      <w:r>
        <w:rPr>
          <w:rFonts w:ascii="Arial" w:cs="Arial" w:eastAsia="Arial" w:hAnsi="Arial"/>
          <w:sz w:val="19"/>
          <w:szCs w:val="19"/>
          <w:i w:val="1"/>
          <w:iCs w:val="1"/>
          <w:u w:val="single" w:color="auto"/>
          <w:color w:val="auto"/>
        </w:rPr>
        <w:t>7.11(d)</w:t>
      </w:r>
      <w:r>
        <w:rPr>
          <w:rFonts w:ascii="Arial" w:cs="Arial" w:eastAsia="Arial" w:hAnsi="Arial"/>
          <w:sz w:val="19"/>
          <w:szCs w:val="19"/>
          <w:i w:val="1"/>
          <w:iCs w:val="1"/>
          <w:color w:val="auto"/>
        </w:rPr>
        <w:t xml:space="preserve"> of the Purchase Agreement shall be deemed to be a reference to the “Trading Activities,” as defined in the Commodities Trading and Services Agreement; and</w:t>
      </w:r>
    </w:p>
    <w:p>
      <w:pPr>
        <w:sectPr>
          <w:pgSz w:w="11900" w:h="16838" w:orient="portrait"/>
          <w:cols w:equalWidth="0" w:num="1">
            <w:col w:w="11420"/>
          </w:cols>
          <w:pgMar w:left="240" w:top="120" w:right="239" w:bottom="0" w:gutter="0" w:footer="0" w:header="0"/>
          <w:type w:val="continuous"/>
        </w:sectPr>
      </w:pPr>
    </w:p>
    <w:bookmarkStart w:id="59" w:name="page60"/>
    <w:bookmarkEnd w:id="59"/>
    <w:p>
      <w:pPr>
        <w:ind w:left="580" w:right="60" w:firstLine="586"/>
        <w:spacing w:after="0" w:line="278" w:lineRule="auto"/>
        <w:tabs>
          <w:tab w:leader="none" w:pos="1749" w:val="left"/>
        </w:tabs>
        <w:numPr>
          <w:ilvl w:val="0"/>
          <w:numId w:val="63"/>
        </w:numPr>
        <w:rPr>
          <w:rFonts w:ascii="Arial" w:cs="Arial" w:eastAsia="Arial" w:hAnsi="Arial"/>
          <w:sz w:val="17"/>
          <w:szCs w:val="17"/>
          <w:i w:val="1"/>
          <w:iCs w:val="1"/>
          <w:color w:val="7F0000"/>
        </w:rPr>
      </w:pPr>
      <w:r>
        <w:rPr>
          <w:rFonts w:ascii="Arial" w:cs="Arial" w:eastAsia="Arial" w:hAnsi="Arial"/>
          <w:sz w:val="17"/>
          <w:szCs w:val="17"/>
          <w:i w:val="1"/>
          <w:iCs w:val="1"/>
          <w:color w:val="auto"/>
        </w:rPr>
        <w:t xml:space="preserve">any reference to the “Trading Activity Period” in </w:t>
      </w:r>
      <w:r>
        <w:rPr>
          <w:rFonts w:ascii="Arial" w:cs="Arial" w:eastAsia="Arial" w:hAnsi="Arial"/>
          <w:sz w:val="17"/>
          <w:szCs w:val="17"/>
          <w:i w:val="1"/>
          <w:iCs w:val="1"/>
          <w:u w:val="single" w:color="auto"/>
          <w:color w:val="auto"/>
        </w:rPr>
        <w:t>Section 7.11(c)(ii)</w:t>
      </w:r>
      <w:r>
        <w:rPr>
          <w:rFonts w:ascii="Arial" w:cs="Arial" w:eastAsia="Arial" w:hAnsi="Arial"/>
          <w:sz w:val="17"/>
          <w:szCs w:val="17"/>
          <w:i w:val="1"/>
          <w:iCs w:val="1"/>
          <w:color w:val="auto"/>
        </w:rPr>
        <w:t xml:space="preserve"> of the Purchase Agreement shall be deemed to be (x) a reference to the “RBS Trading Period,” as defined in the Commodities Trading and Services Agreement, where the relevant Seller Financial Assurance relates to the RBS Portfolio or (y) a reference to the “SET Trading Period,” as defined in the Commodities Trading and Services Agreement, where the relevant Seller Financial Assurance relates to the SET Portfolio (and, for the avoidance of doubt, any reference to the “Transition Financial Assurance Period” in </w:t>
      </w:r>
      <w:r>
        <w:rPr>
          <w:rFonts w:ascii="Arial" w:cs="Arial" w:eastAsia="Arial" w:hAnsi="Arial"/>
          <w:sz w:val="17"/>
          <w:szCs w:val="17"/>
          <w:i w:val="1"/>
          <w:iCs w:val="1"/>
          <w:u w:val="single" w:color="auto"/>
          <w:color w:val="auto"/>
        </w:rPr>
        <w:t>Section 7.11</w:t>
      </w:r>
      <w:r>
        <w:rPr>
          <w:rFonts w:ascii="Arial" w:cs="Arial" w:eastAsia="Arial" w:hAnsi="Arial"/>
          <w:sz w:val="17"/>
          <w:szCs w:val="17"/>
          <w:i w:val="1"/>
          <w:iCs w:val="1"/>
          <w:color w:val="auto"/>
        </w:rPr>
        <w:t xml:space="preserve"> of the Purchase Agreement shall, except as provided in </w:t>
      </w:r>
      <w:r>
        <w:rPr>
          <w:rFonts w:ascii="Arial" w:cs="Arial" w:eastAsia="Arial" w:hAnsi="Arial"/>
          <w:sz w:val="17"/>
          <w:szCs w:val="17"/>
          <w:i w:val="1"/>
          <w:iCs w:val="1"/>
          <w:u w:val="single" w:color="auto"/>
          <w:color w:val="auto"/>
        </w:rPr>
        <w:t>Section 7.11(c)(vii)</w:t>
      </w:r>
      <w:r>
        <w:rPr>
          <w:rFonts w:ascii="Arial" w:cs="Arial" w:eastAsia="Arial" w:hAnsi="Arial"/>
          <w:sz w:val="17"/>
          <w:szCs w:val="17"/>
          <w:i w:val="1"/>
          <w:iCs w:val="1"/>
          <w:color w:val="auto"/>
        </w:rPr>
        <w:t>, be deemed to be (x) a reference to the “RBS Trading Period,” as defined in the Commodities Trading and Services Agreement, where the relevant Seller Financial Assurance relates to the RBS Portfolio or (y) a reference to the “SET Trading Period,” as defined in the Commodities Trading and Services Agreement, where the relevant Seller Financial Assurance relates to the SET Portfolio).</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Gold and Silver Leases</w:t>
      </w:r>
    </w:p>
    <w:p>
      <w:pPr>
        <w:spacing w:after="0" w:line="183" w:lineRule="exact"/>
        <w:rPr>
          <w:sz w:val="20"/>
          <w:szCs w:val="20"/>
          <w:color w:val="auto"/>
        </w:rPr>
      </w:pPr>
    </w:p>
    <w:p>
      <w:pPr>
        <w:ind w:left="1160" w:hanging="578"/>
        <w:spacing w:after="0"/>
        <w:tabs>
          <w:tab w:leader="none" w:pos="1160" w:val="left"/>
        </w:tabs>
        <w:numPr>
          <w:ilvl w:val="0"/>
          <w:numId w:val="64"/>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“Combined Business Debt”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w:t>
      </w:r>
    </w:p>
    <w:p>
      <w:pPr>
        <w:spacing w:after="0" w:line="195" w:lineRule="exact"/>
        <w:rPr>
          <w:rFonts w:ascii="Arial" w:cs="Arial" w:eastAsia="Arial" w:hAnsi="Arial"/>
          <w:sz w:val="19"/>
          <w:szCs w:val="19"/>
          <w:i w:val="1"/>
          <w:iCs w:val="1"/>
          <w:color w:val="7F0000"/>
        </w:rPr>
      </w:pPr>
    </w:p>
    <w:p>
      <w:pPr>
        <w:ind w:left="1760" w:hanging="594"/>
        <w:spacing w:after="0"/>
        <w:tabs>
          <w:tab w:leader="none" w:pos="1760" w:val="left"/>
        </w:tabs>
        <w:numPr>
          <w:ilvl w:val="1"/>
          <w:numId w:val="64"/>
        </w:numPr>
        <w:rPr>
          <w:rFonts w:ascii="Arial" w:cs="Arial" w:eastAsia="Arial" w:hAnsi="Arial"/>
          <w:sz w:val="19"/>
          <w:szCs w:val="19"/>
          <w:i w:val="1"/>
          <w:iCs w:val="1"/>
          <w:color w:val="7F0000"/>
        </w:rPr>
      </w:pPr>
      <w:r>
        <w:rPr>
          <w:rFonts w:ascii="Arial" w:cs="Arial" w:eastAsia="Arial" w:hAnsi="Arial"/>
          <w:sz w:val="19"/>
          <w:szCs w:val="19"/>
          <w:i w:val="1"/>
          <w:iCs w:val="1"/>
          <w:color w:val="auto"/>
        </w:rPr>
        <w:t>deleting the words “(including any “gold leases”)”; and</w:t>
      </w:r>
    </w:p>
    <w:p>
      <w:pPr>
        <w:spacing w:after="0" w:line="183" w:lineRule="exact"/>
        <w:rPr>
          <w:rFonts w:ascii="Arial" w:cs="Arial" w:eastAsia="Arial" w:hAnsi="Arial"/>
          <w:sz w:val="19"/>
          <w:szCs w:val="19"/>
          <w:i w:val="1"/>
          <w:iCs w:val="1"/>
          <w:color w:val="7F0000"/>
        </w:rPr>
      </w:pPr>
    </w:p>
    <w:p>
      <w:pPr>
        <w:ind w:left="580" w:firstLine="586"/>
        <w:spacing w:after="0" w:line="251" w:lineRule="auto"/>
        <w:tabs>
          <w:tab w:leader="none" w:pos="1749" w:val="left"/>
        </w:tabs>
        <w:numPr>
          <w:ilvl w:val="1"/>
          <w:numId w:val="64"/>
        </w:numPr>
        <w:rPr>
          <w:rFonts w:ascii="Arial" w:cs="Arial" w:eastAsia="Arial" w:hAnsi="Arial"/>
          <w:sz w:val="19"/>
          <w:szCs w:val="19"/>
          <w:i w:val="1"/>
          <w:iCs w:val="1"/>
          <w:color w:val="7F0000"/>
        </w:rPr>
      </w:pPr>
      <w:r>
        <w:rPr>
          <w:rFonts w:ascii="Arial" w:cs="Arial" w:eastAsia="Arial" w:hAnsi="Arial"/>
          <w:sz w:val="19"/>
          <w:szCs w:val="19"/>
          <w:i w:val="1"/>
          <w:iCs w:val="1"/>
          <w:color w:val="auto"/>
        </w:rPr>
        <w:t>adding the following sentence at the end thereof: “Notwithstanding the foregoing, solely for purposes of determining the Combined Business Debt at any time, (i) “gold deposits” and “silver deposits” shall not be considered Indebtedness, (ii) no “gold leases” or “silver leases” shall be included in the receivables of the Combined Business and (iii) no “gold deposits” or “silver deposits” shall be included in the payables of the Combined Business.”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Metal Inventory Repurchase Agreement</w:t>
      </w:r>
    </w:p>
    <w:p>
      <w:pPr>
        <w:spacing w:after="0" w:line="183" w:lineRule="exact"/>
        <w:rPr>
          <w:sz w:val="20"/>
          <w:szCs w:val="20"/>
          <w:color w:val="auto"/>
        </w:rPr>
      </w:pPr>
    </w:p>
    <w:p>
      <w:pPr>
        <w:ind w:right="40" w:firstLine="582"/>
        <w:spacing w:after="0" w:line="248" w:lineRule="auto"/>
        <w:tabs>
          <w:tab w:leader="none" w:pos="1169" w:val="left"/>
        </w:tabs>
        <w:numPr>
          <w:ilvl w:val="0"/>
          <w:numId w:val="65"/>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“Combined Business Debt” in Section 1.1 of the Purchase Agreement is hereby amended by adding the following proviso at the end (and by making appropriate changes to punctuation): “;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that, notwithstanding clause (a) and notwithstanding the amount of Estimated Closing Combined Business Debt set forth on the Estimated Closing Balance Sheet (which amount shall be deemed adjusted hereby to give effect to this proviso), the obligations of the Combined Business with respect to the Metals Repo shall not be Combined Business Debt for any purpose hereunder.”</w:t>
      </w:r>
    </w:p>
    <w:p>
      <w:pPr>
        <w:spacing w:after="0" w:line="161" w:lineRule="exact"/>
        <w:rPr>
          <w:rFonts w:ascii="Arial" w:cs="Arial" w:eastAsia="Arial" w:hAnsi="Arial"/>
          <w:sz w:val="19"/>
          <w:szCs w:val="19"/>
          <w:i w:val="1"/>
          <w:iCs w:val="1"/>
          <w:color w:val="7F0000"/>
        </w:rPr>
      </w:pPr>
    </w:p>
    <w:p>
      <w:pPr>
        <w:ind w:left="1160" w:hanging="578"/>
        <w:spacing w:after="0"/>
        <w:tabs>
          <w:tab w:leader="none" w:pos="1160" w:val="left"/>
        </w:tabs>
        <w:numPr>
          <w:ilvl w:val="0"/>
          <w:numId w:val="65"/>
        </w:numPr>
        <w:rPr>
          <w:rFonts w:ascii="Arial" w:cs="Arial" w:eastAsia="Arial" w:hAnsi="Arial"/>
          <w:sz w:val="18"/>
          <w:szCs w:val="18"/>
          <w:i w:val="1"/>
          <w:iCs w:val="1"/>
          <w:color w:val="7F0000"/>
        </w:rPr>
      </w:pPr>
      <w:r>
        <w:rPr>
          <w:rFonts w:ascii="Arial" w:cs="Arial" w:eastAsia="Arial" w:hAnsi="Arial"/>
          <w:sz w:val="18"/>
          <w:szCs w:val="18"/>
          <w:i w:val="1"/>
          <w:iCs w:val="1"/>
          <w:u w:val="single" w:color="auto"/>
          <w:color w:val="auto"/>
        </w:rPr>
        <w:t>Section 1.1</w:t>
      </w:r>
      <w:r>
        <w:rPr>
          <w:rFonts w:ascii="Arial" w:cs="Arial" w:eastAsia="Arial" w:hAnsi="Arial"/>
          <w:sz w:val="18"/>
          <w:szCs w:val="18"/>
          <w:i w:val="1"/>
          <w:iCs w:val="1"/>
          <w:color w:val="auto"/>
        </w:rPr>
        <w:t xml:space="preserve"> of the Purchase Agreement is hereby amended by adding the following new defined term (in alphabetical order):</w:t>
      </w:r>
    </w:p>
    <w:p>
      <w:pPr>
        <w:spacing w:after="0" w:line="194" w:lineRule="exact"/>
        <w:rPr>
          <w:rFonts w:ascii="Arial" w:cs="Arial" w:eastAsia="Arial" w:hAnsi="Arial"/>
          <w:sz w:val="18"/>
          <w:szCs w:val="18"/>
          <w:i w:val="1"/>
          <w:iCs w:val="1"/>
          <w:color w:val="7F0000"/>
        </w:rPr>
      </w:pPr>
    </w:p>
    <w:p>
      <w:pPr>
        <w:ind w:left="580" w:firstLine="584"/>
        <w:spacing w:after="0" w:line="256" w:lineRule="auto"/>
        <w:rPr>
          <w:rFonts w:ascii="Arial" w:cs="Arial" w:eastAsia="Arial" w:hAnsi="Arial"/>
          <w:sz w:val="18"/>
          <w:szCs w:val="18"/>
          <w:i w:val="1"/>
          <w:iCs w:val="1"/>
          <w:color w:val="7F0000"/>
        </w:rPr>
      </w:pPr>
      <w:r>
        <w:rPr>
          <w:rFonts w:ascii="Arial" w:cs="Arial" w:eastAsia="Arial" w:hAnsi="Arial"/>
          <w:sz w:val="19"/>
          <w:szCs w:val="19"/>
          <w:i w:val="1"/>
          <w:iCs w:val="1"/>
          <w:color w:val="7F0000"/>
        </w:rPr>
        <w:t xml:space="preserve">A. </w:t>
      </w:r>
      <w:r>
        <w:rPr>
          <w:rFonts w:ascii="Arial" w:cs="Arial" w:eastAsia="Arial" w:hAnsi="Arial"/>
          <w:sz w:val="19"/>
          <w:szCs w:val="19"/>
          <w:i w:val="1"/>
          <w:iCs w:val="1"/>
          <w:color w:val="000000"/>
        </w:rPr>
        <w:t>““</w:t>
      </w:r>
      <w:r>
        <w:rPr>
          <w:rFonts w:ascii="Arial" w:cs="Arial" w:eastAsia="Arial" w:hAnsi="Arial"/>
          <w:sz w:val="19"/>
          <w:szCs w:val="19"/>
          <w:i w:val="1"/>
          <w:iCs w:val="1"/>
          <w:u w:val="single" w:color="auto"/>
          <w:color w:val="000000"/>
        </w:rPr>
        <w:t>Metals Repo</w:t>
      </w:r>
      <w:r>
        <w:rPr>
          <w:rFonts w:ascii="Arial" w:cs="Arial" w:eastAsia="Arial" w:hAnsi="Arial"/>
          <w:sz w:val="19"/>
          <w:szCs w:val="19"/>
          <w:i w:val="1"/>
          <w:iCs w:val="1"/>
          <w:color w:val="000000"/>
        </w:rPr>
        <w:t>” - that certain letter agreement, dated 18 June, 2010, between RBS (through its agent, RBS Sempra Metals)</w:t>
      </w:r>
      <w:r>
        <w:rPr>
          <w:rFonts w:ascii="Arial" w:cs="Arial" w:eastAsia="Arial" w:hAnsi="Arial"/>
          <w:sz w:val="19"/>
          <w:szCs w:val="19"/>
          <w:i w:val="1"/>
          <w:iCs w:val="1"/>
          <w:color w:val="7F0000"/>
        </w:rPr>
        <w:t xml:space="preserve"> </w:t>
      </w:r>
      <w:r>
        <w:rPr>
          <w:rFonts w:ascii="Arial" w:cs="Arial" w:eastAsia="Arial" w:hAnsi="Arial"/>
          <w:sz w:val="19"/>
          <w:szCs w:val="19"/>
          <w:i w:val="1"/>
          <w:iCs w:val="1"/>
          <w:color w:val="000000"/>
        </w:rPr>
        <w:t>and JPMorgan Chase Bank, N.A. in respect of a LME Warrants Commodity-linked Financing Transaction (JPMorgan Reference No. 1366918 (Tran No. 1366918, 1368716) Internal Composer 1368717).”</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Employee Medical Claims</w:t>
      </w:r>
    </w:p>
    <w:p>
      <w:pPr>
        <w:spacing w:after="0" w:line="183" w:lineRule="exact"/>
        <w:rPr>
          <w:sz w:val="20"/>
          <w:szCs w:val="20"/>
          <w:color w:val="auto"/>
        </w:rPr>
      </w:pPr>
    </w:p>
    <w:p>
      <w:pPr>
        <w:ind w:right="200" w:firstLine="582"/>
        <w:spacing w:after="0" w:line="251" w:lineRule="auto"/>
        <w:tabs>
          <w:tab w:leader="none" w:pos="1169" w:val="left"/>
        </w:tabs>
        <w:numPr>
          <w:ilvl w:val="0"/>
          <w:numId w:val="66"/>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“Estimated Closing Balance Sheet”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 adding the following at the end (and by making appropriate changes to punctuation): “and except that medical and dental claims under Seller Plans described in Section 7.5(l)(iii) and (iv) will not be reflected unless incurred on or prior to the date of the Combined Business Reference Balance Sheet”.</w:t>
      </w:r>
    </w:p>
    <w:p>
      <w:pPr>
        <w:spacing w:after="0" w:line="157" w:lineRule="exact"/>
        <w:rPr>
          <w:rFonts w:ascii="Arial" w:cs="Arial" w:eastAsia="Arial" w:hAnsi="Arial"/>
          <w:sz w:val="19"/>
          <w:szCs w:val="19"/>
          <w:i w:val="1"/>
          <w:iCs w:val="1"/>
          <w:color w:val="7F0000"/>
        </w:rPr>
      </w:pPr>
    </w:p>
    <w:p>
      <w:pPr>
        <w:ind w:right="40" w:firstLine="582"/>
        <w:spacing w:after="0" w:line="256" w:lineRule="auto"/>
        <w:tabs>
          <w:tab w:leader="none" w:pos="1169" w:val="left"/>
        </w:tabs>
        <w:numPr>
          <w:ilvl w:val="0"/>
          <w:numId w:val="66"/>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added at the end of </w:t>
      </w:r>
      <w:r>
        <w:rPr>
          <w:rFonts w:ascii="Arial" w:cs="Arial" w:eastAsia="Arial" w:hAnsi="Arial"/>
          <w:sz w:val="19"/>
          <w:szCs w:val="19"/>
          <w:i w:val="1"/>
          <w:iCs w:val="1"/>
          <w:u w:val="single" w:color="auto"/>
          <w:color w:val="auto"/>
        </w:rPr>
        <w:t>Section 2.7(a)</w:t>
      </w:r>
      <w:r>
        <w:rPr>
          <w:rFonts w:ascii="Arial" w:cs="Arial" w:eastAsia="Arial" w:hAnsi="Arial"/>
          <w:sz w:val="19"/>
          <w:szCs w:val="19"/>
          <w:i w:val="1"/>
          <w:iCs w:val="1"/>
          <w:color w:val="auto"/>
        </w:rPr>
        <w:t xml:space="preserve"> of the Purchase Agreement (with appropriate changes to punctuation): “except that medical and dental claims under Seller Plans described in Section 7.5(l)(iii) and (iv) will not be reflected unless incurred on or prior to the date of the Combined Business Balance Sheet”.</w:t>
      </w:r>
    </w:p>
    <w:p>
      <w:pPr>
        <w:spacing w:after="0" w:line="140" w:lineRule="exact"/>
        <w:rPr>
          <w:rFonts w:ascii="Arial" w:cs="Arial" w:eastAsia="Arial" w:hAnsi="Arial"/>
          <w:sz w:val="19"/>
          <w:szCs w:val="19"/>
          <w:i w:val="1"/>
          <w:iCs w:val="1"/>
          <w:color w:val="7F0000"/>
        </w:rPr>
      </w:pPr>
    </w:p>
    <w:p>
      <w:pPr>
        <w:ind w:right="380" w:firstLine="582"/>
        <w:spacing w:after="0" w:line="277" w:lineRule="auto"/>
        <w:tabs>
          <w:tab w:leader="none" w:pos="1169" w:val="left"/>
        </w:tabs>
        <w:numPr>
          <w:ilvl w:val="0"/>
          <w:numId w:val="66"/>
        </w:numPr>
        <w:rPr>
          <w:rFonts w:ascii="Arial" w:cs="Arial" w:eastAsia="Arial" w:hAnsi="Arial"/>
          <w:sz w:val="18"/>
          <w:szCs w:val="18"/>
          <w:i w:val="1"/>
          <w:iCs w:val="1"/>
          <w:color w:val="7F0000"/>
        </w:rPr>
      </w:pPr>
      <w:r>
        <w:rPr>
          <w:rFonts w:ascii="Arial" w:cs="Arial" w:eastAsia="Arial" w:hAnsi="Arial"/>
          <w:sz w:val="18"/>
          <w:szCs w:val="18"/>
          <w:i w:val="1"/>
          <w:iCs w:val="1"/>
          <w:color w:val="auto"/>
        </w:rPr>
        <w:t>The following is hereby added after the words “</w:t>
      </w:r>
      <w:r>
        <w:rPr>
          <w:rFonts w:ascii="Arial" w:cs="Arial" w:eastAsia="Arial" w:hAnsi="Arial"/>
          <w:sz w:val="18"/>
          <w:szCs w:val="18"/>
          <w:i w:val="1"/>
          <w:iCs w:val="1"/>
          <w:u w:val="single" w:color="auto"/>
          <w:color w:val="auto"/>
        </w:rPr>
        <w:t>Schedule 1.1(e)</w:t>
      </w:r>
      <w:r>
        <w:rPr>
          <w:rFonts w:ascii="Arial" w:cs="Arial" w:eastAsia="Arial" w:hAnsi="Arial"/>
          <w:sz w:val="18"/>
          <w:szCs w:val="18"/>
          <w:i w:val="1"/>
          <w:iCs w:val="1"/>
          <w:color w:val="auto"/>
        </w:rPr>
        <w:t xml:space="preserve">” in the second sentence of </w:t>
      </w:r>
      <w:r>
        <w:rPr>
          <w:rFonts w:ascii="Arial" w:cs="Arial" w:eastAsia="Arial" w:hAnsi="Arial"/>
          <w:sz w:val="18"/>
          <w:szCs w:val="18"/>
          <w:i w:val="1"/>
          <w:iCs w:val="1"/>
          <w:u w:val="single" w:color="auto"/>
          <w:color w:val="auto"/>
        </w:rPr>
        <w:t>Section 2.7(b)</w:t>
      </w:r>
      <w:r>
        <w:rPr>
          <w:rFonts w:ascii="Arial" w:cs="Arial" w:eastAsia="Arial" w:hAnsi="Arial"/>
          <w:sz w:val="18"/>
          <w:szCs w:val="18"/>
          <w:i w:val="1"/>
          <w:iCs w:val="1"/>
          <w:color w:val="auto"/>
        </w:rPr>
        <w:t xml:space="preserve"> of the Purchase Agreement (with appropriate changes to punctuation): “and provided that medical and dental claims under Seller Plans described in </w:t>
      </w:r>
      <w:r>
        <w:rPr>
          <w:rFonts w:ascii="Arial" w:cs="Arial" w:eastAsia="Arial" w:hAnsi="Arial"/>
          <w:sz w:val="18"/>
          <w:szCs w:val="18"/>
          <w:i w:val="1"/>
          <w:iCs w:val="1"/>
          <w:u w:val="single" w:color="auto"/>
          <w:color w:val="auto"/>
        </w:rPr>
        <w:t>Section</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7.5(l)(iii)</w:t>
      </w:r>
      <w:r>
        <w:rPr>
          <w:rFonts w:ascii="Arial" w:cs="Arial" w:eastAsia="Arial" w:hAnsi="Arial"/>
          <w:sz w:val="18"/>
          <w:szCs w:val="18"/>
          <w:i w:val="1"/>
          <w:iCs w:val="1"/>
          <w:color w:val="auto"/>
        </w:rPr>
        <w:t xml:space="preserve"> and </w:t>
      </w:r>
      <w:r>
        <w:rPr>
          <w:rFonts w:ascii="Arial" w:cs="Arial" w:eastAsia="Arial" w:hAnsi="Arial"/>
          <w:sz w:val="18"/>
          <w:szCs w:val="18"/>
          <w:i w:val="1"/>
          <w:iCs w:val="1"/>
          <w:u w:val="single" w:color="auto"/>
          <w:color w:val="auto"/>
        </w:rPr>
        <w:t>(iv)</w:t>
      </w:r>
      <w:r>
        <w:rPr>
          <w:rFonts w:ascii="Arial" w:cs="Arial" w:eastAsia="Arial" w:hAnsi="Arial"/>
          <w:sz w:val="18"/>
          <w:szCs w:val="18"/>
          <w:i w:val="1"/>
          <w:iCs w:val="1"/>
          <w:color w:val="auto"/>
        </w:rPr>
        <w:t xml:space="preserve"> will not be reflected unless incurred on or prior to the date of the Combined Business Reference Balance Sheet.”</w:t>
      </w:r>
    </w:p>
    <w:p>
      <w:pPr>
        <w:spacing w:after="0" w:line="123" w:lineRule="exact"/>
        <w:rPr>
          <w:rFonts w:ascii="Arial" w:cs="Arial" w:eastAsia="Arial" w:hAnsi="Arial"/>
          <w:sz w:val="18"/>
          <w:szCs w:val="18"/>
          <w:i w:val="1"/>
          <w:iCs w:val="1"/>
          <w:color w:val="7F0000"/>
        </w:rPr>
      </w:pPr>
    </w:p>
    <w:p>
      <w:pPr>
        <w:ind w:right="40" w:firstLine="582"/>
        <w:spacing w:after="0" w:line="272" w:lineRule="auto"/>
        <w:tabs>
          <w:tab w:leader="none" w:pos="1169" w:val="left"/>
        </w:tabs>
        <w:numPr>
          <w:ilvl w:val="0"/>
          <w:numId w:val="66"/>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added at the end of each of </w:t>
      </w:r>
      <w:r>
        <w:rPr>
          <w:rFonts w:ascii="Arial" w:cs="Arial" w:eastAsia="Arial" w:hAnsi="Arial"/>
          <w:sz w:val="19"/>
          <w:szCs w:val="19"/>
          <w:i w:val="1"/>
          <w:iCs w:val="1"/>
          <w:u w:val="single" w:color="auto"/>
          <w:color w:val="auto"/>
        </w:rPr>
        <w:t>Sections 7.5(l)(iii)</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auto"/>
        </w:rPr>
        <w:t>(iv)</w:t>
      </w:r>
      <w:r>
        <w:rPr>
          <w:rFonts w:ascii="Arial" w:cs="Arial" w:eastAsia="Arial" w:hAnsi="Arial"/>
          <w:sz w:val="19"/>
          <w:szCs w:val="19"/>
          <w:i w:val="1"/>
          <w:iCs w:val="1"/>
          <w:color w:val="auto"/>
        </w:rPr>
        <w:t xml:space="preserve"> of the Purchase Agreement: “to the extent that such claims are reflected on the Estimated Closing Balance Sheet”.</w:t>
      </w:r>
    </w:p>
    <w:p>
      <w:pPr>
        <w:spacing w:after="0" w:line="137" w:lineRule="exact"/>
        <w:rPr>
          <w:rFonts w:ascii="Arial" w:cs="Arial" w:eastAsia="Arial" w:hAnsi="Arial"/>
          <w:sz w:val="19"/>
          <w:szCs w:val="19"/>
          <w:i w:val="1"/>
          <w:iCs w:val="1"/>
          <w:color w:val="7F0000"/>
        </w:rPr>
      </w:pPr>
    </w:p>
    <w:p>
      <w:pPr>
        <w:ind w:right="60" w:firstLine="582"/>
        <w:spacing w:after="0" w:line="277" w:lineRule="auto"/>
        <w:tabs>
          <w:tab w:leader="none" w:pos="1169" w:val="left"/>
        </w:tabs>
        <w:numPr>
          <w:ilvl w:val="0"/>
          <w:numId w:val="66"/>
        </w:numPr>
        <w:rPr>
          <w:rFonts w:ascii="Arial" w:cs="Arial" w:eastAsia="Arial" w:hAnsi="Arial"/>
          <w:sz w:val="18"/>
          <w:szCs w:val="18"/>
          <w:i w:val="1"/>
          <w:iCs w:val="1"/>
          <w:color w:val="7F0000"/>
        </w:rPr>
      </w:pPr>
      <w:r>
        <w:rPr>
          <w:rFonts w:ascii="Arial" w:cs="Arial" w:eastAsia="Arial" w:hAnsi="Arial"/>
          <w:sz w:val="18"/>
          <w:szCs w:val="18"/>
          <w:i w:val="1"/>
          <w:iCs w:val="1"/>
          <w:color w:val="auto"/>
        </w:rPr>
        <w:t xml:space="preserve">The following is hereby added to the Purchase Agreement as </w:t>
      </w:r>
      <w:r>
        <w:rPr>
          <w:rFonts w:ascii="Arial" w:cs="Arial" w:eastAsia="Arial" w:hAnsi="Arial"/>
          <w:sz w:val="18"/>
          <w:szCs w:val="18"/>
          <w:i w:val="1"/>
          <w:iCs w:val="1"/>
          <w:u w:val="single" w:color="auto"/>
          <w:color w:val="auto"/>
        </w:rPr>
        <w:t>Section 7.5(l)(vi)</w:t>
      </w:r>
      <w:r>
        <w:rPr>
          <w:rFonts w:ascii="Arial" w:cs="Arial" w:eastAsia="Arial" w:hAnsi="Arial"/>
          <w:sz w:val="18"/>
          <w:szCs w:val="18"/>
          <w:i w:val="1"/>
          <w:iCs w:val="1"/>
          <w:color w:val="auto"/>
        </w:rPr>
        <w:t>: “From and after the Closing, RBS shall reimburse Purchaser for any amounts of prepaid premiums in respect of medical and dental benefits under the Seller Plans to the extent such amounts (i) have been reflected on the Estimated Closing Balance Sheet and (ii) are refunded to RBS on or after the Closing.”</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Additional Agreed Adjustments</w:t>
      </w:r>
    </w:p>
    <w:p>
      <w:pPr>
        <w:spacing w:after="0" w:line="183" w:lineRule="exact"/>
        <w:rPr>
          <w:sz w:val="20"/>
          <w:szCs w:val="20"/>
          <w:color w:val="auto"/>
        </w:rPr>
      </w:pPr>
    </w:p>
    <w:p>
      <w:pPr>
        <w:ind w:right="240" w:firstLine="582"/>
        <w:spacing w:after="0" w:line="272" w:lineRule="auto"/>
        <w:tabs>
          <w:tab w:leader="none" w:pos="1169" w:val="left"/>
        </w:tabs>
        <w:numPr>
          <w:ilvl w:val="0"/>
          <w:numId w:val="67"/>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“Agreed Adjustments”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by adding the following as new clauses (g) through (u) (with appropriate changes to punctuation):</w:t>
      </w:r>
    </w:p>
    <w:p>
      <w:pPr>
        <w:spacing w:after="0" w:line="138" w:lineRule="exact"/>
        <w:rPr>
          <w:sz w:val="20"/>
          <w:szCs w:val="20"/>
          <w:color w:val="auto"/>
        </w:rPr>
      </w:pPr>
    </w:p>
    <w:p>
      <w:pPr>
        <w:ind w:left="580" w:right="80"/>
        <w:spacing w:after="0" w:line="256" w:lineRule="auto"/>
        <w:rPr>
          <w:sz w:val="20"/>
          <w:szCs w:val="20"/>
          <w:color w:val="auto"/>
        </w:rPr>
      </w:pPr>
      <w:r>
        <w:rPr>
          <w:rFonts w:ascii="Arial" w:cs="Arial" w:eastAsia="Arial" w:hAnsi="Arial"/>
          <w:sz w:val="19"/>
          <w:szCs w:val="19"/>
          <w:i w:val="1"/>
          <w:iCs w:val="1"/>
          <w:color w:val="auto"/>
        </w:rPr>
        <w:t xml:space="preserve">“(g) the decrease of assets thereon by $5,000,000 to reflect an agreed adjustment to the mark-to-market value of the freight book as of the date of the Combined Business Reference Balance Sheet as determined pursuant to </w:t>
      </w:r>
      <w:r>
        <w:rPr>
          <w:rFonts w:ascii="Arial" w:cs="Arial" w:eastAsia="Arial" w:hAnsi="Arial"/>
          <w:sz w:val="19"/>
          <w:szCs w:val="19"/>
          <w:i w:val="1"/>
          <w:iCs w:val="1"/>
          <w:u w:val="single" w:color="auto"/>
          <w:color w:val="auto"/>
        </w:rPr>
        <w:t>Section 7.21</w:t>
      </w:r>
      <w:r>
        <w:rPr>
          <w:rFonts w:ascii="Arial" w:cs="Arial" w:eastAsia="Arial" w:hAnsi="Arial"/>
          <w:sz w:val="19"/>
          <w:szCs w:val="19"/>
          <w:i w:val="1"/>
          <w:iCs w:val="1"/>
          <w:color w:val="auto"/>
        </w:rPr>
        <w:t xml:space="preserve"> (referenced as adjustment (W) in the columnar spreadsheets included in the Estimated Closing Balance Sheet);</w:t>
      </w:r>
    </w:p>
    <w:p>
      <w:pPr>
        <w:spacing w:after="0" w:line="153" w:lineRule="exact"/>
        <w:rPr>
          <w:sz w:val="20"/>
          <w:szCs w:val="20"/>
          <w:color w:val="auto"/>
        </w:rPr>
      </w:pPr>
    </w:p>
    <w:p>
      <w:pPr>
        <w:ind w:left="580" w:right="60" w:firstLine="2"/>
        <w:spacing w:after="0" w:line="256" w:lineRule="auto"/>
        <w:tabs>
          <w:tab w:leader="none" w:pos="856"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without duplication, the elimination of certain medical and dental claims therefrom as described in the definition of “Estimated Closing Balance Sheet” and </w:t>
      </w:r>
      <w:r>
        <w:rPr>
          <w:rFonts w:ascii="Arial" w:cs="Arial" w:eastAsia="Arial" w:hAnsi="Arial"/>
          <w:sz w:val="19"/>
          <w:szCs w:val="19"/>
          <w:i w:val="1"/>
          <w:iCs w:val="1"/>
          <w:u w:val="single" w:color="auto"/>
          <w:color w:val="auto"/>
        </w:rPr>
        <w:t>Section 2.7(a)</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auto"/>
        </w:rPr>
        <w:t>Section 2.7(b)</w:t>
      </w:r>
      <w:r>
        <w:rPr>
          <w:rFonts w:ascii="Arial" w:cs="Arial" w:eastAsia="Arial" w:hAnsi="Arial"/>
          <w:sz w:val="19"/>
          <w:szCs w:val="19"/>
          <w:i w:val="1"/>
          <w:iCs w:val="1"/>
          <w:color w:val="auto"/>
        </w:rPr>
        <w:t xml:space="preserve"> (referenced as adjustment (H) in the columnar spreadsheets included in the Estimated Closing Balance Sheet);</w:t>
      </w:r>
    </w:p>
    <w:p>
      <w:pPr>
        <w:spacing w:after="0" w:line="153" w:lineRule="exact"/>
        <w:rPr>
          <w:rFonts w:ascii="Arial" w:cs="Arial" w:eastAsia="Arial" w:hAnsi="Arial"/>
          <w:sz w:val="19"/>
          <w:szCs w:val="19"/>
          <w:i w:val="1"/>
          <w:iCs w:val="1"/>
          <w:color w:val="auto"/>
        </w:rPr>
      </w:pPr>
    </w:p>
    <w:p>
      <w:pPr>
        <w:ind w:left="580" w:right="100" w:firstLine="2"/>
        <w:spacing w:after="0" w:line="256" w:lineRule="auto"/>
        <w:tabs>
          <w:tab w:leader="none" w:pos="813"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color w:val="auto"/>
        </w:rPr>
        <w:t>the increase of assets thereon by the aggregate amount of the fixed asset balances and the corresponding decrease in assets thereon by the aggregate amount of intercompany assets thereon in each case relating to the JMS system (referenced as adjustment (F) in the columnar spreadsheets included in the Estimated Closing Balance Sheet);</w:t>
      </w:r>
    </w:p>
    <w:p>
      <w:pPr>
        <w:sectPr>
          <w:pgSz w:w="11900" w:h="16838" w:orient="portrait"/>
          <w:cols w:equalWidth="0" w:num="1">
            <w:col w:w="11400"/>
          </w:cols>
          <w:pgMar w:left="240" w:top="120" w:right="259" w:bottom="39" w:gutter="0" w:footer="0" w:header="0"/>
        </w:sectPr>
      </w:pPr>
    </w:p>
    <w:p>
      <w:pPr>
        <w:spacing w:after="0" w:line="153" w:lineRule="exact"/>
        <w:rPr>
          <w:sz w:val="20"/>
          <w:szCs w:val="20"/>
          <w:color w:val="auto"/>
        </w:rPr>
      </w:pPr>
    </w:p>
    <w:p>
      <w:pPr>
        <w:ind w:left="580" w:right="40" w:firstLine="2"/>
        <w:spacing w:after="0" w:line="256" w:lineRule="auto"/>
        <w:tabs>
          <w:tab w:leader="none" w:pos="813" w:val="left"/>
        </w:tabs>
        <w:numPr>
          <w:ilvl w:val="0"/>
          <w:numId w:val="69"/>
        </w:numPr>
        <w:rPr>
          <w:rFonts w:ascii="Arial" w:cs="Arial" w:eastAsia="Arial" w:hAnsi="Arial"/>
          <w:sz w:val="19"/>
          <w:szCs w:val="19"/>
          <w:i w:val="1"/>
          <w:iCs w:val="1"/>
          <w:color w:val="auto"/>
        </w:rPr>
      </w:pPr>
      <w:r>
        <w:rPr>
          <w:rFonts w:ascii="Arial" w:cs="Arial" w:eastAsia="Arial" w:hAnsi="Arial"/>
          <w:sz w:val="19"/>
          <w:szCs w:val="19"/>
          <w:i w:val="1"/>
          <w:iCs w:val="1"/>
          <w:color w:val="auto"/>
        </w:rPr>
        <w:t>the decrease in the assets thereon by the aggregate amount of the fixed asset balances and the corresponding increase in assets thereon by the aggregate amount of intercompany assets thereon in each case relating to the Affinity system (referenced as adjustment (E) in the columnar spreadsheets included in the Estimated Closing Balance Sheet);</w:t>
      </w:r>
    </w:p>
    <w:p>
      <w:pPr>
        <w:sectPr>
          <w:pgSz w:w="11900" w:h="16838" w:orient="portrait"/>
          <w:cols w:equalWidth="0" w:num="1">
            <w:col w:w="11400"/>
          </w:cols>
          <w:pgMar w:left="240" w:top="120" w:right="259" w:bottom="39" w:gutter="0" w:footer="0" w:header="0"/>
          <w:type w:val="continuous"/>
        </w:sectPr>
      </w:pPr>
    </w:p>
    <w:bookmarkStart w:id="60" w:name="page61"/>
    <w:bookmarkEnd w:id="60"/>
    <w:p>
      <w:pPr>
        <w:spacing w:after="0" w:line="6" w:lineRule="exact"/>
        <w:rPr>
          <w:sz w:val="20"/>
          <w:szCs w:val="20"/>
          <w:color w:val="auto"/>
        </w:rPr>
      </w:pPr>
    </w:p>
    <w:p>
      <w:pPr>
        <w:ind w:left="580" w:right="140" w:firstLine="51"/>
        <w:spacing w:after="0" w:line="257" w:lineRule="auto"/>
        <w:tabs>
          <w:tab w:leader="none" w:pos="894" w:val="left"/>
        </w:tabs>
        <w:numPr>
          <w:ilvl w:val="1"/>
          <w:numId w:val="70"/>
        </w:numPr>
        <w:rPr>
          <w:rFonts w:ascii="Arial" w:cs="Arial" w:eastAsia="Arial" w:hAnsi="Arial"/>
          <w:sz w:val="19"/>
          <w:szCs w:val="19"/>
          <w:i w:val="1"/>
          <w:iCs w:val="1"/>
          <w:color w:val="auto"/>
        </w:rPr>
      </w:pPr>
      <w:r>
        <w:rPr>
          <w:rFonts w:ascii="Arial" w:cs="Arial" w:eastAsia="Arial" w:hAnsi="Arial"/>
          <w:sz w:val="19"/>
          <w:szCs w:val="19"/>
          <w:i w:val="1"/>
          <w:iCs w:val="1"/>
          <w:color w:val="auto"/>
        </w:rPr>
        <w:t>the release of reserves in respect of other comprehensive income to give effect to the sale of the Transferred Companies and the corresponding increase in retained earnings reflected thereon (referenced as adjustment (Q) in the columnar spreadsheets included in the Estimated Closing Balance Sheet);</w:t>
      </w:r>
    </w:p>
    <w:p>
      <w:pPr>
        <w:spacing w:after="0" w:line="151" w:lineRule="exact"/>
        <w:rPr>
          <w:rFonts w:ascii="Arial" w:cs="Arial" w:eastAsia="Arial" w:hAnsi="Arial"/>
          <w:sz w:val="19"/>
          <w:szCs w:val="19"/>
          <w:i w:val="1"/>
          <w:iCs w:val="1"/>
          <w:color w:val="auto"/>
        </w:rPr>
      </w:pPr>
    </w:p>
    <w:p>
      <w:pPr>
        <w:jc w:val="both"/>
        <w:ind w:left="580" w:right="460" w:firstLine="2"/>
        <w:spacing w:after="0" w:line="269" w:lineRule="auto"/>
        <w:tabs>
          <w:tab w:leader="none" w:pos="813"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increase of liabilities thereon by the aggregate amount of accrued liabilities of the SET Companies (other than the Transferred Companies) and the corresponding increase in assets thereon by the aggregate amount of intercompany assets of the SET Companies (other than the Transferred Companies) in each case relating to the Combined Business and specifically segregated on the columnar spreadsheets included in the Estimated Closing Balance Sheet and described on </w:t>
      </w:r>
      <w:r>
        <w:rPr>
          <w:rFonts w:ascii="Arial" w:cs="Arial" w:eastAsia="Arial" w:hAnsi="Arial"/>
          <w:sz w:val="18"/>
          <w:szCs w:val="18"/>
          <w:i w:val="1"/>
          <w:iCs w:val="1"/>
          <w:u w:val="single" w:color="auto"/>
          <w:color w:val="auto"/>
        </w:rPr>
        <w:t>Schedule 1.1(u)</w:t>
      </w:r>
      <w:r>
        <w:rPr>
          <w:rFonts w:ascii="Arial" w:cs="Arial" w:eastAsia="Arial" w:hAnsi="Arial"/>
          <w:sz w:val="18"/>
          <w:szCs w:val="18"/>
          <w:i w:val="1"/>
          <w:iCs w:val="1"/>
          <w:color w:val="auto"/>
        </w:rPr>
        <w:t>;</w:t>
      </w:r>
    </w:p>
    <w:p>
      <w:pPr>
        <w:spacing w:after="0" w:line="143" w:lineRule="exact"/>
        <w:rPr>
          <w:rFonts w:ascii="Arial" w:cs="Arial" w:eastAsia="Arial" w:hAnsi="Arial"/>
          <w:sz w:val="18"/>
          <w:szCs w:val="18"/>
          <w:i w:val="1"/>
          <w:iCs w:val="1"/>
          <w:color w:val="auto"/>
        </w:rPr>
      </w:pPr>
    </w:p>
    <w:p>
      <w:pPr>
        <w:ind w:left="580" w:right="20" w:firstLine="2"/>
        <w:spacing w:after="0" w:line="251" w:lineRule="auto"/>
        <w:tabs>
          <w:tab w:leader="none" w:pos="899"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the adjustment of assets thereon in respect of amounts “Due from Exchange” to reflect the net option value thereof only with respect to exchange positions transferring to the Purchaser and its Affiliates at the Closing as specifically segregated on the columnar spreadsheets included in the Estimated Closing Balance Sheet (referenced as adjustment (K) in the columnar spreadsheets included in the Estimated Closing Balance Sheet);</w:t>
      </w:r>
    </w:p>
    <w:p>
      <w:pPr>
        <w:spacing w:after="0" w:line="157" w:lineRule="exact"/>
        <w:rPr>
          <w:rFonts w:ascii="Arial" w:cs="Arial" w:eastAsia="Arial" w:hAnsi="Arial"/>
          <w:sz w:val="19"/>
          <w:szCs w:val="19"/>
          <w:i w:val="1"/>
          <w:iCs w:val="1"/>
          <w:color w:val="auto"/>
        </w:rPr>
      </w:pPr>
    </w:p>
    <w:p>
      <w:pPr>
        <w:ind w:left="860" w:hanging="278"/>
        <w:spacing w:after="0"/>
        <w:tabs>
          <w:tab w:leader="none" w:pos="860"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the elimination of equity balances in respect of RBS Sempra Metals Investments LLP and City Shipping Services Ltd.;</w:t>
      </w:r>
    </w:p>
    <w:p>
      <w:pPr>
        <w:spacing w:after="0" w:line="195" w:lineRule="exact"/>
        <w:rPr>
          <w:rFonts w:ascii="Arial" w:cs="Arial" w:eastAsia="Arial" w:hAnsi="Arial"/>
          <w:sz w:val="19"/>
          <w:szCs w:val="19"/>
          <w:i w:val="1"/>
          <w:iCs w:val="1"/>
          <w:color w:val="auto"/>
        </w:rPr>
      </w:pPr>
    </w:p>
    <w:p>
      <w:pPr>
        <w:ind w:left="860" w:hanging="278"/>
        <w:spacing w:after="0"/>
        <w:tabs>
          <w:tab w:leader="none" w:pos="860"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adjustments necessary to present intercompany balances on a net basis;</w:t>
      </w:r>
    </w:p>
    <w:p>
      <w:pPr>
        <w:spacing w:after="0" w:line="195" w:lineRule="exact"/>
        <w:rPr>
          <w:rFonts w:ascii="Arial" w:cs="Arial" w:eastAsia="Arial" w:hAnsi="Arial"/>
          <w:sz w:val="19"/>
          <w:szCs w:val="19"/>
          <w:i w:val="1"/>
          <w:iCs w:val="1"/>
          <w:color w:val="auto"/>
        </w:rPr>
      </w:pPr>
    </w:p>
    <w:p>
      <w:pPr>
        <w:ind w:left="860" w:hanging="278"/>
        <w:spacing w:after="0"/>
        <w:tabs>
          <w:tab w:leader="none" w:pos="8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 to eliminate any Palabora Assets not otherwise eliminated from the Combined Business Reference Balance Sheet;</w:t>
      </w:r>
    </w:p>
    <w:p>
      <w:pPr>
        <w:spacing w:after="0" w:line="206" w:lineRule="exact"/>
        <w:rPr>
          <w:rFonts w:ascii="Arial" w:cs="Arial" w:eastAsia="Arial" w:hAnsi="Arial"/>
          <w:sz w:val="18"/>
          <w:szCs w:val="18"/>
          <w:i w:val="1"/>
          <w:iCs w:val="1"/>
          <w:color w:val="auto"/>
        </w:rPr>
      </w:pPr>
    </w:p>
    <w:p>
      <w:pPr>
        <w:ind w:left="860" w:hanging="278"/>
        <w:spacing w:after="0"/>
        <w:tabs>
          <w:tab w:leader="none" w:pos="860"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adjustments to eliminate the Aquantum and RCOM Assets;</w:t>
      </w:r>
    </w:p>
    <w:p>
      <w:pPr>
        <w:spacing w:after="0" w:line="195" w:lineRule="exact"/>
        <w:rPr>
          <w:rFonts w:ascii="Arial" w:cs="Arial" w:eastAsia="Arial" w:hAnsi="Arial"/>
          <w:sz w:val="19"/>
          <w:szCs w:val="19"/>
          <w:i w:val="1"/>
          <w:iCs w:val="1"/>
          <w:color w:val="auto"/>
        </w:rPr>
      </w:pPr>
    </w:p>
    <w:p>
      <w:pPr>
        <w:ind w:left="840" w:hanging="258"/>
        <w:spacing w:after="0"/>
        <w:tabs>
          <w:tab w:leader="none" w:pos="840"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adjustments to eliminate the Macquarie and ABN NA Power and Gas Assets;</w:t>
      </w:r>
    </w:p>
    <w:p>
      <w:pPr>
        <w:spacing w:after="0" w:line="195" w:lineRule="exact"/>
        <w:rPr>
          <w:rFonts w:ascii="Arial" w:cs="Arial" w:eastAsia="Arial" w:hAnsi="Arial"/>
          <w:sz w:val="19"/>
          <w:szCs w:val="19"/>
          <w:i w:val="1"/>
          <w:iCs w:val="1"/>
          <w:color w:val="auto"/>
        </w:rPr>
      </w:pPr>
    </w:p>
    <w:p>
      <w:pPr>
        <w:ind w:left="580" w:right="160" w:firstLine="2"/>
        <w:spacing w:after="0" w:line="272" w:lineRule="auto"/>
        <w:tabs>
          <w:tab w:leader="none" w:pos="834"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adjustments to reflect SET Assigned Trading Agreements in respect of European gas and power Commodity Transactions not included in the Combined Business Reference Balance Sheet as more particularly described on </w:t>
      </w:r>
      <w:r>
        <w:rPr>
          <w:rFonts w:ascii="Arial" w:cs="Arial" w:eastAsia="Arial" w:hAnsi="Arial"/>
          <w:sz w:val="19"/>
          <w:szCs w:val="19"/>
          <w:i w:val="1"/>
          <w:iCs w:val="1"/>
          <w:u w:val="single" w:color="auto"/>
          <w:color w:val="auto"/>
        </w:rPr>
        <w:t>Schedule 1.1(v)</w:t>
      </w:r>
      <w:r>
        <w:rPr>
          <w:rFonts w:ascii="Arial" w:cs="Arial" w:eastAsia="Arial" w:hAnsi="Arial"/>
          <w:sz w:val="19"/>
          <w:szCs w:val="19"/>
          <w:i w:val="1"/>
          <w:iCs w:val="1"/>
          <w:color w:val="auto"/>
        </w:rPr>
        <w:t>;</w:t>
      </w:r>
    </w:p>
    <w:p>
      <w:pPr>
        <w:spacing w:after="0" w:line="137" w:lineRule="exact"/>
        <w:rPr>
          <w:rFonts w:ascii="Arial" w:cs="Arial" w:eastAsia="Arial" w:hAnsi="Arial"/>
          <w:sz w:val="19"/>
          <w:szCs w:val="19"/>
          <w:i w:val="1"/>
          <w:iCs w:val="1"/>
          <w:color w:val="auto"/>
        </w:rPr>
      </w:pPr>
    </w:p>
    <w:p>
      <w:pPr>
        <w:ind w:left="580" w:right="100" w:firstLine="2"/>
        <w:spacing w:after="0" w:line="256" w:lineRule="auto"/>
        <w:tabs>
          <w:tab w:leader="none" w:pos="813"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without duplication, the reduction of the amount of intercompany payables to RBS thereon by the aggregate amount of “gold deposits” in respect of “gold leases” and “silver deposits” in respect of “silver leases,” and a corresponding increase the amount of commodities sold not yet purchased thereon;</w:t>
      </w:r>
    </w:p>
    <w:p>
      <w:pPr>
        <w:spacing w:after="0" w:line="153" w:lineRule="exact"/>
        <w:rPr>
          <w:rFonts w:ascii="Arial" w:cs="Arial" w:eastAsia="Arial" w:hAnsi="Arial"/>
          <w:sz w:val="19"/>
          <w:szCs w:val="19"/>
          <w:i w:val="1"/>
          <w:iCs w:val="1"/>
          <w:color w:val="auto"/>
        </w:rPr>
      </w:pPr>
    </w:p>
    <w:p>
      <w:pPr>
        <w:ind w:left="580" w:right="20" w:firstLine="2"/>
        <w:spacing w:after="0" w:line="247" w:lineRule="auto"/>
        <w:tabs>
          <w:tab w:leader="none" w:pos="856"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the increase in short term borrowings reflected thereon with a corresponding increase in trading assets reflected thereon or the decrease in short term borrowings reflected thereon with a corresponding increase in trading liabilities reflected thereon, in either case to adjust for net margin posted by RBS on behalf of the Combined Business due to RBS and the Combined Business having a group of common clients covered by a single ISDA and credit support annex (provided that on the Estimated Closing Balance Sheet, this adjustment was reflected by the decrease in the paydown of Hudson Castle (referenced as adjustment (S) in the columnar spreadsheets included in the Estimated Closing Balance Sheet)).</w:t>
      </w:r>
    </w:p>
    <w:p>
      <w:pPr>
        <w:spacing w:after="0" w:line="148" w:lineRule="exact"/>
        <w:rPr>
          <w:sz w:val="20"/>
          <w:szCs w:val="20"/>
          <w:color w:val="auto"/>
        </w:rPr>
      </w:pPr>
    </w:p>
    <w:p>
      <w:pPr>
        <w:ind w:left="1160" w:hanging="578"/>
        <w:spacing w:after="0"/>
        <w:tabs>
          <w:tab w:leader="none" w:pos="1160" w:val="left"/>
        </w:tabs>
        <w:numPr>
          <w:ilvl w:val="0"/>
          <w:numId w:val="72"/>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Annex D</w:t>
      </w:r>
      <w:r>
        <w:rPr>
          <w:rFonts w:ascii="Arial" w:cs="Arial" w:eastAsia="Arial" w:hAnsi="Arial"/>
          <w:sz w:val="19"/>
          <w:szCs w:val="19"/>
          <w:i w:val="1"/>
          <w:iCs w:val="1"/>
          <w:color w:val="auto"/>
        </w:rPr>
        <w:t xml:space="preserve"> is hereby inserted into the Seller Disclosure Letter as a new </w:t>
      </w:r>
      <w:r>
        <w:rPr>
          <w:rFonts w:ascii="Arial" w:cs="Arial" w:eastAsia="Arial" w:hAnsi="Arial"/>
          <w:sz w:val="19"/>
          <w:szCs w:val="19"/>
          <w:i w:val="1"/>
          <w:iCs w:val="1"/>
          <w:u w:val="single" w:color="auto"/>
          <w:color w:val="auto"/>
        </w:rPr>
        <w:t>Schedule 1.1(u)</w:t>
      </w:r>
      <w:r>
        <w:rPr>
          <w:rFonts w:ascii="Arial" w:cs="Arial" w:eastAsia="Arial" w:hAnsi="Arial"/>
          <w:sz w:val="19"/>
          <w:szCs w:val="19"/>
          <w:i w:val="1"/>
          <w:iCs w:val="1"/>
          <w:color w:val="auto"/>
        </w:rPr>
        <w:t>.</w:t>
      </w:r>
    </w:p>
    <w:p>
      <w:pPr>
        <w:spacing w:after="0" w:line="195" w:lineRule="exact"/>
        <w:rPr>
          <w:rFonts w:ascii="Arial" w:cs="Arial" w:eastAsia="Arial" w:hAnsi="Arial"/>
          <w:sz w:val="19"/>
          <w:szCs w:val="19"/>
          <w:i w:val="1"/>
          <w:iCs w:val="1"/>
          <w:color w:val="7F0000"/>
        </w:rPr>
      </w:pPr>
    </w:p>
    <w:p>
      <w:pPr>
        <w:ind w:right="3620" w:firstLine="582"/>
        <w:spacing w:after="0" w:line="448" w:lineRule="auto"/>
        <w:tabs>
          <w:tab w:leader="none" w:pos="1169" w:val="left"/>
        </w:tabs>
        <w:numPr>
          <w:ilvl w:val="0"/>
          <w:numId w:val="72"/>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Annex E</w:t>
      </w:r>
      <w:r>
        <w:rPr>
          <w:rFonts w:ascii="Arial" w:cs="Arial" w:eastAsia="Arial" w:hAnsi="Arial"/>
          <w:sz w:val="19"/>
          <w:szCs w:val="19"/>
          <w:i w:val="1"/>
          <w:iCs w:val="1"/>
          <w:color w:val="auto"/>
        </w:rPr>
        <w:t xml:space="preserve"> is hereby inserted into the Seller Disclosure Letter as a new </w:t>
      </w:r>
      <w:r>
        <w:rPr>
          <w:rFonts w:ascii="Arial" w:cs="Arial" w:eastAsia="Arial" w:hAnsi="Arial"/>
          <w:sz w:val="19"/>
          <w:szCs w:val="19"/>
          <w:i w:val="1"/>
          <w:iCs w:val="1"/>
          <w:u w:val="single" w:color="auto"/>
          <w:color w:val="auto"/>
        </w:rPr>
        <w:t>Schedule 1.1(v)</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Assigned Trading Agreements</w:t>
      </w:r>
    </w:p>
    <w:p>
      <w:pPr>
        <w:ind w:right="180" w:firstLine="582"/>
        <w:spacing w:after="0" w:line="256" w:lineRule="auto"/>
        <w:tabs>
          <w:tab w:leader="none" w:pos="1169" w:val="left"/>
        </w:tabs>
        <w:numPr>
          <w:ilvl w:val="0"/>
          <w:numId w:val="72"/>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“SET Assigned Trading Agreement”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to delete the “and” between clauses (a) and (b) thereof and to add the following new clause (c): “(c) the adjustments described in clauses (p), (q), (r) and (s) of the definition of Agreed Adjustments”.</w:t>
      </w:r>
    </w:p>
    <w:p>
      <w:pPr>
        <w:spacing w:after="0" w:line="140" w:lineRule="exact"/>
        <w:rPr>
          <w:rFonts w:ascii="Arial" w:cs="Arial" w:eastAsia="Arial" w:hAnsi="Arial"/>
          <w:sz w:val="19"/>
          <w:szCs w:val="19"/>
          <w:i w:val="1"/>
          <w:iCs w:val="1"/>
          <w:color w:val="7F0000"/>
        </w:rPr>
      </w:pPr>
    </w:p>
    <w:p>
      <w:pPr>
        <w:jc w:val="both"/>
        <w:ind w:right="200" w:firstLine="582"/>
        <w:spacing w:after="0" w:line="256" w:lineRule="auto"/>
        <w:tabs>
          <w:tab w:leader="none" w:pos="1169" w:val="left"/>
        </w:tabs>
        <w:numPr>
          <w:ilvl w:val="0"/>
          <w:numId w:val="72"/>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definition of “RBS Related Assets” in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is hereby amended to delete the “and” between clauses (a) and (b) thereof and to add the following new clause (c): “(c) the adjustments described in clauses (p), (q) and (r) of the definition of Agreed Adjustments”.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Canadian Oil Leases and Inventory</w:t>
      </w:r>
    </w:p>
    <w:p>
      <w:pPr>
        <w:spacing w:after="0" w:line="195" w:lineRule="exact"/>
        <w:rPr>
          <w:sz w:val="20"/>
          <w:szCs w:val="20"/>
          <w:color w:val="auto"/>
        </w:rPr>
      </w:pPr>
    </w:p>
    <w:p>
      <w:pPr>
        <w:ind w:left="1160" w:hanging="578"/>
        <w:spacing w:after="0"/>
        <w:tabs>
          <w:tab w:leader="none" w:pos="1160" w:val="left"/>
        </w:tabs>
        <w:numPr>
          <w:ilvl w:val="0"/>
          <w:numId w:val="73"/>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new defined terms are hereby added to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(in alphabetical order):</w:t>
      </w:r>
    </w:p>
    <w:p>
      <w:pPr>
        <w:spacing w:after="0" w:line="195" w:lineRule="exact"/>
        <w:rPr>
          <w:sz w:val="20"/>
          <w:szCs w:val="20"/>
          <w:color w:val="auto"/>
        </w:rPr>
      </w:pPr>
    </w:p>
    <w:p>
      <w:pPr>
        <w:ind w:left="580" w:right="200"/>
        <w:spacing w:after="0" w:line="25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Canadian Oil Leases</w:t>
      </w:r>
      <w:r>
        <w:rPr>
          <w:rFonts w:ascii="Arial" w:cs="Arial" w:eastAsia="Arial" w:hAnsi="Arial"/>
          <w:sz w:val="19"/>
          <w:szCs w:val="19"/>
          <w:i w:val="1"/>
          <w:iCs w:val="1"/>
          <w:color w:val="auto"/>
        </w:rPr>
        <w:t>” – collectively, (i) the Tankage Agreement between Enbridge Midstream Inc. and SET dated as of June 30, 2006 (as amended from time to time); (ii) the Letter Agreement made as of December 11, 2009, among Enbridge Midstream Inc., SET and ConocoPhillips Canada Marketing &amp; Trading ULC; and (iii) the Tankage Sublease Agreement dated November 16, 2009 between SET and ConocoPhillips Canada Marketing &amp; Trading ULC.”</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Canadian Oil Leases and Inventory</w:t>
      </w:r>
      <w:r>
        <w:rPr>
          <w:rFonts w:ascii="Arial" w:cs="Arial" w:eastAsia="Arial" w:hAnsi="Arial"/>
          <w:sz w:val="19"/>
          <w:szCs w:val="19"/>
          <w:i w:val="1"/>
          <w:iCs w:val="1"/>
          <w:color w:val="auto"/>
        </w:rPr>
        <w:t>” – collectively, (i) the Canadian Oil Leases; and (ii) the Inventory.”</w:t>
      </w:r>
    </w:p>
    <w:p>
      <w:pPr>
        <w:spacing w:after="0" w:line="220" w:lineRule="exact"/>
        <w:rPr>
          <w:sz w:val="20"/>
          <w:szCs w:val="20"/>
          <w:color w:val="auto"/>
        </w:rPr>
      </w:pPr>
    </w:p>
    <w:p>
      <w:pPr>
        <w:ind w:left="580" w:right="420"/>
        <w:spacing w:after="0" w:line="272" w:lineRule="auto"/>
        <w:rPr>
          <w:sz w:val="20"/>
          <w:szCs w:val="20"/>
          <w:color w:val="auto"/>
        </w:rPr>
      </w:pPr>
      <w:r>
        <w:rPr>
          <w:rFonts w:ascii="Arial" w:cs="Arial" w:eastAsia="Arial" w:hAnsi="Arial"/>
          <w:sz w:val="19"/>
          <w:szCs w:val="19"/>
          <w:i w:val="1"/>
          <w:iCs w:val="1"/>
          <w:color w:val="auto"/>
        </w:rPr>
        <w:t>“Inventory” all commodity inventory owned by SET and stored in tanks at Enbridge Midstream Inc.’s facilities near Hardisty, Alberta pursuant to the Tankage Agreement identified in clause (i) of the definition of “Canadian Oil Leases.””</w:t>
      </w:r>
    </w:p>
    <w:p>
      <w:pPr>
        <w:spacing w:after="0" w:line="150" w:lineRule="exact"/>
        <w:rPr>
          <w:sz w:val="20"/>
          <w:szCs w:val="20"/>
          <w:color w:val="auto"/>
        </w:rPr>
      </w:pPr>
    </w:p>
    <w:p>
      <w:pPr>
        <w:ind w:left="1160" w:hanging="578"/>
        <w:spacing w:after="0"/>
        <w:tabs>
          <w:tab w:leader="none" w:pos="1160" w:val="left"/>
        </w:tabs>
        <w:numPr>
          <w:ilvl w:val="0"/>
          <w:numId w:val="74"/>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inserted as a new </w:t>
      </w:r>
      <w:r>
        <w:rPr>
          <w:rFonts w:ascii="Arial" w:cs="Arial" w:eastAsia="Arial" w:hAnsi="Arial"/>
          <w:sz w:val="19"/>
          <w:szCs w:val="19"/>
          <w:i w:val="1"/>
          <w:iCs w:val="1"/>
          <w:u w:val="single" w:color="auto"/>
          <w:color w:val="auto"/>
        </w:rPr>
        <w:t>Section 2.1(d)</w:t>
      </w:r>
      <w:r>
        <w:rPr>
          <w:rFonts w:ascii="Arial" w:cs="Arial" w:eastAsia="Arial" w:hAnsi="Arial"/>
          <w:sz w:val="19"/>
          <w:szCs w:val="19"/>
          <w:i w:val="1"/>
          <w:iCs w:val="1"/>
          <w:color w:val="auto"/>
        </w:rPr>
        <w:t xml:space="preserve"> to the Purchase Agreement:</w:t>
      </w:r>
    </w:p>
    <w:p>
      <w:pPr>
        <w:spacing w:after="0" w:line="195" w:lineRule="exact"/>
        <w:rPr>
          <w:sz w:val="20"/>
          <w:szCs w:val="20"/>
          <w:color w:val="auto"/>
        </w:rPr>
      </w:pPr>
    </w:p>
    <w:p>
      <w:pPr>
        <w:ind w:left="580"/>
        <w:spacing w:after="0" w:line="285" w:lineRule="auto"/>
        <w:rPr>
          <w:sz w:val="20"/>
          <w:szCs w:val="20"/>
          <w:color w:val="auto"/>
        </w:rPr>
      </w:pPr>
      <w:r>
        <w:rPr>
          <w:rFonts w:ascii="Arial" w:cs="Arial" w:eastAsia="Arial" w:hAnsi="Arial"/>
          <w:sz w:val="17"/>
          <w:szCs w:val="17"/>
          <w:i w:val="1"/>
          <w:iCs w:val="1"/>
          <w:color w:val="auto"/>
        </w:rPr>
        <w:t xml:space="preserve">“For the avoidance of doubt, the Parties acknowledge and agree that the Canadian Oil Leases and Inventory are Transferred Assets which shall not be assigned, transferred, conveyed or delivered to the Purchaser on the Closing Date but which shall be subject to </w:t>
      </w:r>
      <w:r>
        <w:rPr>
          <w:rFonts w:ascii="Arial" w:cs="Arial" w:eastAsia="Arial" w:hAnsi="Arial"/>
          <w:sz w:val="17"/>
          <w:szCs w:val="17"/>
          <w:i w:val="1"/>
          <w:iCs w:val="1"/>
          <w:u w:val="single" w:color="auto"/>
          <w:color w:val="auto"/>
        </w:rPr>
        <w:t>Section 2.2(c)</w:t>
      </w:r>
      <w:r>
        <w:rPr>
          <w:rFonts w:ascii="Arial" w:cs="Arial" w:eastAsia="Arial" w:hAnsi="Arial"/>
          <w:sz w:val="17"/>
          <w:szCs w:val="17"/>
          <w:i w:val="1"/>
          <w:iCs w:val="1"/>
          <w:color w:val="auto"/>
        </w:rPr>
        <w:t>. The Seller Parties shall use commercially reasonable efforts to assign, transfer, convey and deliver the Canadian Oil Leases and Inventory as promptly as practicable following the Closing and, in any event, shall assign, transfer, convey and deliver the Canadian Oil Leases and Inventory to the Purchaser not later than December 1, 2010 (the date of such transfer, the “</w:t>
      </w:r>
      <w:r>
        <w:rPr>
          <w:rFonts w:ascii="Arial" w:cs="Arial" w:eastAsia="Arial" w:hAnsi="Arial"/>
          <w:sz w:val="17"/>
          <w:szCs w:val="17"/>
          <w:i w:val="1"/>
          <w:iCs w:val="1"/>
          <w:u w:val="single" w:color="auto"/>
          <w:color w:val="auto"/>
        </w:rPr>
        <w:t>Canadian Oil Transfer Date</w:t>
      </w:r>
      <w:r>
        <w:rPr>
          <w:rFonts w:ascii="Arial" w:cs="Arial" w:eastAsia="Arial" w:hAnsi="Arial"/>
          <w:sz w:val="17"/>
          <w:szCs w:val="17"/>
          <w:i w:val="1"/>
          <w:iCs w:val="1"/>
          <w:color w:val="auto"/>
        </w:rPr>
        <w:t>”).”</w:t>
      </w:r>
    </w:p>
    <w:p>
      <w:pPr>
        <w:spacing w:after="0" w:line="142" w:lineRule="exact"/>
        <w:rPr>
          <w:sz w:val="20"/>
          <w:szCs w:val="20"/>
          <w:color w:val="auto"/>
        </w:rPr>
      </w:pPr>
    </w:p>
    <w:p>
      <w:pPr>
        <w:ind w:right="140" w:firstLine="582"/>
        <w:spacing w:after="0" w:line="272" w:lineRule="auto"/>
        <w:tabs>
          <w:tab w:leader="none" w:pos="1169" w:val="left"/>
        </w:tabs>
        <w:numPr>
          <w:ilvl w:val="0"/>
          <w:numId w:val="75"/>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second sentence of </w:t>
      </w:r>
      <w:r>
        <w:rPr>
          <w:rFonts w:ascii="Arial" w:cs="Arial" w:eastAsia="Arial" w:hAnsi="Arial"/>
          <w:sz w:val="19"/>
          <w:szCs w:val="19"/>
          <w:i w:val="1"/>
          <w:iCs w:val="1"/>
          <w:u w:val="single" w:color="auto"/>
          <w:color w:val="auto"/>
        </w:rPr>
        <w:t>Section 2.3</w:t>
      </w:r>
      <w:r>
        <w:rPr>
          <w:rFonts w:ascii="Arial" w:cs="Arial" w:eastAsia="Arial" w:hAnsi="Arial"/>
          <w:sz w:val="19"/>
          <w:szCs w:val="19"/>
          <w:i w:val="1"/>
          <w:iCs w:val="1"/>
          <w:color w:val="auto"/>
        </w:rPr>
        <w:t xml:space="preserve"> of the Purchase Agreement is hereby amended by deleting “$468,000,000” and inserting in its place “$424,000,000.”</w:t>
      </w:r>
    </w:p>
    <w:p>
      <w:pPr>
        <w:sectPr>
          <w:pgSz w:w="11900" w:h="16844" w:orient="portrait"/>
          <w:cols w:equalWidth="0" w:num="1">
            <w:col w:w="11440"/>
          </w:cols>
          <w:pgMar w:left="240" w:top="120" w:right="219" w:bottom="0" w:gutter="0" w:footer="0" w:header="0"/>
        </w:sectPr>
      </w:pPr>
    </w:p>
    <w:p>
      <w:pPr>
        <w:spacing w:after="0" w:line="138" w:lineRule="exact"/>
        <w:rPr>
          <w:sz w:val="20"/>
          <w:szCs w:val="20"/>
          <w:color w:val="auto"/>
        </w:rPr>
      </w:pPr>
    </w:p>
    <w:p>
      <w:pPr>
        <w:ind w:left="1160" w:hanging="578"/>
        <w:spacing w:after="0"/>
        <w:tabs>
          <w:tab w:leader="none" w:pos="1160" w:val="left"/>
        </w:tabs>
        <w:numPr>
          <w:ilvl w:val="0"/>
          <w:numId w:val="76"/>
        </w:numPr>
        <w:rPr>
          <w:rFonts w:ascii="Arial" w:cs="Arial" w:eastAsia="Arial" w:hAnsi="Arial"/>
          <w:sz w:val="17"/>
          <w:szCs w:val="17"/>
          <w:i w:val="1"/>
          <w:iCs w:val="1"/>
          <w:color w:val="7F0000"/>
        </w:rPr>
      </w:pPr>
      <w:r>
        <w:rPr>
          <w:rFonts w:ascii="Arial" w:cs="Arial" w:eastAsia="Arial" w:hAnsi="Arial"/>
          <w:sz w:val="17"/>
          <w:szCs w:val="17"/>
          <w:i w:val="1"/>
          <w:iCs w:val="1"/>
          <w:color w:val="auto"/>
        </w:rPr>
        <w:t xml:space="preserve">The following is hereby inserted at the end of </w:t>
      </w:r>
      <w:r>
        <w:rPr>
          <w:rFonts w:ascii="Arial" w:cs="Arial" w:eastAsia="Arial" w:hAnsi="Arial"/>
          <w:sz w:val="17"/>
          <w:szCs w:val="17"/>
          <w:i w:val="1"/>
          <w:iCs w:val="1"/>
          <w:u w:val="single" w:color="auto"/>
          <w:color w:val="auto"/>
        </w:rPr>
        <w:t>Section 2.3</w:t>
      </w:r>
      <w:r>
        <w:rPr>
          <w:rFonts w:ascii="Arial" w:cs="Arial" w:eastAsia="Arial" w:hAnsi="Arial"/>
          <w:sz w:val="17"/>
          <w:szCs w:val="17"/>
          <w:i w:val="1"/>
          <w:iCs w:val="1"/>
          <w:color w:val="auto"/>
        </w:rPr>
        <w:t xml:space="preserve"> of the Purchase Agreement:</w:t>
      </w:r>
    </w:p>
    <w:p>
      <w:pPr>
        <w:sectPr>
          <w:pgSz w:w="11900" w:h="16844" w:orient="portrait"/>
          <w:cols w:equalWidth="0" w:num="1">
            <w:col w:w="11440"/>
          </w:cols>
          <w:pgMar w:left="240" w:top="120" w:right="219" w:bottom="0" w:gutter="0" w:footer="0" w:header="0"/>
          <w:type w:val="continuous"/>
        </w:sectPr>
      </w:pPr>
    </w:p>
    <w:bookmarkStart w:id="61" w:name="page62"/>
    <w:bookmarkEnd w:id="61"/>
    <w:p>
      <w:pPr>
        <w:ind w:left="580" w:right="240"/>
        <w:spacing w:after="0" w:line="251" w:lineRule="auto"/>
        <w:rPr>
          <w:sz w:val="20"/>
          <w:szCs w:val="20"/>
          <w:color w:val="auto"/>
        </w:rPr>
      </w:pPr>
      <w:r>
        <w:rPr>
          <w:rFonts w:ascii="Arial" w:cs="Arial" w:eastAsia="Arial" w:hAnsi="Arial"/>
          <w:sz w:val="19"/>
          <w:szCs w:val="19"/>
          <w:i w:val="1"/>
          <w:iCs w:val="1"/>
          <w:color w:val="auto"/>
        </w:rPr>
        <w:t>“No later than 2:00 p.m. New York time on the Canadian Oil Transfer Date, the Purchaser shall pay $44,000,000, on account of the premium portion of the Purchase Price, to the Partnership (on behalf of the sellers of the Transferred Assets) by wire transfer of immediately available funds to such accounts as identified by the Partnership to the Purchaser in writing at least two (2) Business Days prior to the Canadian Oil Transfer Date.”</w:t>
      </w:r>
    </w:p>
    <w:p>
      <w:pPr>
        <w:spacing w:after="0" w:line="171" w:lineRule="exact"/>
        <w:rPr>
          <w:sz w:val="20"/>
          <w:szCs w:val="20"/>
          <w:color w:val="auto"/>
        </w:rPr>
      </w:pPr>
    </w:p>
    <w:p>
      <w:pPr>
        <w:ind w:left="1160" w:hanging="578"/>
        <w:spacing w:after="0"/>
        <w:tabs>
          <w:tab w:leader="none" w:pos="1160" w:val="left"/>
        </w:tabs>
        <w:numPr>
          <w:ilvl w:val="0"/>
          <w:numId w:val="77"/>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inserted at the end of </w:t>
      </w:r>
      <w:r>
        <w:rPr>
          <w:rFonts w:ascii="Arial" w:cs="Arial" w:eastAsia="Arial" w:hAnsi="Arial"/>
          <w:sz w:val="19"/>
          <w:szCs w:val="19"/>
          <w:i w:val="1"/>
          <w:iCs w:val="1"/>
          <w:u w:val="single" w:color="auto"/>
          <w:color w:val="auto"/>
        </w:rPr>
        <w:t>Section 2.7(a)</w:t>
      </w:r>
      <w:r>
        <w:rPr>
          <w:rFonts w:ascii="Arial" w:cs="Arial" w:eastAsia="Arial" w:hAnsi="Arial"/>
          <w:sz w:val="19"/>
          <w:szCs w:val="19"/>
          <w:i w:val="1"/>
          <w:iCs w:val="1"/>
          <w:color w:val="auto"/>
        </w:rPr>
        <w:t>:</w:t>
      </w:r>
    </w:p>
    <w:p>
      <w:pPr>
        <w:spacing w:after="0" w:line="195" w:lineRule="exact"/>
        <w:rPr>
          <w:sz w:val="20"/>
          <w:szCs w:val="20"/>
          <w:color w:val="auto"/>
        </w:rPr>
      </w:pPr>
    </w:p>
    <w:p>
      <w:pPr>
        <w:ind w:left="580" w:right="140"/>
        <w:spacing w:after="0" w:line="256" w:lineRule="auto"/>
        <w:rPr>
          <w:sz w:val="20"/>
          <w:szCs w:val="20"/>
          <w:color w:val="auto"/>
        </w:rPr>
      </w:pPr>
      <w:r>
        <w:rPr>
          <w:rFonts w:ascii="Arial" w:cs="Arial" w:eastAsia="Arial" w:hAnsi="Arial"/>
          <w:sz w:val="19"/>
          <w:szCs w:val="19"/>
          <w:i w:val="1"/>
          <w:iCs w:val="1"/>
          <w:color w:val="auto"/>
        </w:rPr>
        <w:t xml:space="preserve">“Notwithstanding anything to the contrary contained herein, (i) the Final Closing RBS/SET Debt related to the Canadian Oil Leases and Inventory shall be deemed to be $118,201,554, and (ii) no adjustment shall be made in this </w:t>
      </w:r>
      <w:r>
        <w:rPr>
          <w:rFonts w:ascii="Arial" w:cs="Arial" w:eastAsia="Arial" w:hAnsi="Arial"/>
          <w:sz w:val="19"/>
          <w:szCs w:val="19"/>
          <w:i w:val="1"/>
          <w:iCs w:val="1"/>
          <w:u w:val="single" w:color="auto"/>
          <w:color w:val="auto"/>
        </w:rPr>
        <w:t>Section 2.7</w:t>
      </w:r>
      <w:r>
        <w:rPr>
          <w:rFonts w:ascii="Arial" w:cs="Arial" w:eastAsia="Arial" w:hAnsi="Arial"/>
          <w:sz w:val="19"/>
          <w:szCs w:val="19"/>
          <w:i w:val="1"/>
          <w:iCs w:val="1"/>
          <w:color w:val="auto"/>
        </w:rPr>
        <w:t xml:space="preserve"> for the Canadian Oil Leases and Inventory and associated debt.”</w:t>
      </w:r>
    </w:p>
    <w:p>
      <w:pPr>
        <w:spacing w:after="0" w:line="153" w:lineRule="exact"/>
        <w:rPr>
          <w:sz w:val="20"/>
          <w:szCs w:val="20"/>
          <w:color w:val="auto"/>
        </w:rPr>
      </w:pPr>
    </w:p>
    <w:p>
      <w:pPr>
        <w:ind w:left="1260" w:hanging="678"/>
        <w:spacing w:after="0"/>
        <w:tabs>
          <w:tab w:leader="none" w:pos="1260" w:val="left"/>
        </w:tabs>
        <w:numPr>
          <w:ilvl w:val="0"/>
          <w:numId w:val="78"/>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inserted into the Purchase Agreement as a new </w:t>
      </w:r>
      <w:r>
        <w:rPr>
          <w:rFonts w:ascii="Arial" w:cs="Arial" w:eastAsia="Arial" w:hAnsi="Arial"/>
          <w:sz w:val="19"/>
          <w:szCs w:val="19"/>
          <w:i w:val="1"/>
          <w:iCs w:val="1"/>
          <w:u w:val="single" w:color="auto"/>
          <w:color w:val="auto"/>
        </w:rPr>
        <w:t>Section 7.23(e)</w:t>
      </w:r>
      <w:r>
        <w:rPr>
          <w:rFonts w:ascii="Arial" w:cs="Arial" w:eastAsia="Arial" w:hAnsi="Arial"/>
          <w:sz w:val="19"/>
          <w:szCs w:val="19"/>
          <w:i w:val="1"/>
          <w:iCs w:val="1"/>
          <w:color w:val="auto"/>
        </w:rPr>
        <w:t>:</w:t>
      </w:r>
    </w:p>
    <w:p>
      <w:pPr>
        <w:spacing w:after="0" w:line="195" w:lineRule="exact"/>
        <w:rPr>
          <w:sz w:val="20"/>
          <w:szCs w:val="20"/>
          <w:color w:val="auto"/>
        </w:rPr>
      </w:pPr>
    </w:p>
    <w:p>
      <w:pPr>
        <w:ind w:left="580"/>
        <w:spacing w:after="0" w:line="245" w:lineRule="auto"/>
        <w:rPr>
          <w:sz w:val="20"/>
          <w:szCs w:val="20"/>
          <w:color w:val="auto"/>
        </w:rPr>
      </w:pPr>
      <w:r>
        <w:rPr>
          <w:rFonts w:ascii="Arial" w:cs="Arial" w:eastAsia="Arial" w:hAnsi="Arial"/>
          <w:sz w:val="19"/>
          <w:szCs w:val="19"/>
          <w:i w:val="1"/>
          <w:iCs w:val="1"/>
          <w:color w:val="auto"/>
        </w:rPr>
        <w:t>“(e) (i) “Final Closing RBS/SET Debt” shall be (A) reduced by the excess, if positive, of $118,201,554 over the value of the Inventory included in the Final Closing Balance Sheet or (B) increased by the excess, if positive, of the value of the Inventory included in the Final Closing Balance Sheet over $118,201,554, and (ii) such adjustments shall be deemed to affect solely the portion of such amounts owed to the Partnership and the SET Companies (other than the Transferred Companies). No later than 2:00 p.m. New York time on the Canadian Oil Transfer Date, the Purchaser shall pay (on behalf of the relevant debtors) an amount equal to $118,201,554 to the Partnership (on account of the Partnership and its relevant Subsidiaries (other than the Transferred Companies)) by wire transfer of immediately available funds to such accounts as identified by the Partnership to the Purchaser in writing at least two (2) Business Days prior to the Canadian Oil Transfer Date.”</w:t>
      </w:r>
    </w:p>
    <w:p>
      <w:pPr>
        <w:spacing w:after="0" w:line="176" w:lineRule="exact"/>
        <w:rPr>
          <w:sz w:val="20"/>
          <w:szCs w:val="20"/>
          <w:color w:val="auto"/>
        </w:rPr>
      </w:pPr>
    </w:p>
    <w:p>
      <w:pPr>
        <w:ind w:right="1100" w:firstLine="582"/>
        <w:spacing w:after="0" w:line="272" w:lineRule="auto"/>
        <w:tabs>
          <w:tab w:leader="none" w:pos="1169" w:val="left"/>
        </w:tabs>
        <w:numPr>
          <w:ilvl w:val="0"/>
          <w:numId w:val="79"/>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inserted into the Purchase Agreement at the end of the first sentence of </w:t>
      </w:r>
      <w:r>
        <w:rPr>
          <w:rFonts w:ascii="Arial" w:cs="Arial" w:eastAsia="Arial" w:hAnsi="Arial"/>
          <w:sz w:val="19"/>
          <w:szCs w:val="19"/>
          <w:i w:val="1"/>
          <w:iCs w:val="1"/>
          <w:u w:val="single" w:color="auto"/>
          <w:color w:val="auto"/>
        </w:rPr>
        <w:t>Section 7.23(a)</w:t>
      </w:r>
      <w:r>
        <w:rPr>
          <w:rFonts w:ascii="Arial" w:cs="Arial" w:eastAsia="Arial" w:hAnsi="Arial"/>
          <w:sz w:val="19"/>
          <w:szCs w:val="19"/>
          <w:i w:val="1"/>
          <w:iCs w:val="1"/>
          <w:color w:val="auto"/>
        </w:rPr>
        <w:t>: “less $118,201,554.”</w:t>
      </w:r>
    </w:p>
    <w:p>
      <w:pPr>
        <w:spacing w:after="0" w:line="125" w:lineRule="exact"/>
        <w:rPr>
          <w:rFonts w:ascii="Arial" w:cs="Arial" w:eastAsia="Arial" w:hAnsi="Arial"/>
          <w:sz w:val="19"/>
          <w:szCs w:val="19"/>
          <w:i w:val="1"/>
          <w:iCs w:val="1"/>
          <w:color w:val="7F0000"/>
        </w:rPr>
      </w:pPr>
    </w:p>
    <w:p>
      <w:pPr>
        <w:ind w:right="140" w:firstLine="582"/>
        <w:spacing w:after="0" w:line="256" w:lineRule="auto"/>
        <w:tabs>
          <w:tab w:leader="none" w:pos="1169" w:val="left"/>
        </w:tabs>
        <w:numPr>
          <w:ilvl w:val="0"/>
          <w:numId w:val="79"/>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In accordance with </w:t>
      </w:r>
      <w:r>
        <w:rPr>
          <w:rFonts w:ascii="Arial" w:cs="Arial" w:eastAsia="Arial" w:hAnsi="Arial"/>
          <w:sz w:val="19"/>
          <w:szCs w:val="19"/>
          <w:i w:val="1"/>
          <w:iCs w:val="1"/>
          <w:u w:val="single" w:color="auto"/>
          <w:color w:val="auto"/>
        </w:rPr>
        <w:t>Section 10.8</w:t>
      </w:r>
      <w:r>
        <w:rPr>
          <w:rFonts w:ascii="Arial" w:cs="Arial" w:eastAsia="Arial" w:hAnsi="Arial"/>
          <w:sz w:val="19"/>
          <w:szCs w:val="19"/>
          <w:i w:val="1"/>
          <w:iCs w:val="1"/>
          <w:color w:val="auto"/>
        </w:rPr>
        <w:t xml:space="preserve"> and the limitations on assignment and delegation set forth therein, the Parties hereby acknowledge that the Purchaser has delegated its obligations and assigned its rights under the Purchase Agreement to acquire the Canadian Oil Leases and Inventory to J.P. Morgan Commodities Canada Corporation.</w:t>
      </w:r>
    </w:p>
    <w:p>
      <w:pPr>
        <w:spacing w:after="0" w:line="153" w:lineRule="exact"/>
        <w:rPr>
          <w:rFonts w:ascii="Arial" w:cs="Arial" w:eastAsia="Arial" w:hAnsi="Arial"/>
          <w:sz w:val="19"/>
          <w:szCs w:val="19"/>
          <w:i w:val="1"/>
          <w:iCs w:val="1"/>
          <w:color w:val="7F0000"/>
        </w:rPr>
      </w:pPr>
    </w:p>
    <w:p>
      <w:pPr>
        <w:ind w:right="180" w:firstLine="582"/>
        <w:spacing w:after="0" w:line="251" w:lineRule="auto"/>
        <w:tabs>
          <w:tab w:leader="none" w:pos="1169" w:val="left"/>
        </w:tabs>
        <w:numPr>
          <w:ilvl w:val="0"/>
          <w:numId w:val="79"/>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9.2(e)(ii)</w:t>
      </w:r>
      <w:r>
        <w:rPr>
          <w:rFonts w:ascii="Arial" w:cs="Arial" w:eastAsia="Arial" w:hAnsi="Arial"/>
          <w:sz w:val="19"/>
          <w:szCs w:val="19"/>
          <w:i w:val="1"/>
          <w:iCs w:val="1"/>
          <w:color w:val="auto"/>
        </w:rPr>
        <w:t xml:space="preserve"> of the Purchase Agreement is hereby amended by adding the following at the end thereof: “or, in the case of the transfer of the Canadian Oil Leases and Inventory, anytime prior to or on the Canadian Oil Transfer Date (including any Damages incurred in connection with or arising from any failure by Purchaser or any of its Affiliates to withhold Taxes in respect of the purchase of the Canadian Oil Leases hereunder)”.</w:t>
      </w:r>
    </w:p>
    <w:p>
      <w:pPr>
        <w:spacing w:after="0" w:line="145" w:lineRule="exact"/>
        <w:rPr>
          <w:rFonts w:ascii="Arial" w:cs="Arial" w:eastAsia="Arial" w:hAnsi="Arial"/>
          <w:sz w:val="19"/>
          <w:szCs w:val="19"/>
          <w:i w:val="1"/>
          <w:iCs w:val="1"/>
          <w:color w:val="7F0000"/>
        </w:rPr>
      </w:pPr>
    </w:p>
    <w:p>
      <w:pPr>
        <w:ind w:right="40" w:firstLine="582"/>
        <w:spacing w:after="0" w:line="269" w:lineRule="auto"/>
        <w:tabs>
          <w:tab w:leader="none" w:pos="1169" w:val="left"/>
        </w:tabs>
        <w:numPr>
          <w:ilvl w:val="0"/>
          <w:numId w:val="79"/>
        </w:numPr>
        <w:rPr>
          <w:rFonts w:ascii="Arial" w:cs="Arial" w:eastAsia="Arial" w:hAnsi="Arial"/>
          <w:sz w:val="18"/>
          <w:szCs w:val="18"/>
          <w:i w:val="1"/>
          <w:iCs w:val="1"/>
          <w:color w:val="7F0000"/>
        </w:rPr>
      </w:pPr>
      <w:r>
        <w:rPr>
          <w:rFonts w:ascii="Arial" w:cs="Arial" w:eastAsia="Arial" w:hAnsi="Arial"/>
          <w:sz w:val="18"/>
          <w:szCs w:val="18"/>
          <w:i w:val="1"/>
          <w:iCs w:val="1"/>
          <w:color w:val="auto"/>
        </w:rPr>
        <w:t xml:space="preserve">The following is hereby inserted as a new </w:t>
      </w:r>
      <w:r>
        <w:rPr>
          <w:rFonts w:ascii="Arial" w:cs="Arial" w:eastAsia="Arial" w:hAnsi="Arial"/>
          <w:sz w:val="18"/>
          <w:szCs w:val="18"/>
          <w:i w:val="1"/>
          <w:iCs w:val="1"/>
          <w:u w:val="single" w:color="auto"/>
          <w:color w:val="auto"/>
        </w:rPr>
        <w:t>Section 10.3(i)</w:t>
      </w:r>
      <w:r>
        <w:rPr>
          <w:rFonts w:ascii="Arial" w:cs="Arial" w:eastAsia="Arial" w:hAnsi="Arial"/>
          <w:sz w:val="18"/>
          <w:szCs w:val="18"/>
          <w:i w:val="1"/>
          <w:iCs w:val="1"/>
          <w:color w:val="auto"/>
        </w:rPr>
        <w:t>: “(i) Notwithstanding anything in this Agreement to the contrary, the Sellers shall, and shall cause any relevant Subsidiary to, report the proceeds in respect of the sale of the Canadian Oil Leases as gross income for Canadian Tax purposes. For the avoidance of doubt, nothing in this Agreement is intended to limit the ability of the Purchaser or any of its Affiliates to comply with any requirement to withhold Taxes in respect of the purchase of the Canadian Oil Leases hereunder.”</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Transfer Taxes</w:t>
      </w:r>
    </w:p>
    <w:p>
      <w:pPr>
        <w:spacing w:after="0" w:line="183" w:lineRule="exact"/>
        <w:rPr>
          <w:sz w:val="20"/>
          <w:szCs w:val="20"/>
          <w:color w:val="auto"/>
        </w:rPr>
      </w:pPr>
    </w:p>
    <w:p>
      <w:pPr>
        <w:ind w:left="1160" w:hanging="578"/>
        <w:spacing w:after="0"/>
        <w:tabs>
          <w:tab w:leader="none" w:pos="1160" w:val="left"/>
        </w:tabs>
        <w:numPr>
          <w:ilvl w:val="0"/>
          <w:numId w:val="80"/>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inserted as a new </w:t>
      </w:r>
      <w:r>
        <w:rPr>
          <w:rFonts w:ascii="Arial" w:cs="Arial" w:eastAsia="Arial" w:hAnsi="Arial"/>
          <w:sz w:val="19"/>
          <w:szCs w:val="19"/>
          <w:i w:val="1"/>
          <w:iCs w:val="1"/>
          <w:u w:val="single" w:color="auto"/>
          <w:color w:val="auto"/>
        </w:rPr>
        <w:t>Section 2.8</w:t>
      </w:r>
      <w:r>
        <w:rPr>
          <w:rFonts w:ascii="Arial" w:cs="Arial" w:eastAsia="Arial" w:hAnsi="Arial"/>
          <w:sz w:val="19"/>
          <w:szCs w:val="19"/>
          <w:i w:val="1"/>
          <w:iCs w:val="1"/>
          <w:color w:val="auto"/>
        </w:rPr>
        <w:t xml:space="preserve"> to the Purchase Agreement:</w:t>
      </w:r>
    </w:p>
    <w:p>
      <w:pPr>
        <w:spacing w:after="0" w:line="195" w:lineRule="exact"/>
        <w:rPr>
          <w:sz w:val="20"/>
          <w:szCs w:val="20"/>
          <w:color w:val="auto"/>
        </w:rPr>
      </w:pPr>
    </w:p>
    <w:p>
      <w:pPr>
        <w:ind w:left="580" w:right="160"/>
        <w:spacing w:after="0" w:line="248" w:lineRule="auto"/>
        <w:rPr>
          <w:sz w:val="20"/>
          <w:szCs w:val="20"/>
          <w:color w:val="auto"/>
        </w:rPr>
      </w:pPr>
      <w:r>
        <w:rPr>
          <w:rFonts w:ascii="Arial" w:cs="Arial" w:eastAsia="Arial" w:hAnsi="Arial"/>
          <w:sz w:val="19"/>
          <w:szCs w:val="19"/>
          <w:i w:val="1"/>
          <w:iCs w:val="1"/>
          <w:color w:val="auto"/>
        </w:rPr>
        <w:t xml:space="preserve">“2.8. </w:t>
      </w:r>
      <w:r>
        <w:rPr>
          <w:rFonts w:ascii="Arial" w:cs="Arial" w:eastAsia="Arial" w:hAnsi="Arial"/>
          <w:sz w:val="19"/>
          <w:szCs w:val="19"/>
          <w:b w:val="1"/>
          <w:bCs w:val="1"/>
          <w:i w:val="1"/>
          <w:iCs w:val="1"/>
          <w:color w:val="auto"/>
        </w:rPr>
        <w:t>Transfer Taxes</w:t>
      </w:r>
      <w:r>
        <w:rPr>
          <w:rFonts w:ascii="Arial" w:cs="Arial" w:eastAsia="Arial" w:hAnsi="Arial"/>
          <w:sz w:val="19"/>
          <w:szCs w:val="19"/>
          <w:i w:val="1"/>
          <w:iCs w:val="1"/>
          <w:color w:val="auto"/>
        </w:rPr>
        <w:t xml:space="preserve">. Where any Transfer Taxes arise which are to be borne as to 50% by the Seller Parties in accordance with </w:t>
      </w:r>
      <w:r>
        <w:rPr>
          <w:rFonts w:ascii="Arial" w:cs="Arial" w:eastAsia="Arial" w:hAnsi="Arial"/>
          <w:sz w:val="19"/>
          <w:szCs w:val="19"/>
          <w:i w:val="1"/>
          <w:iCs w:val="1"/>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10.3(e)</w:t>
      </w:r>
      <w:r>
        <w:rPr>
          <w:rFonts w:ascii="Arial" w:cs="Arial" w:eastAsia="Arial" w:hAnsi="Arial"/>
          <w:sz w:val="19"/>
          <w:szCs w:val="19"/>
          <w:i w:val="1"/>
          <w:iCs w:val="1"/>
          <w:color w:val="auto"/>
        </w:rPr>
        <w:t xml:space="preserve"> of the Purchase Agreement, the Purchaser shall, without prejudice to the generality of the Seller Parties’ obligations pursuant to </w:t>
      </w:r>
      <w:r>
        <w:rPr>
          <w:rFonts w:ascii="Arial" w:cs="Arial" w:eastAsia="Arial" w:hAnsi="Arial"/>
          <w:sz w:val="19"/>
          <w:szCs w:val="19"/>
          <w:i w:val="1"/>
          <w:iCs w:val="1"/>
          <w:u w:val="single" w:color="auto"/>
          <w:color w:val="auto"/>
        </w:rPr>
        <w:t>Section 10.3(e)</w:t>
      </w:r>
      <w:r>
        <w:rPr>
          <w:rFonts w:ascii="Arial" w:cs="Arial" w:eastAsia="Arial" w:hAnsi="Arial"/>
          <w:sz w:val="19"/>
          <w:szCs w:val="19"/>
          <w:i w:val="1"/>
          <w:iCs w:val="1"/>
          <w:color w:val="auto"/>
        </w:rPr>
        <w:t xml:space="preserve">, be entitled to deduct from the amount payable at the Closing on account of the Purchase Price under </w:t>
      </w:r>
      <w:r>
        <w:rPr>
          <w:rFonts w:ascii="Arial" w:cs="Arial" w:eastAsia="Arial" w:hAnsi="Arial"/>
          <w:sz w:val="19"/>
          <w:szCs w:val="19"/>
          <w:i w:val="1"/>
          <w:iCs w:val="1"/>
          <w:u w:val="single" w:color="auto"/>
          <w:color w:val="auto"/>
        </w:rPr>
        <w:t>Section 2.3</w:t>
      </w:r>
      <w:r>
        <w:rPr>
          <w:rFonts w:ascii="Arial" w:cs="Arial" w:eastAsia="Arial" w:hAnsi="Arial"/>
          <w:sz w:val="19"/>
          <w:szCs w:val="19"/>
          <w:i w:val="1"/>
          <w:iCs w:val="1"/>
          <w:color w:val="auto"/>
        </w:rPr>
        <w:t xml:space="preserve"> of the Purchase Agreement an amount equal to its best estimate of the Seller Parties’ share of such Transfer Taxes (the “</w:t>
      </w:r>
      <w:r>
        <w:rPr>
          <w:rFonts w:ascii="Arial" w:cs="Arial" w:eastAsia="Arial" w:hAnsi="Arial"/>
          <w:sz w:val="19"/>
          <w:szCs w:val="19"/>
          <w:i w:val="1"/>
          <w:iCs w:val="1"/>
          <w:u w:val="single" w:color="auto"/>
          <w:color w:val="auto"/>
        </w:rPr>
        <w:t>Estimated Seller</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Transfer Tax Amount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that:</w:t>
      </w:r>
    </w:p>
    <w:p>
      <w:pPr>
        <w:spacing w:after="0" w:line="162" w:lineRule="exact"/>
        <w:rPr>
          <w:sz w:val="20"/>
          <w:szCs w:val="20"/>
          <w:color w:val="auto"/>
        </w:rPr>
      </w:pPr>
    </w:p>
    <w:p>
      <w:pPr>
        <w:ind w:left="1160" w:right="480" w:hanging="578"/>
        <w:spacing w:after="0" w:line="272" w:lineRule="auto"/>
        <w:tabs>
          <w:tab w:leader="none" w:pos="1160" w:val="left"/>
        </w:tabs>
        <w:numPr>
          <w:ilvl w:val="0"/>
          <w:numId w:val="81"/>
        </w:numPr>
        <w:rPr>
          <w:rFonts w:ascii="Arial" w:cs="Arial" w:eastAsia="Arial" w:hAnsi="Arial"/>
          <w:sz w:val="19"/>
          <w:szCs w:val="19"/>
          <w:i w:val="1"/>
          <w:iCs w:val="1"/>
          <w:color w:val="auto"/>
        </w:rPr>
      </w:pPr>
      <w:r>
        <w:rPr>
          <w:rFonts w:ascii="Arial" w:cs="Arial" w:eastAsia="Arial" w:hAnsi="Arial"/>
          <w:sz w:val="19"/>
          <w:szCs w:val="19"/>
          <w:i w:val="1"/>
          <w:iCs w:val="1"/>
          <w:color w:val="auto"/>
        </w:rPr>
        <w:t>such Transfer Taxes are due within thirty (30) days of the Closing Date (on the assumption that any stampable documents are brought into the applicable jurisdiction on the Closing Date);</w:t>
      </w:r>
    </w:p>
    <w:p>
      <w:pPr>
        <w:spacing w:after="0" w:line="125" w:lineRule="exact"/>
        <w:rPr>
          <w:rFonts w:ascii="Arial" w:cs="Arial" w:eastAsia="Arial" w:hAnsi="Arial"/>
          <w:sz w:val="19"/>
          <w:szCs w:val="19"/>
          <w:i w:val="1"/>
          <w:iCs w:val="1"/>
          <w:color w:val="auto"/>
        </w:rPr>
      </w:pPr>
    </w:p>
    <w:p>
      <w:pPr>
        <w:ind w:left="1160" w:hanging="578"/>
        <w:spacing w:after="0"/>
        <w:tabs>
          <w:tab w:leader="none" w:pos="1160" w:val="left"/>
        </w:tabs>
        <w:numPr>
          <w:ilvl w:val="0"/>
          <w:numId w:val="81"/>
        </w:numPr>
        <w:rPr>
          <w:rFonts w:ascii="Arial" w:cs="Arial" w:eastAsia="Arial" w:hAnsi="Arial"/>
          <w:sz w:val="19"/>
          <w:szCs w:val="19"/>
          <w:i w:val="1"/>
          <w:iCs w:val="1"/>
          <w:color w:val="auto"/>
        </w:rPr>
      </w:pPr>
      <w:r>
        <w:rPr>
          <w:rFonts w:ascii="Arial" w:cs="Arial" w:eastAsia="Arial" w:hAnsi="Arial"/>
          <w:sz w:val="19"/>
          <w:szCs w:val="19"/>
          <w:i w:val="1"/>
          <w:iCs w:val="1"/>
          <w:color w:val="auto"/>
        </w:rPr>
        <w:t>the Seller Parties (acting reasonably) have agreed the Estimated Seller Transfer Tax Amount prior to the Closing Date;</w:t>
      </w:r>
    </w:p>
    <w:p>
      <w:pPr>
        <w:spacing w:after="0" w:line="183" w:lineRule="exact"/>
        <w:rPr>
          <w:rFonts w:ascii="Arial" w:cs="Arial" w:eastAsia="Arial" w:hAnsi="Arial"/>
          <w:sz w:val="19"/>
          <w:szCs w:val="19"/>
          <w:i w:val="1"/>
          <w:iCs w:val="1"/>
          <w:color w:val="auto"/>
        </w:rPr>
      </w:pPr>
    </w:p>
    <w:p>
      <w:pPr>
        <w:ind w:left="1160" w:hanging="578"/>
        <w:spacing w:after="0"/>
        <w:tabs>
          <w:tab w:leader="none" w:pos="1160" w:val="left"/>
        </w:tabs>
        <w:numPr>
          <w:ilvl w:val="0"/>
          <w:numId w:val="81"/>
        </w:numPr>
        <w:rPr>
          <w:rFonts w:ascii="Arial" w:cs="Arial" w:eastAsia="Arial" w:hAnsi="Arial"/>
          <w:sz w:val="17"/>
          <w:szCs w:val="17"/>
          <w:i w:val="1"/>
          <w:iCs w:val="1"/>
          <w:color w:val="auto"/>
        </w:rPr>
      </w:pPr>
      <w:r>
        <w:rPr>
          <w:rFonts w:ascii="Arial" w:cs="Arial" w:eastAsia="Arial" w:hAnsi="Arial"/>
          <w:sz w:val="17"/>
          <w:szCs w:val="17"/>
          <w:i w:val="1"/>
          <w:iCs w:val="1"/>
          <w:color w:val="auto"/>
        </w:rPr>
        <w:t>the Purchaser accounts for such Transfer Taxes to the relevant Tax authority and completes any associated procedural formalities</w:t>
      </w:r>
    </w:p>
    <w:p>
      <w:pPr>
        <w:spacing w:after="0" w:line="39" w:lineRule="exact"/>
        <w:rPr>
          <w:rFonts w:ascii="Arial" w:cs="Arial" w:eastAsia="Arial" w:hAnsi="Arial"/>
          <w:sz w:val="17"/>
          <w:szCs w:val="17"/>
          <w:i w:val="1"/>
          <w:iCs w:val="1"/>
          <w:color w:val="auto"/>
        </w:rPr>
      </w:pPr>
    </w:p>
    <w:p>
      <w:pPr>
        <w:ind w:left="1160" w:right="240"/>
        <w:spacing w:after="0" w:line="263" w:lineRule="auto"/>
        <w:rPr>
          <w:rFonts w:ascii="Arial" w:cs="Arial" w:eastAsia="Arial" w:hAnsi="Arial"/>
          <w:sz w:val="17"/>
          <w:szCs w:val="17"/>
          <w:i w:val="1"/>
          <w:iCs w:val="1"/>
          <w:color w:val="auto"/>
        </w:rPr>
      </w:pPr>
      <w:r>
        <w:rPr>
          <w:rFonts w:ascii="Arial" w:cs="Arial" w:eastAsia="Arial" w:hAnsi="Arial"/>
          <w:sz w:val="18"/>
          <w:szCs w:val="18"/>
          <w:i w:val="1"/>
          <w:iCs w:val="1"/>
          <w:color w:val="auto"/>
        </w:rPr>
        <w:t>(i) prior to the date on which late payment interest or penalties would begin to accrue (an “</w:t>
      </w:r>
      <w:r>
        <w:rPr>
          <w:rFonts w:ascii="Arial" w:cs="Arial" w:eastAsia="Arial" w:hAnsi="Arial"/>
          <w:sz w:val="18"/>
          <w:szCs w:val="18"/>
          <w:i w:val="1"/>
          <w:iCs w:val="1"/>
          <w:u w:val="single" w:color="auto"/>
          <w:color w:val="auto"/>
        </w:rPr>
        <w:t>Applicable Time Limit</w:t>
      </w:r>
      <w:r>
        <w:rPr>
          <w:rFonts w:ascii="Arial" w:cs="Arial" w:eastAsia="Arial" w:hAnsi="Arial"/>
          <w:sz w:val="18"/>
          <w:szCs w:val="18"/>
          <w:i w:val="1"/>
          <w:iCs w:val="1"/>
          <w:color w:val="auto"/>
        </w:rPr>
        <w:t>”), and (ii) in any event within thirty (30) days of the Closing Date (subject to any adjustments which may be required), save where the Purchaser’s failure to comply with such obligation is primarily attributable to a Seller Party’s unreasonable failure to cooperate with the Purchaser in complying with payment of such Transfer Taxes or associated procedural formalities;</w:t>
      </w:r>
    </w:p>
    <w:p>
      <w:pPr>
        <w:spacing w:after="0" w:line="148" w:lineRule="exact"/>
        <w:rPr>
          <w:rFonts w:ascii="Arial" w:cs="Arial" w:eastAsia="Arial" w:hAnsi="Arial"/>
          <w:sz w:val="17"/>
          <w:szCs w:val="17"/>
          <w:i w:val="1"/>
          <w:iCs w:val="1"/>
          <w:color w:val="auto"/>
        </w:rPr>
      </w:pPr>
    </w:p>
    <w:p>
      <w:pPr>
        <w:ind w:left="1160" w:right="200" w:hanging="578"/>
        <w:spacing w:after="0" w:line="281" w:lineRule="auto"/>
        <w:tabs>
          <w:tab w:leader="none" w:pos="1160" w:val="left"/>
        </w:tabs>
        <w:numPr>
          <w:ilvl w:val="0"/>
          <w:numId w:val="8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if it is subsequently determined that the amount of Transfer Taxes to be borne by the Seller Parties under </w:t>
      </w:r>
      <w:r>
        <w:rPr>
          <w:rFonts w:ascii="Arial" w:cs="Arial" w:eastAsia="Arial" w:hAnsi="Arial"/>
          <w:sz w:val="17"/>
          <w:szCs w:val="17"/>
          <w:i w:val="1"/>
          <w:iCs w:val="1"/>
          <w:u w:val="single" w:color="auto"/>
          <w:color w:val="auto"/>
        </w:rPr>
        <w:t>Section 10.3(e)</w:t>
      </w:r>
      <w:r>
        <w:rPr>
          <w:rFonts w:ascii="Arial" w:cs="Arial" w:eastAsia="Arial" w:hAnsi="Arial"/>
          <w:sz w:val="17"/>
          <w:szCs w:val="17"/>
          <w:i w:val="1"/>
          <w:iCs w:val="1"/>
          <w:color w:val="auto"/>
        </w:rPr>
        <w:t xml:space="preserve"> of the Purchase Agreement (the “</w:t>
      </w:r>
      <w:r>
        <w:rPr>
          <w:rFonts w:ascii="Arial" w:cs="Arial" w:eastAsia="Arial" w:hAnsi="Arial"/>
          <w:sz w:val="17"/>
          <w:szCs w:val="17"/>
          <w:i w:val="1"/>
          <w:iCs w:val="1"/>
          <w:u w:val="single" w:color="auto"/>
          <w:color w:val="auto"/>
        </w:rPr>
        <w:t>Actual Seller Transfer Tax Amount</w:t>
      </w:r>
      <w:r>
        <w:rPr>
          <w:rFonts w:ascii="Arial" w:cs="Arial" w:eastAsia="Arial" w:hAnsi="Arial"/>
          <w:sz w:val="17"/>
          <w:szCs w:val="17"/>
          <w:i w:val="1"/>
          <w:iCs w:val="1"/>
          <w:color w:val="auto"/>
        </w:rPr>
        <w:t xml:space="preserve">”) exceeds the Estimated Seller Transfer Tax Amount (whether as a result of any revision to the Final Allocation Schedule in accordance with </w:t>
      </w:r>
      <w:r>
        <w:rPr>
          <w:rFonts w:ascii="Arial" w:cs="Arial" w:eastAsia="Arial" w:hAnsi="Arial"/>
          <w:sz w:val="17"/>
          <w:szCs w:val="17"/>
          <w:i w:val="1"/>
          <w:iCs w:val="1"/>
          <w:u w:val="single" w:color="auto"/>
          <w:color w:val="auto"/>
        </w:rPr>
        <w:t>Section 10.3(h)(iv)</w:t>
      </w:r>
      <w:r>
        <w:rPr>
          <w:rFonts w:ascii="Arial" w:cs="Arial" w:eastAsia="Arial" w:hAnsi="Arial"/>
          <w:sz w:val="17"/>
          <w:szCs w:val="17"/>
          <w:i w:val="1"/>
          <w:iCs w:val="1"/>
          <w:color w:val="auto"/>
        </w:rPr>
        <w:t xml:space="preserve"> or otherwise), the Seller Parties shall, in accordance with </w:t>
      </w:r>
      <w:r>
        <w:rPr>
          <w:rFonts w:ascii="Arial" w:cs="Arial" w:eastAsia="Arial" w:hAnsi="Arial"/>
          <w:sz w:val="17"/>
          <w:szCs w:val="17"/>
          <w:i w:val="1"/>
          <w:iCs w:val="1"/>
          <w:u w:val="single" w:color="auto"/>
          <w:color w:val="auto"/>
        </w:rPr>
        <w:t>Section 10.3(e)</w:t>
      </w:r>
      <w:r>
        <w:rPr>
          <w:rFonts w:ascii="Arial" w:cs="Arial" w:eastAsia="Arial" w:hAnsi="Arial"/>
          <w:sz w:val="17"/>
          <w:szCs w:val="17"/>
          <w:i w:val="1"/>
          <w:iCs w:val="1"/>
          <w:color w:val="auto"/>
        </w:rPr>
        <w:t xml:space="preserve">, pay to the Purchaser an amount in aggregate equal to the difference between the Estimated Seller Transfer Tax Amount and the Actual Seller Transfer Tax Amount, together with the relevant proportion of any interest and penalties (determined in accordance with </w:t>
      </w:r>
      <w:r>
        <w:rPr>
          <w:rFonts w:ascii="Arial" w:cs="Arial" w:eastAsia="Arial" w:hAnsi="Arial"/>
          <w:sz w:val="17"/>
          <w:szCs w:val="17"/>
          <w:i w:val="1"/>
          <w:iCs w:val="1"/>
          <w:u w:val="single" w:color="auto"/>
          <w:color w:val="auto"/>
        </w:rPr>
        <w:t>Section 10.3(e)</w:t>
      </w:r>
      <w:r>
        <w:rPr>
          <w:rFonts w:ascii="Arial" w:cs="Arial" w:eastAsia="Arial" w:hAnsi="Arial"/>
          <w:sz w:val="17"/>
          <w:szCs w:val="17"/>
          <w:i w:val="1"/>
          <w:iCs w:val="1"/>
          <w:color w:val="auto"/>
        </w:rPr>
        <w:t>) which may be due to the relevant Tax authority; and</w:t>
      </w:r>
    </w:p>
    <w:p>
      <w:pPr>
        <w:spacing w:after="0" w:line="124" w:lineRule="exact"/>
        <w:rPr>
          <w:rFonts w:ascii="Arial" w:cs="Arial" w:eastAsia="Arial" w:hAnsi="Arial"/>
          <w:sz w:val="17"/>
          <w:szCs w:val="17"/>
          <w:i w:val="1"/>
          <w:iCs w:val="1"/>
          <w:color w:val="auto"/>
        </w:rPr>
      </w:pPr>
    </w:p>
    <w:p>
      <w:pPr>
        <w:ind w:left="1160" w:right="100" w:hanging="578"/>
        <w:spacing w:after="0" w:line="278" w:lineRule="auto"/>
        <w:tabs>
          <w:tab w:leader="none" w:pos="1160" w:val="left"/>
        </w:tabs>
        <w:numPr>
          <w:ilvl w:val="0"/>
          <w:numId w:val="8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if it is subsequently determined that the Actual Seller Transfer Tax Amount is less than the Estimated Seller Transfer Tax Amount (whether as a result of any revision to the Final Allocation Schedule in accordance with </w:t>
      </w:r>
      <w:r>
        <w:rPr>
          <w:rFonts w:ascii="Arial" w:cs="Arial" w:eastAsia="Arial" w:hAnsi="Arial"/>
          <w:sz w:val="17"/>
          <w:szCs w:val="17"/>
          <w:i w:val="1"/>
          <w:iCs w:val="1"/>
          <w:u w:val="single" w:color="auto"/>
          <w:color w:val="auto"/>
        </w:rPr>
        <w:t>Section 10.3(h)(iv)</w:t>
      </w:r>
      <w:r>
        <w:rPr>
          <w:rFonts w:ascii="Arial" w:cs="Arial" w:eastAsia="Arial" w:hAnsi="Arial"/>
          <w:sz w:val="17"/>
          <w:szCs w:val="17"/>
          <w:i w:val="1"/>
          <w:iCs w:val="1"/>
          <w:color w:val="auto"/>
        </w:rPr>
        <w:t xml:space="preserve"> or otherwise), the Purchaser shall pay to the Partnership (on behalf of the relevant Seller Parties) an amount equal to the difference between the Estimated Seller Transfer Tax Amount and the Actual Seller Transfer Tax Amount, together with fifty percent (50%) of any interest or repayment supplement received from the relevant Tax authority (or fifty percent (50%) of any such interest or repayment supplement which would have been received by the Purchaser if (i) it had made a timely claim for any such interest or repayment supplement, or (ii) if it had accounted for an amount of Transfer Taxes equal to the Estimated Seller Transfer Tax Amount to the relevant Tax authorit y within any Applicable Time Limit, and in any event within thirty (30) days of the Closing Date, save where</w:t>
      </w:r>
    </w:p>
    <w:p>
      <w:pPr>
        <w:sectPr>
          <w:pgSz w:w="11900" w:h="16838" w:orient="portrait"/>
          <w:cols w:equalWidth="0" w:num="1">
            <w:col w:w="11420"/>
          </w:cols>
          <w:pgMar w:left="240" w:top="120" w:right="239" w:bottom="0" w:gutter="0" w:footer="0" w:header="0"/>
        </w:sectPr>
      </w:pPr>
    </w:p>
    <w:bookmarkStart w:id="62" w:name="page63"/>
    <w:bookmarkEnd w:id="62"/>
    <w:p>
      <w:pPr>
        <w:ind w:left="1160" w:right="640"/>
        <w:spacing w:after="0" w:line="273" w:lineRule="auto"/>
        <w:rPr>
          <w:sz w:val="20"/>
          <w:szCs w:val="20"/>
          <w:color w:val="auto"/>
        </w:rPr>
      </w:pPr>
      <w:r>
        <w:rPr>
          <w:rFonts w:ascii="Arial" w:cs="Arial" w:eastAsia="Arial" w:hAnsi="Arial"/>
          <w:sz w:val="19"/>
          <w:szCs w:val="19"/>
          <w:i w:val="1"/>
          <w:iCs w:val="1"/>
          <w:color w:val="auto"/>
        </w:rPr>
        <w:t>the Purchaser’s failure in either case is primarily attributable to a Seller Party’s unreasonable failure to cooperate with the Purchaser in complying with such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Transferred Books and Records</w:t>
      </w:r>
    </w:p>
    <w:p>
      <w:pPr>
        <w:spacing w:after="0" w:line="183" w:lineRule="exact"/>
        <w:rPr>
          <w:sz w:val="20"/>
          <w:szCs w:val="20"/>
          <w:color w:val="auto"/>
        </w:rPr>
      </w:pPr>
    </w:p>
    <w:p>
      <w:pPr>
        <w:ind w:left="1160" w:hanging="578"/>
        <w:spacing w:after="0"/>
        <w:tabs>
          <w:tab w:leader="none" w:pos="1160" w:val="left"/>
        </w:tabs>
        <w:numPr>
          <w:ilvl w:val="0"/>
          <w:numId w:val="82"/>
        </w:numPr>
        <w:rPr>
          <w:rFonts w:ascii="Arial" w:cs="Arial" w:eastAsia="Arial" w:hAnsi="Arial"/>
          <w:sz w:val="18"/>
          <w:szCs w:val="18"/>
          <w:i w:val="1"/>
          <w:iCs w:val="1"/>
          <w:color w:val="7F0000"/>
        </w:rPr>
      </w:pPr>
      <w:r>
        <w:rPr>
          <w:rFonts w:ascii="Arial" w:cs="Arial" w:eastAsia="Arial" w:hAnsi="Arial"/>
          <w:sz w:val="18"/>
          <w:szCs w:val="18"/>
          <w:i w:val="1"/>
          <w:iCs w:val="1"/>
          <w:u w:val="single" w:color="auto"/>
          <w:color w:val="auto"/>
        </w:rPr>
        <w:t>Section 2.6(a)(iv)</w:t>
      </w:r>
      <w:r>
        <w:rPr>
          <w:rFonts w:ascii="Arial" w:cs="Arial" w:eastAsia="Arial" w:hAnsi="Arial"/>
          <w:sz w:val="18"/>
          <w:szCs w:val="18"/>
          <w:i w:val="1"/>
          <w:iCs w:val="1"/>
          <w:color w:val="auto"/>
        </w:rPr>
        <w:t xml:space="preserve"> of the Purchase Agreement is hereby deleted in its entirety and replaced as follows: “[Intentionally omitted];”</w:t>
      </w:r>
    </w:p>
    <w:p>
      <w:pPr>
        <w:spacing w:after="0" w:line="206" w:lineRule="exact"/>
        <w:rPr>
          <w:rFonts w:ascii="Arial" w:cs="Arial" w:eastAsia="Arial" w:hAnsi="Arial"/>
          <w:sz w:val="18"/>
          <w:szCs w:val="18"/>
          <w:i w:val="1"/>
          <w:iCs w:val="1"/>
          <w:color w:val="7F0000"/>
        </w:rPr>
      </w:pPr>
    </w:p>
    <w:p>
      <w:pPr>
        <w:ind w:left="1160" w:hanging="578"/>
        <w:spacing w:after="0"/>
        <w:tabs>
          <w:tab w:leader="none" w:pos="1160" w:val="left"/>
        </w:tabs>
        <w:numPr>
          <w:ilvl w:val="0"/>
          <w:numId w:val="82"/>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added to the Purchase Agreement as a new </w:t>
      </w:r>
      <w:r>
        <w:rPr>
          <w:rFonts w:ascii="Arial" w:cs="Arial" w:eastAsia="Arial" w:hAnsi="Arial"/>
          <w:sz w:val="19"/>
          <w:szCs w:val="19"/>
          <w:i w:val="1"/>
          <w:iCs w:val="1"/>
          <w:u w:val="single" w:color="auto"/>
          <w:color w:val="auto"/>
        </w:rPr>
        <w:t>Section 2.6(c)</w:t>
      </w:r>
      <w:r>
        <w:rPr>
          <w:rFonts w:ascii="Arial" w:cs="Arial" w:eastAsia="Arial" w:hAnsi="Arial"/>
          <w:sz w:val="19"/>
          <w:szCs w:val="19"/>
          <w:i w:val="1"/>
          <w:iCs w:val="1"/>
          <w:color w:val="auto"/>
        </w:rPr>
        <w:t>:</w:t>
      </w:r>
    </w:p>
    <w:p>
      <w:pPr>
        <w:spacing w:after="0" w:line="195" w:lineRule="exact"/>
        <w:rPr>
          <w:sz w:val="20"/>
          <w:szCs w:val="20"/>
          <w:color w:val="auto"/>
        </w:rPr>
      </w:pPr>
    </w:p>
    <w:p>
      <w:pPr>
        <w:ind w:left="580" w:right="180"/>
        <w:spacing w:after="0" w:line="263" w:lineRule="auto"/>
        <w:rPr>
          <w:sz w:val="20"/>
          <w:szCs w:val="20"/>
          <w:color w:val="auto"/>
        </w:rPr>
      </w:pPr>
      <w:r>
        <w:rPr>
          <w:rFonts w:ascii="Arial" w:cs="Arial" w:eastAsia="Arial" w:hAnsi="Arial"/>
          <w:sz w:val="18"/>
          <w:szCs w:val="18"/>
          <w:i w:val="1"/>
          <w:iCs w:val="1"/>
          <w:color w:val="auto"/>
        </w:rPr>
        <w:t xml:space="preserve">“Subject to </w:t>
      </w:r>
      <w:r>
        <w:rPr>
          <w:rFonts w:ascii="Arial" w:cs="Arial" w:eastAsia="Arial" w:hAnsi="Arial"/>
          <w:sz w:val="18"/>
          <w:szCs w:val="18"/>
          <w:i w:val="1"/>
          <w:iCs w:val="1"/>
          <w:u w:val="single" w:color="auto"/>
          <w:color w:val="auto"/>
        </w:rPr>
        <w:t>Section 10.3(c)</w:t>
      </w:r>
      <w:r>
        <w:rPr>
          <w:rFonts w:ascii="Arial" w:cs="Arial" w:eastAsia="Arial" w:hAnsi="Arial"/>
          <w:sz w:val="18"/>
          <w:szCs w:val="18"/>
          <w:i w:val="1"/>
          <w:iCs w:val="1"/>
          <w:color w:val="auto"/>
        </w:rPr>
        <w:t xml:space="preserve">, and notwithstanding the Sellers’ obligation to sell, transfer, convey and deliver the Transferred Books and Records at the Closing pursuant to </w:t>
      </w:r>
      <w:r>
        <w:rPr>
          <w:rFonts w:ascii="Arial" w:cs="Arial" w:eastAsia="Arial" w:hAnsi="Arial"/>
          <w:sz w:val="18"/>
          <w:szCs w:val="18"/>
          <w:i w:val="1"/>
          <w:iCs w:val="1"/>
          <w:u w:val="single" w:color="auto"/>
          <w:color w:val="auto"/>
        </w:rPr>
        <w:t>Section 2.1</w:t>
      </w:r>
      <w:r>
        <w:rPr>
          <w:rFonts w:ascii="Arial" w:cs="Arial" w:eastAsia="Arial" w:hAnsi="Arial"/>
          <w:sz w:val="18"/>
          <w:szCs w:val="18"/>
          <w:i w:val="1"/>
          <w:iCs w:val="1"/>
          <w:color w:val="auto"/>
        </w:rPr>
        <w:t xml:space="preserve">, each of the relevant Seller Parties shall, and shall cause their Subsidiaries to, deliver the Transferred Books and Records to the Purchaser no later than two months following the Closing;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that the Seller Parties shall (and shall cause their Subsidiaries to) deliver any original Transferred Books and Records to the Purchaser on such earlier date as may be required as a result of applicable Legal Requirements, including bank safety and soundness standards (but only to the extent such applicable Legal Requirements are not satisfied pursuant to access granted in accordance with </w:t>
      </w:r>
      <w:r>
        <w:rPr>
          <w:rFonts w:ascii="Arial" w:cs="Arial" w:eastAsia="Arial" w:hAnsi="Arial"/>
          <w:sz w:val="18"/>
          <w:szCs w:val="18"/>
          <w:i w:val="1"/>
          <w:iCs w:val="1"/>
          <w:u w:val="single" w:color="auto"/>
          <w:color w:val="auto"/>
        </w:rPr>
        <w:t>Section 7.2(c)</w:t>
      </w:r>
      <w:r>
        <w:rPr>
          <w:rFonts w:ascii="Arial" w:cs="Arial" w:eastAsia="Arial" w:hAnsi="Arial"/>
          <w:sz w:val="18"/>
          <w:szCs w:val="18"/>
          <w:i w:val="1"/>
          <w:iCs w:val="1"/>
          <w:color w:val="auto"/>
        </w:rPr>
        <w:t>).”</w:t>
      </w:r>
    </w:p>
    <w:p>
      <w:pPr>
        <w:spacing w:after="0" w:line="137" w:lineRule="exact"/>
        <w:rPr>
          <w:sz w:val="20"/>
          <w:szCs w:val="20"/>
          <w:color w:val="auto"/>
        </w:rPr>
      </w:pPr>
    </w:p>
    <w:p>
      <w:pPr>
        <w:ind w:left="1160" w:hanging="578"/>
        <w:spacing w:after="0"/>
        <w:tabs>
          <w:tab w:leader="none" w:pos="1160" w:val="left"/>
        </w:tabs>
        <w:numPr>
          <w:ilvl w:val="0"/>
          <w:numId w:val="83"/>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is hereby inserted as a new </w:t>
      </w:r>
      <w:r>
        <w:rPr>
          <w:rFonts w:ascii="Arial" w:cs="Arial" w:eastAsia="Arial" w:hAnsi="Arial"/>
          <w:sz w:val="19"/>
          <w:szCs w:val="19"/>
          <w:i w:val="1"/>
          <w:iCs w:val="1"/>
          <w:u w:val="single" w:color="auto"/>
          <w:color w:val="auto"/>
        </w:rPr>
        <w:t>Section 7.2(c)</w:t>
      </w:r>
      <w:r>
        <w:rPr>
          <w:rFonts w:ascii="Arial" w:cs="Arial" w:eastAsia="Arial" w:hAnsi="Arial"/>
          <w:sz w:val="19"/>
          <w:szCs w:val="19"/>
          <w:i w:val="1"/>
          <w:iCs w:val="1"/>
          <w:color w:val="auto"/>
        </w:rPr>
        <w:t xml:space="preserve"> to the Purchase Agreement:</w:t>
      </w:r>
    </w:p>
    <w:p>
      <w:pPr>
        <w:spacing w:after="0" w:line="195" w:lineRule="exact"/>
        <w:rPr>
          <w:sz w:val="20"/>
          <w:szCs w:val="20"/>
          <w:color w:val="auto"/>
        </w:rPr>
      </w:pPr>
    </w:p>
    <w:p>
      <w:pPr>
        <w:ind w:left="580" w:right="60"/>
        <w:spacing w:after="0" w:line="269" w:lineRule="auto"/>
        <w:rPr>
          <w:sz w:val="20"/>
          <w:szCs w:val="20"/>
          <w:color w:val="auto"/>
        </w:rPr>
      </w:pPr>
      <w:r>
        <w:rPr>
          <w:rFonts w:ascii="Arial" w:cs="Arial" w:eastAsia="Arial" w:hAnsi="Arial"/>
          <w:sz w:val="18"/>
          <w:szCs w:val="18"/>
          <w:i w:val="1"/>
          <w:iCs w:val="1"/>
          <w:color w:val="auto"/>
        </w:rPr>
        <w:t xml:space="preserve">“(c) To the extent any Transferred Books and Records have not been delivered to the Purchaser pursuant to </w:t>
      </w:r>
      <w:r>
        <w:rPr>
          <w:rFonts w:ascii="Arial" w:cs="Arial" w:eastAsia="Arial" w:hAnsi="Arial"/>
          <w:sz w:val="18"/>
          <w:szCs w:val="18"/>
          <w:i w:val="1"/>
          <w:iCs w:val="1"/>
          <w:u w:val="single" w:color="auto"/>
          <w:color w:val="auto"/>
        </w:rPr>
        <w:t>Section 2.6(c)</w:t>
      </w:r>
      <w:r>
        <w:rPr>
          <w:rFonts w:ascii="Arial" w:cs="Arial" w:eastAsia="Arial" w:hAnsi="Arial"/>
          <w:sz w:val="18"/>
          <w:szCs w:val="18"/>
          <w:i w:val="1"/>
          <w:iCs w:val="1"/>
          <w:color w:val="auto"/>
        </w:rPr>
        <w:t xml:space="preserve"> hereof, the Seller Parties shall (and shall cause their Subsidiaries to) permit the Purchaser and its Affiliates, their respective Representatives and any Governmental Body responsible for oversight of Purchaser or its Affiliates to have full access (which in the case of a Governmental Body shall mean any access required by such Governmental Body) to inspect and copy such Transferred Books and Records.”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Termination of Certain Seller Financial Assurances</w:t>
      </w:r>
    </w:p>
    <w:p>
      <w:pPr>
        <w:spacing w:after="0" w:line="183" w:lineRule="exact"/>
        <w:rPr>
          <w:sz w:val="20"/>
          <w:szCs w:val="20"/>
          <w:color w:val="auto"/>
        </w:rPr>
      </w:pPr>
    </w:p>
    <w:p>
      <w:pPr>
        <w:ind w:firstLine="582"/>
        <w:spacing w:after="0" w:line="281" w:lineRule="auto"/>
        <w:tabs>
          <w:tab w:leader="none" w:pos="1169" w:val="left"/>
        </w:tabs>
        <w:numPr>
          <w:ilvl w:val="0"/>
          <w:numId w:val="84"/>
        </w:numPr>
        <w:rPr>
          <w:rFonts w:ascii="Arial" w:cs="Arial" w:eastAsia="Arial" w:hAnsi="Arial"/>
          <w:sz w:val="17"/>
          <w:szCs w:val="17"/>
          <w:i w:val="1"/>
          <w:iCs w:val="1"/>
          <w:color w:val="7F0000"/>
        </w:rPr>
      </w:pPr>
      <w:r>
        <w:rPr>
          <w:rFonts w:ascii="Arial" w:cs="Arial" w:eastAsia="Arial" w:hAnsi="Arial"/>
          <w:sz w:val="17"/>
          <w:szCs w:val="17"/>
          <w:i w:val="1"/>
          <w:iCs w:val="1"/>
          <w:color w:val="auto"/>
        </w:rPr>
        <w:t xml:space="preserve">The following sentence is hereby added at the end of </w:t>
      </w:r>
      <w:r>
        <w:rPr>
          <w:rFonts w:ascii="Arial" w:cs="Arial" w:eastAsia="Arial" w:hAnsi="Arial"/>
          <w:sz w:val="17"/>
          <w:szCs w:val="17"/>
          <w:i w:val="1"/>
          <w:iCs w:val="1"/>
          <w:u w:val="single" w:color="auto"/>
          <w:color w:val="auto"/>
        </w:rPr>
        <w:t>Section 7.11(c)(ii)</w:t>
      </w:r>
      <w:r>
        <w:rPr>
          <w:rFonts w:ascii="Arial" w:cs="Arial" w:eastAsia="Arial" w:hAnsi="Arial"/>
          <w:sz w:val="17"/>
          <w:szCs w:val="17"/>
          <w:i w:val="1"/>
          <w:iCs w:val="1"/>
          <w:color w:val="auto"/>
        </w:rPr>
        <w:t xml:space="preserve"> of the Purchase Agreement: “Notwithstanding anything in this </w:t>
      </w:r>
      <w:r>
        <w:rPr>
          <w:rFonts w:ascii="Arial" w:cs="Arial" w:eastAsia="Arial" w:hAnsi="Arial"/>
          <w:sz w:val="17"/>
          <w:szCs w:val="17"/>
          <w:i w:val="1"/>
          <w:iCs w:val="1"/>
          <w:u w:val="single" w:color="auto"/>
          <w:color w:val="auto"/>
        </w:rPr>
        <w:t>Section 7.11(c)</w:t>
      </w:r>
      <w:r>
        <w:rPr>
          <w:rFonts w:ascii="Arial" w:cs="Arial" w:eastAsia="Arial" w:hAnsi="Arial"/>
          <w:sz w:val="17"/>
          <w:szCs w:val="17"/>
          <w:i w:val="1"/>
          <w:iCs w:val="1"/>
          <w:color w:val="auto"/>
        </w:rPr>
        <w:t xml:space="preserve"> to the contrary, either Seller Parent or any of its Affiliates may, in its sole discretion, terminate any Seller Financial Assurance issued by it at such time as the Purchaser and its applicable Affiliates would no longer be permitted, in accordance with the Commodity Trading and Services Agreement, to enter into new transactions guaranteed or otherwise supported by such Seller Financial Assurance with the relevant Financial Assurance Beneficiary and there are no outstanding transactions (i) relating to the Combined Business, or (ii) in the Acquired Commodities Business Portfolio, in each case, that are guaranteed or otherwise supported by such Seller Financial Assurance.”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Closing Date</w:t>
      </w:r>
    </w:p>
    <w:p>
      <w:pPr>
        <w:spacing w:after="0" w:line="195" w:lineRule="exact"/>
        <w:rPr>
          <w:sz w:val="20"/>
          <w:szCs w:val="20"/>
          <w:color w:val="auto"/>
        </w:rPr>
      </w:pPr>
    </w:p>
    <w:p>
      <w:pPr>
        <w:jc w:val="both"/>
        <w:ind w:right="220" w:firstLine="582"/>
        <w:spacing w:after="0" w:line="269" w:lineRule="auto"/>
        <w:tabs>
          <w:tab w:leader="none" w:pos="1169" w:val="left"/>
        </w:tabs>
        <w:numPr>
          <w:ilvl w:val="0"/>
          <w:numId w:val="85"/>
        </w:numPr>
        <w:rPr>
          <w:rFonts w:ascii="Arial" w:cs="Arial" w:eastAsia="Arial" w:hAnsi="Arial"/>
          <w:sz w:val="18"/>
          <w:szCs w:val="18"/>
          <w:i w:val="1"/>
          <w:iCs w:val="1"/>
          <w:color w:val="7F0000"/>
        </w:rPr>
      </w:pPr>
      <w:r>
        <w:rPr>
          <w:rFonts w:ascii="Arial" w:cs="Arial" w:eastAsia="Arial" w:hAnsi="Arial"/>
          <w:sz w:val="18"/>
          <w:szCs w:val="18"/>
          <w:i w:val="1"/>
          <w:iCs w:val="1"/>
          <w:color w:val="auto"/>
        </w:rPr>
        <w:t xml:space="preserve">The second sentence of </w:t>
      </w:r>
      <w:r>
        <w:rPr>
          <w:rFonts w:ascii="Arial" w:cs="Arial" w:eastAsia="Arial" w:hAnsi="Arial"/>
          <w:sz w:val="18"/>
          <w:szCs w:val="18"/>
          <w:i w:val="1"/>
          <w:iCs w:val="1"/>
          <w:u w:val="single" w:color="auto"/>
          <w:color w:val="auto"/>
        </w:rPr>
        <w:t>Section 2.5</w:t>
      </w:r>
      <w:r>
        <w:rPr>
          <w:rFonts w:ascii="Arial" w:cs="Arial" w:eastAsia="Arial" w:hAnsi="Arial"/>
          <w:sz w:val="18"/>
          <w:szCs w:val="18"/>
          <w:i w:val="1"/>
          <w:iCs w:val="1"/>
          <w:color w:val="auto"/>
        </w:rPr>
        <w:t xml:space="preserve"> of the Purchase Agreement is hereby deleted in its entirety and replaced with the following: “With respect to any Transferred Asset or Assumed Liability or any Transferred Company, the Closing shall be deemed to occur at 12:01 a.m. local time in the jurisdiction in which such Transferred Asset or Assumed Liability is booked by the relevant SET Company or RBS or under the laws of which such Transferred Company is organized, as applicable, on July 1, 2010 (such date, the “</w:t>
      </w:r>
      <w:r>
        <w:rPr>
          <w:rFonts w:ascii="Arial" w:cs="Arial" w:eastAsia="Arial" w:hAnsi="Arial"/>
          <w:sz w:val="18"/>
          <w:szCs w:val="18"/>
          <w:i w:val="1"/>
          <w:iCs w:val="1"/>
          <w:u w:val="single" w:color="auto"/>
          <w:color w:val="auto"/>
        </w:rPr>
        <w:t>Closing Date</w:t>
      </w:r>
      <w:r>
        <w:rPr>
          <w:rFonts w:ascii="Arial" w:cs="Arial" w:eastAsia="Arial" w:hAnsi="Arial"/>
          <w:sz w:val="18"/>
          <w:szCs w:val="18"/>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Schedule 1.1(f)</w:t>
      </w:r>
    </w:p>
    <w:p>
      <w:pPr>
        <w:spacing w:after="0" w:line="183" w:lineRule="exact"/>
        <w:rPr>
          <w:sz w:val="20"/>
          <w:szCs w:val="20"/>
          <w:color w:val="auto"/>
        </w:rPr>
      </w:pPr>
    </w:p>
    <w:p>
      <w:pPr>
        <w:ind w:right="280" w:firstLine="582"/>
        <w:spacing w:after="0" w:line="448" w:lineRule="auto"/>
        <w:tabs>
          <w:tab w:leader="none" w:pos="1169" w:val="left"/>
        </w:tabs>
        <w:numPr>
          <w:ilvl w:val="0"/>
          <w:numId w:val="86"/>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1.1(f)</w:t>
      </w:r>
      <w:r>
        <w:rPr>
          <w:rFonts w:ascii="Arial" w:cs="Arial" w:eastAsia="Arial" w:hAnsi="Arial"/>
          <w:sz w:val="19"/>
          <w:szCs w:val="19"/>
          <w:i w:val="1"/>
          <w:iCs w:val="1"/>
          <w:color w:val="auto"/>
        </w:rPr>
        <w:t xml:space="preserve"> of the Seller Disclosure Letter is hereby deleted in its entirety and </w:t>
      </w:r>
      <w:r>
        <w:rPr>
          <w:rFonts w:ascii="Arial" w:cs="Arial" w:eastAsia="Arial" w:hAnsi="Arial"/>
          <w:sz w:val="19"/>
          <w:szCs w:val="19"/>
          <w:i w:val="1"/>
          <w:iCs w:val="1"/>
          <w:u w:val="single" w:color="auto"/>
          <w:color w:val="auto"/>
        </w:rPr>
        <w:t>Annex C</w:t>
      </w:r>
      <w:r>
        <w:rPr>
          <w:rFonts w:ascii="Arial" w:cs="Arial" w:eastAsia="Arial" w:hAnsi="Arial"/>
          <w:sz w:val="19"/>
          <w:szCs w:val="19"/>
          <w:i w:val="1"/>
          <w:iCs w:val="1"/>
          <w:color w:val="auto"/>
        </w:rPr>
        <w:t xml:space="preserve"> hereto is hereby inserted in its place. </w:t>
      </w:r>
      <w:r>
        <w:rPr>
          <w:rFonts w:ascii="Arial" w:cs="Arial" w:eastAsia="Arial" w:hAnsi="Arial"/>
          <w:sz w:val="19"/>
          <w:szCs w:val="19"/>
          <w:i w:val="1"/>
          <w:iCs w:val="1"/>
          <w:u w:val="single" w:color="auto"/>
          <w:color w:val="auto"/>
        </w:rPr>
        <w:t>Schedule 3.1(a)</w:t>
      </w:r>
    </w:p>
    <w:p>
      <w:pPr>
        <w:ind w:left="1160" w:hanging="578"/>
        <w:spacing w:after="0"/>
        <w:tabs>
          <w:tab w:leader="none" w:pos="1160" w:val="left"/>
        </w:tabs>
        <w:numPr>
          <w:ilvl w:val="0"/>
          <w:numId w:val="86"/>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3.1(a)</w:t>
      </w:r>
      <w:r>
        <w:rPr>
          <w:rFonts w:ascii="Arial" w:cs="Arial" w:eastAsia="Arial" w:hAnsi="Arial"/>
          <w:sz w:val="19"/>
          <w:szCs w:val="19"/>
          <w:i w:val="1"/>
          <w:iCs w:val="1"/>
          <w:color w:val="auto"/>
        </w:rPr>
        <w:t xml:space="preserve"> of the Seller Disclosure Letter is hereby amended by adding the following at the end thereof:</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9"/>
          <w:szCs w:val="19"/>
          <w:i w:val="1"/>
          <w:iCs w:val="1"/>
          <w:color w:val="auto"/>
        </w:rPr>
        <w:t>“7. RBS Sempra Metals Trading (Shanghai) Co. Ltd. is currently in liquidation and may be dissolved prior to Closing.”</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RBS Sempra Energy Europe España, S.L.U.</w:t>
      </w:r>
    </w:p>
    <w:p>
      <w:pPr>
        <w:spacing w:after="0" w:line="195" w:lineRule="exact"/>
        <w:rPr>
          <w:sz w:val="20"/>
          <w:szCs w:val="20"/>
          <w:color w:val="auto"/>
        </w:rPr>
      </w:pPr>
    </w:p>
    <w:p>
      <w:pPr>
        <w:ind w:right="40" w:firstLine="582"/>
        <w:spacing w:after="0" w:line="273" w:lineRule="auto"/>
        <w:tabs>
          <w:tab w:leader="none" w:pos="1169" w:val="left"/>
        </w:tabs>
        <w:numPr>
          <w:ilvl w:val="0"/>
          <w:numId w:val="87"/>
        </w:numPr>
        <w:rPr>
          <w:rFonts w:ascii="Arial" w:cs="Arial" w:eastAsia="Arial" w:hAnsi="Arial"/>
          <w:sz w:val="17"/>
          <w:szCs w:val="17"/>
          <w:i w:val="1"/>
          <w:iCs w:val="1"/>
          <w:color w:val="7F0000"/>
        </w:rPr>
      </w:pPr>
      <w:r>
        <w:rPr>
          <w:rFonts w:ascii="Arial" w:cs="Arial" w:eastAsia="Arial" w:hAnsi="Arial"/>
          <w:sz w:val="17"/>
          <w:szCs w:val="17"/>
          <w:i w:val="1"/>
          <w:iCs w:val="1"/>
          <w:u w:val="single" w:color="auto"/>
          <w:color w:val="auto"/>
        </w:rPr>
        <w:t>Section 7.7(b)</w:t>
      </w:r>
      <w:r>
        <w:rPr>
          <w:rFonts w:ascii="Arial" w:cs="Arial" w:eastAsia="Arial" w:hAnsi="Arial"/>
          <w:sz w:val="17"/>
          <w:szCs w:val="17"/>
          <w:i w:val="1"/>
          <w:iCs w:val="1"/>
          <w:color w:val="auto"/>
        </w:rPr>
        <w:t xml:space="preserve"> of the Purchase Agreement is hereby amended by inserting the following at the end thereof: “In the event that the Sellers fail, prior to the Closing, to (i) file or cause to be filed with and accepted by the relevant Governmental Body in Spain the annual accounts of RBS Sempra Energy Europe España, S.L.U. (the “</w:t>
      </w:r>
      <w:r>
        <w:rPr>
          <w:rFonts w:ascii="Arial" w:cs="Arial" w:eastAsia="Arial" w:hAnsi="Arial"/>
          <w:sz w:val="17"/>
          <w:szCs w:val="17"/>
          <w:i w:val="1"/>
          <w:iCs w:val="1"/>
          <w:u w:val="single" w:color="auto"/>
          <w:color w:val="auto"/>
        </w:rPr>
        <w:t>Spanish Company</w:t>
      </w:r>
      <w:r>
        <w:rPr>
          <w:rFonts w:ascii="Arial" w:cs="Arial" w:eastAsia="Arial" w:hAnsi="Arial"/>
          <w:sz w:val="17"/>
          <w:szCs w:val="17"/>
          <w:i w:val="1"/>
          <w:iCs w:val="1"/>
          <w:color w:val="auto"/>
        </w:rPr>
        <w:t>”) for 2007 (unaudited) and 2008 (audited), (ii) cause the 2007, 2008 and 2009 annual accounts of the Spanish Company to be approved by the board of directors of the Spanish Company and by the sole stockholder of the Spanish Company as required by applicable Legal Requirements in Spain, and (iii) take such other actions (including, at the request of the Purchaser, procuring the appointment of an auditor of record with the Commercial Registry for the Spanish Company consistent with applicable Legal Requirements) as are necessary to bring the S panish Company into good standing under applicable Legal Requirements in Spain (clauses (i), (ii) and (iii), collectively, the “</w:t>
      </w:r>
      <w:r>
        <w:rPr>
          <w:rFonts w:ascii="Arial" w:cs="Arial" w:eastAsia="Arial" w:hAnsi="Arial"/>
          <w:sz w:val="17"/>
          <w:szCs w:val="17"/>
          <w:i w:val="1"/>
          <w:iCs w:val="1"/>
          <w:u w:val="single" w:color="auto"/>
          <w:color w:val="auto"/>
        </w:rPr>
        <w:t>Spanish Company Actions</w:t>
      </w:r>
      <w:r>
        <w:rPr>
          <w:rFonts w:ascii="Arial" w:cs="Arial" w:eastAsia="Arial" w:hAnsi="Arial"/>
          <w:sz w:val="17"/>
          <w:szCs w:val="17"/>
          <w:i w:val="1"/>
          <w:iCs w:val="1"/>
          <w:color w:val="auto"/>
        </w:rPr>
        <w:t>”), then, from and after the Closing, the Sellers Parties shall, and shall cause their Subsidiaries to, without further consideration, (A) provide access to such books and records and personnel of the Seller Parties and their Subsidiaries and otherwise provide such assistance to the Purchaser and its Subsidiaries as may be necessary to enable the Purchaser and its Subsidiaries to perform and complete the Spanish Company Actions as soon as reasonably practicable following the Closing, (B) provide such other cooperation and assistance as is necessary in connection with the Spanish Company Actions, including using reasonable efforts to cause any other Person to provide such cooperation and assistance as is necessary in connection with the Spanish Company Actions, and (C) pay when due all costs and expenses related to the performance and completio n of the Spanish Company Actions incurred by the Purchaser and its Subsidiaries (including any costs related to auditing the 2008 annual accounts of the Spanish Company).”</w:t>
      </w:r>
    </w:p>
    <w:p>
      <w:pPr>
        <w:spacing w:after="0" w:line="134" w:lineRule="exact"/>
        <w:rPr>
          <w:rFonts w:ascii="Arial" w:cs="Arial" w:eastAsia="Arial" w:hAnsi="Arial"/>
          <w:sz w:val="17"/>
          <w:szCs w:val="17"/>
          <w:i w:val="1"/>
          <w:iCs w:val="1"/>
          <w:color w:val="7F0000"/>
        </w:rPr>
      </w:pPr>
    </w:p>
    <w:p>
      <w:pPr>
        <w:ind w:left="1160" w:hanging="578"/>
        <w:spacing w:after="0"/>
        <w:tabs>
          <w:tab w:leader="none" w:pos="1160" w:val="left"/>
        </w:tabs>
        <w:numPr>
          <w:ilvl w:val="0"/>
          <w:numId w:val="87"/>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9.2</w:t>
      </w:r>
      <w:r>
        <w:rPr>
          <w:rFonts w:ascii="Arial" w:cs="Arial" w:eastAsia="Arial" w:hAnsi="Arial"/>
          <w:sz w:val="19"/>
          <w:szCs w:val="19"/>
          <w:i w:val="1"/>
          <w:iCs w:val="1"/>
          <w:color w:val="auto"/>
        </w:rPr>
        <w:t xml:space="preserve"> of the Purchaser Disclosure Letter is hereby amended by inserting at the end thereof:</w:t>
      </w:r>
    </w:p>
    <w:p>
      <w:pPr>
        <w:spacing w:after="0" w:line="19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i w:val="1"/>
          <w:iCs w:val="1"/>
          <w:color w:val="auto"/>
        </w:rPr>
        <w:t>“10. Any and all Damages resulting from or attributable to the failure of the Sellers to take the Spanish Company Actions prior to the Closing (including any failure of the Spanish Company to be in good standing at or any time after the Closing until such actions have been completed, subject to the Purchaser’s good faith attempt to effect the Spanish Company Actions following the Closing).”</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Release</w:t>
      </w:r>
    </w:p>
    <w:p>
      <w:pPr>
        <w:sectPr>
          <w:pgSz w:w="11900" w:h="16838" w:orient="portrait"/>
          <w:cols w:equalWidth="0" w:num="1">
            <w:col w:w="11420"/>
          </w:cols>
          <w:pgMar w:left="240" w:top="120" w:right="239" w:bottom="68" w:gutter="0" w:footer="0" w:header="0"/>
        </w:sectPr>
      </w:pPr>
    </w:p>
    <w:p>
      <w:pPr>
        <w:spacing w:after="0" w:line="208" w:lineRule="exact"/>
        <w:rPr>
          <w:sz w:val="20"/>
          <w:szCs w:val="20"/>
          <w:color w:val="auto"/>
        </w:rPr>
      </w:pPr>
    </w:p>
    <w:p>
      <w:pPr>
        <w:ind w:left="1160" w:hanging="578"/>
        <w:spacing w:after="0"/>
        <w:tabs>
          <w:tab w:leader="none" w:pos="1160" w:val="left"/>
        </w:tabs>
        <w:numPr>
          <w:ilvl w:val="0"/>
          <w:numId w:val="88"/>
        </w:numPr>
        <w:rPr>
          <w:rFonts w:ascii="Arial" w:cs="Arial" w:eastAsia="Arial" w:hAnsi="Arial"/>
          <w:sz w:val="17"/>
          <w:szCs w:val="17"/>
          <w:i w:val="1"/>
          <w:iCs w:val="1"/>
          <w:color w:val="7F0000"/>
        </w:rPr>
      </w:pPr>
      <w:r>
        <w:rPr>
          <w:rFonts w:ascii="Arial" w:cs="Arial" w:eastAsia="Arial" w:hAnsi="Arial"/>
          <w:sz w:val="17"/>
          <w:szCs w:val="17"/>
          <w:i w:val="1"/>
          <w:iCs w:val="1"/>
          <w:color w:val="auto"/>
        </w:rPr>
        <w:t xml:space="preserve">The following is added to the Purchase Agreement as a new </w:t>
      </w:r>
      <w:r>
        <w:rPr>
          <w:rFonts w:ascii="Arial" w:cs="Arial" w:eastAsia="Arial" w:hAnsi="Arial"/>
          <w:sz w:val="17"/>
          <w:szCs w:val="17"/>
          <w:i w:val="1"/>
          <w:iCs w:val="1"/>
          <w:u w:val="single" w:color="auto"/>
          <w:color w:val="auto"/>
        </w:rPr>
        <w:t>Section 7.25</w:t>
      </w:r>
      <w:r>
        <w:rPr>
          <w:rFonts w:ascii="Arial" w:cs="Arial" w:eastAsia="Arial" w:hAnsi="Arial"/>
          <w:sz w:val="17"/>
          <w:szCs w:val="17"/>
          <w:i w:val="1"/>
          <w:iCs w:val="1"/>
          <w:color w:val="auto"/>
        </w:rPr>
        <w:t>:</w:t>
      </w:r>
    </w:p>
    <w:p>
      <w:pPr>
        <w:sectPr>
          <w:pgSz w:w="11900" w:h="16838" w:orient="portrait"/>
          <w:cols w:equalWidth="0" w:num="1">
            <w:col w:w="11420"/>
          </w:cols>
          <w:pgMar w:left="240" w:top="120" w:right="239" w:bottom="68" w:gutter="0" w:footer="0" w:header="0"/>
          <w:type w:val="continuous"/>
        </w:sectPr>
      </w:pPr>
    </w:p>
    <w:bookmarkStart w:id="63" w:name="page64"/>
    <w:bookmarkEnd w:id="63"/>
    <w:p>
      <w:pPr>
        <w:ind w:left="580"/>
        <w:spacing w:after="0" w:line="244" w:lineRule="auto"/>
        <w:rPr>
          <w:sz w:val="20"/>
          <w:szCs w:val="20"/>
          <w:color w:val="auto"/>
        </w:rPr>
      </w:pPr>
      <w:r>
        <w:rPr>
          <w:rFonts w:ascii="Arial" w:cs="Arial" w:eastAsia="Arial" w:hAnsi="Arial"/>
          <w:sz w:val="19"/>
          <w:szCs w:val="19"/>
          <w:i w:val="1"/>
          <w:iCs w:val="1"/>
          <w:color w:val="auto"/>
        </w:rPr>
        <w:t xml:space="preserve">“7.25. </w:t>
      </w:r>
      <w:r>
        <w:rPr>
          <w:rFonts w:ascii="Arial" w:cs="Arial" w:eastAsia="Arial" w:hAnsi="Arial"/>
          <w:sz w:val="19"/>
          <w:szCs w:val="19"/>
          <w:i w:val="1"/>
          <w:iCs w:val="1"/>
          <w:u w:val="single" w:color="auto"/>
          <w:color w:val="auto"/>
        </w:rPr>
        <w:t>Release</w:t>
      </w:r>
      <w:r>
        <w:rPr>
          <w:rFonts w:ascii="Arial" w:cs="Arial" w:eastAsia="Arial" w:hAnsi="Arial"/>
          <w:sz w:val="19"/>
          <w:szCs w:val="19"/>
          <w:i w:val="1"/>
          <w:iCs w:val="1"/>
          <w:color w:val="auto"/>
        </w:rPr>
        <w:t>. Each of RBS and Partnership (each, a “</w:t>
      </w:r>
      <w:r>
        <w:rPr>
          <w:rFonts w:ascii="Arial" w:cs="Arial" w:eastAsia="Arial" w:hAnsi="Arial"/>
          <w:sz w:val="19"/>
          <w:szCs w:val="19"/>
          <w:i w:val="1"/>
          <w:iCs w:val="1"/>
          <w:u w:val="single" w:color="auto"/>
          <w:color w:val="auto"/>
        </w:rPr>
        <w:t>Releasing Party</w:t>
      </w:r>
      <w:r>
        <w:rPr>
          <w:rFonts w:ascii="Arial" w:cs="Arial" w:eastAsia="Arial" w:hAnsi="Arial"/>
          <w:sz w:val="19"/>
          <w:szCs w:val="19"/>
          <w:i w:val="1"/>
          <w:iCs w:val="1"/>
          <w:color w:val="auto"/>
        </w:rPr>
        <w:t>”) does hereby expressly and irrevocably release, acquit and forever discharge each SET Company and each Section 2.5 Representative (as defined in the CTA Master Agreement) whose authorization under the CTA Master Agreement has terminated as a consequence of the Amendment to the CTA Master Agreement dated July 1, 2010 (each, a “</w:t>
      </w:r>
      <w:r>
        <w:rPr>
          <w:rFonts w:ascii="Arial" w:cs="Arial" w:eastAsia="Arial" w:hAnsi="Arial"/>
          <w:sz w:val="19"/>
          <w:szCs w:val="19"/>
          <w:i w:val="1"/>
          <w:iCs w:val="1"/>
          <w:u w:val="single" w:color="auto"/>
          <w:color w:val="auto"/>
        </w:rPr>
        <w:t>Released Party</w:t>
      </w:r>
      <w:r>
        <w:rPr>
          <w:rFonts w:ascii="Arial" w:cs="Arial" w:eastAsia="Arial" w:hAnsi="Arial"/>
          <w:sz w:val="19"/>
          <w:szCs w:val="19"/>
          <w:i w:val="1"/>
          <w:iCs w:val="1"/>
          <w:color w:val="auto"/>
        </w:rPr>
        <w:t>”) with respect to and from any and all suits, actions, litigation, claims, payments, debts, demands, causes of action, obligations, expenses, damages, judgments, liens, promises, agreements and covenants of any kind whatsoever, in law, equity or otherwise, whether known or unknown, fixed or contingent, which such Releasing Party now has or may hereinafter ever have against any Released Party, to the extent arising out of, based upon or relating to the CTA Master Agreement except (i) solely with respect to Released Parties who were Section 2.5 Representatives prior to the effectiveness of this Amendment, claims of fraud or misappropriation of funds or assets or (ii) in connection with any proceedings brought against a Releasing Party or its Subsidiaries, the foregoing release and waiver shall in no way limit the ability of a Releasing Party or its Subsidiaries to raise any defenses or counterclaims related to such proceedings.”</w:t>
      </w:r>
    </w:p>
    <w:p>
      <w:pPr>
        <w:spacing w:after="0" w:line="151" w:lineRule="exact"/>
        <w:rPr>
          <w:sz w:val="20"/>
          <w:szCs w:val="20"/>
          <w:color w:val="auto"/>
        </w:rPr>
      </w:pPr>
    </w:p>
    <w:p>
      <w:pPr>
        <w:ind w:left="1160" w:hanging="578"/>
        <w:spacing w:after="0"/>
        <w:tabs>
          <w:tab w:leader="none" w:pos="1160" w:val="left"/>
        </w:tabs>
        <w:numPr>
          <w:ilvl w:val="0"/>
          <w:numId w:val="89"/>
        </w:numPr>
        <w:rPr>
          <w:rFonts w:ascii="Arial" w:cs="Arial" w:eastAsia="Arial" w:hAnsi="Arial"/>
          <w:sz w:val="19"/>
          <w:szCs w:val="19"/>
          <w:i w:val="1"/>
          <w:iCs w:val="1"/>
          <w:color w:val="7F0000"/>
        </w:rPr>
      </w:pPr>
      <w:r>
        <w:rPr>
          <w:rFonts w:ascii="Arial" w:cs="Arial" w:eastAsia="Arial" w:hAnsi="Arial"/>
          <w:sz w:val="19"/>
          <w:szCs w:val="19"/>
          <w:i w:val="1"/>
          <w:iCs w:val="1"/>
          <w:color w:val="auto"/>
        </w:rPr>
        <w:t xml:space="preserve">The following new defined terms are hereby added to </w:t>
      </w:r>
      <w:r>
        <w:rPr>
          <w:rFonts w:ascii="Arial" w:cs="Arial" w:eastAsia="Arial" w:hAnsi="Arial"/>
          <w:sz w:val="19"/>
          <w:szCs w:val="19"/>
          <w:i w:val="1"/>
          <w:iCs w:val="1"/>
          <w:u w:val="single" w:color="auto"/>
          <w:color w:val="auto"/>
        </w:rPr>
        <w:t>Section 1.1</w:t>
      </w:r>
      <w:r>
        <w:rPr>
          <w:rFonts w:ascii="Arial" w:cs="Arial" w:eastAsia="Arial" w:hAnsi="Arial"/>
          <w:sz w:val="19"/>
          <w:szCs w:val="19"/>
          <w:i w:val="1"/>
          <w:iCs w:val="1"/>
          <w:color w:val="auto"/>
        </w:rPr>
        <w:t xml:space="preserve"> of the Purchase Agreement (in alphabetical order):</w:t>
      </w:r>
    </w:p>
    <w:p>
      <w:pPr>
        <w:spacing w:after="0" w:line="195" w:lineRule="exact"/>
        <w:rPr>
          <w:rFonts w:ascii="Arial" w:cs="Arial" w:eastAsia="Arial" w:hAnsi="Arial"/>
          <w:sz w:val="19"/>
          <w:szCs w:val="19"/>
          <w:i w:val="1"/>
          <w:iCs w:val="1"/>
          <w:color w:val="7F0000"/>
        </w:rPr>
      </w:pPr>
    </w:p>
    <w:p>
      <w:pPr>
        <w:ind w:left="1760" w:hanging="594"/>
        <w:spacing w:after="0"/>
        <w:tabs>
          <w:tab w:leader="none" w:pos="1760" w:val="left"/>
        </w:tabs>
        <w:numPr>
          <w:ilvl w:val="1"/>
          <w:numId w:val="89"/>
        </w:numPr>
        <w:rPr>
          <w:rFonts w:ascii="Arial" w:cs="Arial" w:eastAsia="Arial" w:hAnsi="Arial"/>
          <w:sz w:val="19"/>
          <w:szCs w:val="19"/>
          <w:i w:val="1"/>
          <w:iCs w:val="1"/>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Releasing Party</w:t>
      </w:r>
      <w:r>
        <w:rPr>
          <w:rFonts w:ascii="Arial" w:cs="Arial" w:eastAsia="Arial" w:hAnsi="Arial"/>
          <w:sz w:val="19"/>
          <w:szCs w:val="19"/>
          <w:i w:val="1"/>
          <w:iCs w:val="1"/>
          <w:color w:val="auto"/>
        </w:rPr>
        <w:t xml:space="preserve">” – – as defined in </w:t>
      </w:r>
      <w:r>
        <w:rPr>
          <w:rFonts w:ascii="Arial" w:cs="Arial" w:eastAsia="Arial" w:hAnsi="Arial"/>
          <w:sz w:val="19"/>
          <w:szCs w:val="19"/>
          <w:i w:val="1"/>
          <w:iCs w:val="1"/>
          <w:u w:val="single" w:color="auto"/>
          <w:color w:val="auto"/>
        </w:rPr>
        <w:t>Section 7.25</w:t>
      </w:r>
      <w:r>
        <w:rPr>
          <w:rFonts w:ascii="Arial" w:cs="Arial" w:eastAsia="Arial" w:hAnsi="Arial"/>
          <w:sz w:val="19"/>
          <w:szCs w:val="19"/>
          <w:i w:val="1"/>
          <w:iCs w:val="1"/>
          <w:color w:val="auto"/>
        </w:rPr>
        <w:t>.”</w:t>
      </w:r>
    </w:p>
    <w:p>
      <w:pPr>
        <w:spacing w:after="0" w:line="207" w:lineRule="exact"/>
        <w:rPr>
          <w:rFonts w:ascii="Arial" w:cs="Arial" w:eastAsia="Arial" w:hAnsi="Arial"/>
          <w:sz w:val="19"/>
          <w:szCs w:val="19"/>
          <w:i w:val="1"/>
          <w:iCs w:val="1"/>
          <w:color w:val="auto"/>
        </w:rPr>
      </w:pPr>
    </w:p>
    <w:p>
      <w:pPr>
        <w:ind w:left="1760" w:hanging="594"/>
        <w:spacing w:after="0"/>
        <w:tabs>
          <w:tab w:leader="none" w:pos="1760" w:val="left"/>
        </w:tabs>
        <w:numPr>
          <w:ilvl w:val="1"/>
          <w:numId w:val="89"/>
        </w:numPr>
        <w:rPr>
          <w:rFonts w:ascii="Arial" w:cs="Arial" w:eastAsia="Arial" w:hAnsi="Arial"/>
          <w:sz w:val="19"/>
          <w:szCs w:val="19"/>
          <w:i w:val="1"/>
          <w:iCs w:val="1"/>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Released Party</w:t>
      </w:r>
      <w:r>
        <w:rPr>
          <w:rFonts w:ascii="Arial" w:cs="Arial" w:eastAsia="Arial" w:hAnsi="Arial"/>
          <w:sz w:val="19"/>
          <w:szCs w:val="19"/>
          <w:i w:val="1"/>
          <w:iCs w:val="1"/>
          <w:color w:val="auto"/>
        </w:rPr>
        <w:t xml:space="preserve">” – – as defined in </w:t>
      </w:r>
      <w:r>
        <w:rPr>
          <w:rFonts w:ascii="Arial" w:cs="Arial" w:eastAsia="Arial" w:hAnsi="Arial"/>
          <w:sz w:val="19"/>
          <w:szCs w:val="19"/>
          <w:i w:val="1"/>
          <w:iCs w:val="1"/>
          <w:u w:val="single" w:color="auto"/>
          <w:color w:val="auto"/>
        </w:rPr>
        <w:t>Section 7.25</w:t>
      </w:r>
      <w:r>
        <w:rPr>
          <w:rFonts w:ascii="Arial" w:cs="Arial" w:eastAsia="Arial" w:hAnsi="Arial"/>
          <w:sz w:val="19"/>
          <w:szCs w:val="19"/>
          <w:i w:val="1"/>
          <w:iCs w:val="1"/>
          <w:color w:val="auto"/>
        </w:rPr>
        <w:t>.”</w:t>
      </w:r>
    </w:p>
    <w:p>
      <w:pPr>
        <w:spacing w:after="0" w:line="207" w:lineRule="exact"/>
        <w:rPr>
          <w:rFonts w:ascii="Arial" w:cs="Arial" w:eastAsia="Arial" w:hAnsi="Arial"/>
          <w:sz w:val="19"/>
          <w:szCs w:val="19"/>
          <w:i w:val="1"/>
          <w:iCs w:val="1"/>
          <w:color w:val="auto"/>
        </w:rPr>
      </w:pPr>
    </w:p>
    <w:p>
      <w:pPr>
        <w:ind w:firstLine="582"/>
        <w:spacing w:after="0" w:line="272" w:lineRule="auto"/>
        <w:tabs>
          <w:tab w:leader="none" w:pos="1169" w:val="left"/>
        </w:tabs>
        <w:numPr>
          <w:ilvl w:val="0"/>
          <w:numId w:val="89"/>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Section 10.8</w:t>
      </w:r>
      <w:r>
        <w:rPr>
          <w:rFonts w:ascii="Arial" w:cs="Arial" w:eastAsia="Arial" w:hAnsi="Arial"/>
          <w:sz w:val="19"/>
          <w:szCs w:val="19"/>
          <w:i w:val="1"/>
          <w:iCs w:val="1"/>
          <w:color w:val="auto"/>
        </w:rPr>
        <w:t xml:space="preserve"> of the Purchase Agreement is hereby amended by inserting at the end thereof: “and except for the rights of a Released Party under </w:t>
      </w:r>
      <w:r>
        <w:rPr>
          <w:rFonts w:ascii="Arial" w:cs="Arial" w:eastAsia="Arial" w:hAnsi="Arial"/>
          <w:sz w:val="19"/>
          <w:szCs w:val="19"/>
          <w:i w:val="1"/>
          <w:iCs w:val="1"/>
          <w:u w:val="single" w:color="auto"/>
          <w:color w:val="auto"/>
        </w:rPr>
        <w:t>Section 7.25</w:t>
      </w:r>
      <w:r>
        <w:rPr>
          <w:rFonts w:ascii="Arial" w:cs="Arial" w:eastAsia="Arial" w:hAnsi="Arial"/>
          <w:sz w:val="19"/>
          <w:szCs w:val="19"/>
          <w:i w:val="1"/>
          <w:iCs w:val="1"/>
          <w:color w:val="auto"/>
        </w:rPr>
        <w:t>”</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Schedule 7.3(b)(iii) (Landlord Consent)</w:t>
      </w:r>
    </w:p>
    <w:p>
      <w:pPr>
        <w:spacing w:after="0" w:line="195" w:lineRule="exact"/>
        <w:rPr>
          <w:sz w:val="20"/>
          <w:szCs w:val="20"/>
          <w:color w:val="auto"/>
        </w:rPr>
      </w:pPr>
    </w:p>
    <w:p>
      <w:pPr>
        <w:ind w:left="1160" w:hanging="578"/>
        <w:spacing w:after="0"/>
        <w:tabs>
          <w:tab w:leader="none" w:pos="1160" w:val="left"/>
        </w:tabs>
        <w:numPr>
          <w:ilvl w:val="0"/>
          <w:numId w:val="90"/>
        </w:numPr>
        <w:rPr>
          <w:rFonts w:ascii="Arial" w:cs="Arial" w:eastAsia="Arial" w:hAnsi="Arial"/>
          <w:sz w:val="18"/>
          <w:szCs w:val="18"/>
          <w:i w:val="1"/>
          <w:iCs w:val="1"/>
          <w:color w:val="7F0000"/>
        </w:rPr>
      </w:pPr>
      <w:r>
        <w:rPr>
          <w:rFonts w:ascii="Arial" w:cs="Arial" w:eastAsia="Arial" w:hAnsi="Arial"/>
          <w:sz w:val="18"/>
          <w:szCs w:val="18"/>
          <w:i w:val="1"/>
          <w:iCs w:val="1"/>
          <w:u w:val="single" w:color="auto"/>
          <w:color w:val="auto"/>
        </w:rPr>
        <w:t>Schedule 7.3(b)(iii)</w:t>
      </w:r>
      <w:r>
        <w:rPr>
          <w:rFonts w:ascii="Arial" w:cs="Arial" w:eastAsia="Arial" w:hAnsi="Arial"/>
          <w:sz w:val="18"/>
          <w:szCs w:val="18"/>
          <w:i w:val="1"/>
          <w:iCs w:val="1"/>
          <w:color w:val="auto"/>
        </w:rPr>
        <w:t xml:space="preserve"> of the Seller Disclosure Letter is hereby deleted in its entirety and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xml:space="preserve"> hereto is hereby inserted in its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place.</w:t>
      </w:r>
    </w:p>
    <w:p>
      <w:pPr>
        <w:spacing w:after="0" w:line="167" w:lineRule="exact"/>
        <w:rPr>
          <w:sz w:val="20"/>
          <w:szCs w:val="20"/>
          <w:color w:val="auto"/>
        </w:rPr>
      </w:pPr>
    </w:p>
    <w:p>
      <w:pPr>
        <w:ind w:right="140" w:firstLine="582"/>
        <w:spacing w:after="0" w:line="461" w:lineRule="auto"/>
        <w:tabs>
          <w:tab w:leader="none" w:pos="1169" w:val="left"/>
        </w:tabs>
        <w:numPr>
          <w:ilvl w:val="0"/>
          <w:numId w:val="91"/>
        </w:numPr>
        <w:rPr>
          <w:rFonts w:ascii="Arial" w:cs="Arial" w:eastAsia="Arial" w:hAnsi="Arial"/>
          <w:sz w:val="19"/>
          <w:szCs w:val="19"/>
          <w:i w:val="1"/>
          <w:iCs w:val="1"/>
          <w:color w:val="7F0000"/>
        </w:rPr>
      </w:pPr>
      <w:r>
        <w:rPr>
          <w:rFonts w:ascii="Arial" w:cs="Arial" w:eastAsia="Arial" w:hAnsi="Arial"/>
          <w:sz w:val="19"/>
          <w:szCs w:val="19"/>
          <w:i w:val="1"/>
          <w:iCs w:val="1"/>
          <w:u w:val="single" w:color="auto"/>
          <w:color w:val="auto"/>
        </w:rPr>
        <w:t>Schedule 7.12(a)</w:t>
      </w:r>
      <w:r>
        <w:rPr>
          <w:rFonts w:ascii="Arial" w:cs="Arial" w:eastAsia="Arial" w:hAnsi="Arial"/>
          <w:sz w:val="19"/>
          <w:szCs w:val="19"/>
          <w:i w:val="1"/>
          <w:iCs w:val="1"/>
          <w:color w:val="auto"/>
        </w:rPr>
        <w:t xml:space="preserve"> of the Seller Disclosure Letter is hereby deleted in its entirety and </w:t>
      </w:r>
      <w:r>
        <w:rPr>
          <w:rFonts w:ascii="Arial" w:cs="Arial" w:eastAsia="Arial" w:hAnsi="Arial"/>
          <w:sz w:val="19"/>
          <w:szCs w:val="19"/>
          <w:i w:val="1"/>
          <w:iCs w:val="1"/>
          <w:u w:val="single" w:color="auto"/>
          <w:color w:val="auto"/>
        </w:rPr>
        <w:t>Annex B</w:t>
      </w:r>
      <w:r>
        <w:rPr>
          <w:rFonts w:ascii="Arial" w:cs="Arial" w:eastAsia="Arial" w:hAnsi="Arial"/>
          <w:sz w:val="19"/>
          <w:szCs w:val="19"/>
          <w:i w:val="1"/>
          <w:iCs w:val="1"/>
          <w:color w:val="auto"/>
        </w:rPr>
        <w:t xml:space="preserve"> hereto is hereby inserted in its place. </w:t>
      </w:r>
      <w:r>
        <w:rPr>
          <w:rFonts w:ascii="Arial" w:cs="Arial" w:eastAsia="Arial" w:hAnsi="Arial"/>
          <w:sz w:val="19"/>
          <w:szCs w:val="19"/>
          <w:i w:val="1"/>
          <w:iCs w:val="1"/>
          <w:u w:val="single" w:color="auto"/>
          <w:color w:val="auto"/>
        </w:rPr>
        <w:t>Indemnity for Lost Share Certificates</w:t>
      </w:r>
    </w:p>
    <w:p>
      <w:pPr>
        <w:ind w:left="1160" w:hanging="578"/>
        <w:spacing w:after="0"/>
        <w:tabs>
          <w:tab w:leader="none" w:pos="1160" w:val="left"/>
        </w:tabs>
        <w:numPr>
          <w:ilvl w:val="0"/>
          <w:numId w:val="91"/>
        </w:numPr>
        <w:rPr>
          <w:rFonts w:ascii="Arial" w:cs="Arial" w:eastAsia="Arial" w:hAnsi="Arial"/>
          <w:sz w:val="18"/>
          <w:szCs w:val="18"/>
          <w:i w:val="1"/>
          <w:iCs w:val="1"/>
          <w:color w:val="7F0000"/>
        </w:rPr>
      </w:pPr>
      <w:r>
        <w:rPr>
          <w:rFonts w:ascii="Arial" w:cs="Arial" w:eastAsia="Arial" w:hAnsi="Arial"/>
          <w:sz w:val="18"/>
          <w:szCs w:val="18"/>
          <w:i w:val="1"/>
          <w:iCs w:val="1"/>
          <w:color w:val="auto"/>
        </w:rPr>
        <w:t xml:space="preserve">The third sentence of </w:t>
      </w:r>
      <w:r>
        <w:rPr>
          <w:rFonts w:ascii="Arial" w:cs="Arial" w:eastAsia="Arial" w:hAnsi="Arial"/>
          <w:sz w:val="18"/>
          <w:szCs w:val="18"/>
          <w:i w:val="1"/>
          <w:iCs w:val="1"/>
          <w:u w:val="single" w:color="auto"/>
          <w:color w:val="auto"/>
        </w:rPr>
        <w:t>Section 9.4(f)</w:t>
      </w:r>
      <w:r>
        <w:rPr>
          <w:rFonts w:ascii="Arial" w:cs="Arial" w:eastAsia="Arial" w:hAnsi="Arial"/>
          <w:sz w:val="18"/>
          <w:szCs w:val="18"/>
          <w:i w:val="1"/>
          <w:iCs w:val="1"/>
          <w:color w:val="auto"/>
        </w:rPr>
        <w:t xml:space="preserve"> of the Purchase Agreement is hereby deleted in its entirety and replaced with the following:</w:t>
      </w:r>
    </w:p>
    <w:p>
      <w:pPr>
        <w:spacing w:after="0" w:line="207" w:lineRule="exact"/>
        <w:rPr>
          <w:sz w:val="20"/>
          <w:szCs w:val="20"/>
          <w:color w:val="auto"/>
        </w:rPr>
      </w:pPr>
    </w:p>
    <w:p>
      <w:pPr>
        <w:ind w:left="580" w:right="120"/>
        <w:spacing w:after="0" w:line="265" w:lineRule="auto"/>
        <w:rPr>
          <w:sz w:val="20"/>
          <w:szCs w:val="20"/>
          <w:color w:val="auto"/>
        </w:rPr>
      </w:pPr>
      <w:r>
        <w:rPr>
          <w:rFonts w:ascii="Arial" w:cs="Arial" w:eastAsia="Arial" w:hAnsi="Arial"/>
          <w:sz w:val="18"/>
          <w:szCs w:val="18"/>
          <w:i w:val="1"/>
          <w:iCs w:val="1"/>
          <w:color w:val="auto"/>
        </w:rPr>
        <w:t xml:space="preserve">“Nothing in this </w:t>
      </w:r>
      <w:r>
        <w:rPr>
          <w:rFonts w:ascii="Arial" w:cs="Arial" w:eastAsia="Arial" w:hAnsi="Arial"/>
          <w:sz w:val="18"/>
          <w:szCs w:val="18"/>
          <w:i w:val="1"/>
          <w:iCs w:val="1"/>
          <w:u w:val="single" w:color="auto"/>
          <w:color w:val="auto"/>
        </w:rPr>
        <w:t>Section 9.4(f)</w:t>
      </w:r>
      <w:r>
        <w:rPr>
          <w:rFonts w:ascii="Arial" w:cs="Arial" w:eastAsia="Arial" w:hAnsi="Arial"/>
          <w:sz w:val="18"/>
          <w:szCs w:val="18"/>
          <w:i w:val="1"/>
          <w:iCs w:val="1"/>
          <w:color w:val="auto"/>
        </w:rPr>
        <w:t xml:space="preserve"> or elsewhere in this Agreement shall interfere with or impede the operations of </w:t>
      </w:r>
      <w:r>
        <w:rPr>
          <w:rFonts w:ascii="Arial" w:cs="Arial" w:eastAsia="Arial" w:hAnsi="Arial"/>
          <w:sz w:val="18"/>
          <w:szCs w:val="18"/>
          <w:i w:val="1"/>
          <w:iCs w:val="1"/>
          <w:u w:val="single" w:color="auto"/>
          <w:color w:val="auto"/>
        </w:rPr>
        <w:t>Sections 7.16</w:t>
      </w:r>
      <w:r>
        <w:rPr>
          <w:rFonts w:ascii="Arial" w:cs="Arial" w:eastAsia="Arial" w:hAnsi="Arial"/>
          <w:sz w:val="18"/>
          <w:szCs w:val="18"/>
          <w:i w:val="1"/>
          <w:iCs w:val="1"/>
          <w:color w:val="auto"/>
        </w:rPr>
        <w:t xml:space="preserve"> or </w:t>
      </w:r>
      <w:r>
        <w:rPr>
          <w:rFonts w:ascii="Arial" w:cs="Arial" w:eastAsia="Arial" w:hAnsi="Arial"/>
          <w:sz w:val="18"/>
          <w:szCs w:val="18"/>
          <w:i w:val="1"/>
          <w:iCs w:val="1"/>
          <w:u w:val="single" w:color="auto"/>
          <w:color w:val="auto"/>
        </w:rPr>
        <w:t>10.13</w:t>
      </w:r>
      <w:r>
        <w:rPr>
          <w:rFonts w:ascii="Arial" w:cs="Arial" w:eastAsia="Arial" w:hAnsi="Arial"/>
          <w:sz w:val="18"/>
          <w:szCs w:val="18"/>
          <w:i w:val="1"/>
          <w:iCs w:val="1"/>
          <w:color w:val="auto"/>
        </w:rPr>
        <w:t xml:space="preserve"> or the remedies available under this Agreement or the Related Agreements or a Party’s right to seek equitable remedies (including specific performance or injunctive relief) to enforce any covenant in this Agreement to be performed after the Closing or the right of RBS Sempra Metals Group Limited to enforce the terms of the indemnity letter from the Partnership dated July 1, 2010 in respect of the replacement share certificate issued in respect of the Partnership's Equity Interest in RBS Sempra Metals Group Limited.”</w:t>
      </w:r>
    </w:p>
    <w:p>
      <w:pPr>
        <w:spacing w:after="0" w:line="367" w:lineRule="exact"/>
        <w:rPr>
          <w:sz w:val="20"/>
          <w:szCs w:val="20"/>
          <w:color w:val="auto"/>
        </w:rPr>
      </w:pPr>
    </w:p>
    <w:p>
      <w:pPr>
        <w:ind w:firstLine="584"/>
        <w:spacing w:after="0" w:line="246" w:lineRule="auto"/>
        <w:rPr>
          <w:sz w:val="20"/>
          <w:szCs w:val="20"/>
          <w:color w:val="auto"/>
        </w:rPr>
      </w:pPr>
      <w:r>
        <w:rPr>
          <w:rFonts w:ascii="Arial" w:cs="Arial" w:eastAsia="Arial" w:hAnsi="Arial"/>
          <w:sz w:val="19"/>
          <w:szCs w:val="19"/>
          <w:i w:val="1"/>
          <w:iCs w:val="1"/>
          <w:color w:val="auto"/>
        </w:rPr>
        <w:t xml:space="preserve">Except as expressly modified herein, the terms and provisions of the Purchase Agreement shall remain in full force and effect and be enforceable against the parties thereto. This agreement may be executed in any number of counterparts, each of which, when so executed, shall be deemed to be an original and all of which, taken together, shall constitute one and the same agreement. Delivery of an executed counterpart of a signature page to this agreement by facsimile or email shall be as effective as delivery of an original executed counterpart of this agreement. The provisions of </w:t>
      </w:r>
      <w:r>
        <w:rPr>
          <w:rFonts w:ascii="Arial" w:cs="Arial" w:eastAsia="Arial" w:hAnsi="Arial"/>
          <w:sz w:val="19"/>
          <w:szCs w:val="19"/>
          <w:i w:val="1"/>
          <w:iCs w:val="1"/>
          <w:u w:val="single" w:color="auto"/>
          <w:color w:val="auto"/>
        </w:rPr>
        <w:t>Sections 10.1</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10.2</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10.4</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10.5</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10.8</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10.9</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10.10</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auto"/>
        </w:rPr>
        <w:t>10.12</w:t>
      </w:r>
      <w:r>
        <w:rPr>
          <w:rFonts w:ascii="Arial" w:cs="Arial" w:eastAsia="Arial" w:hAnsi="Arial"/>
          <w:sz w:val="19"/>
          <w:szCs w:val="19"/>
          <w:i w:val="1"/>
          <w:iCs w:val="1"/>
          <w:color w:val="auto"/>
        </w:rPr>
        <w:t xml:space="preserve"> of the Purchase Agreement are incorporated herein, mutatis mutandis, by this reference as if set out herein in full. This agreement shall be governed by, and construed in accordance with, the substantive laws of the State of New York.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9"/>
          <w:szCs w:val="19"/>
          <w:i w:val="1"/>
          <w:iCs w:val="1"/>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23495" cy="85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9"/>
          <w:szCs w:val="19"/>
          <w:i w:val="1"/>
          <w:iCs w:val="1"/>
          <w:color w:val="auto"/>
        </w:rPr>
        <w:t>If the foregoing is in accordance with your understanding, please sign and return a duplicate copy of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J.P. MORGAN VENTURES ENERGY CORPORATION</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i w:val="1"/>
          <w:iCs w:val="1"/>
          <w:color w:val="auto"/>
        </w:rPr>
        <w:t>By:</w:t>
      </w:r>
      <w:r>
        <w:rPr>
          <w:sz w:val="20"/>
          <w:szCs w:val="20"/>
          <w:color w:val="auto"/>
        </w:rPr>
        <w:tab/>
      </w:r>
      <w:r>
        <w:rPr>
          <w:rFonts w:ascii="Arial" w:cs="Arial" w:eastAsia="Arial" w:hAnsi="Arial"/>
          <w:sz w:val="19"/>
          <w:szCs w:val="19"/>
          <w:i w:val="1"/>
          <w:iCs w:val="1"/>
          <w:u w:val="single" w:color="auto"/>
          <w:color w:val="auto"/>
        </w:rPr>
        <w:t>/s/ Daniel F. Hines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Name: Daniel F. Hines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Title: CEO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1309370</wp:posOffset>
            </wp:positionV>
            <wp:extent cx="23495" cy="850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0280"/>
          </w:cols>
          <w:pgMar w:left="240" w:top="973" w:right="1379" w:bottom="1440" w:gutter="0" w:footer="0" w:header="0"/>
        </w:sectPr>
      </w:pPr>
    </w:p>
    <w:bookmarkStart w:id="65" w:name="page66"/>
    <w:bookmarkEnd w:id="65"/>
    <w:p>
      <w:pPr>
        <w:spacing w:after="0"/>
        <w:rPr>
          <w:sz w:val="20"/>
          <w:szCs w:val="20"/>
          <w:color w:val="auto"/>
        </w:rPr>
      </w:pPr>
      <w:r>
        <w:rPr>
          <w:rFonts w:ascii="Arial" w:cs="Arial" w:eastAsia="Arial" w:hAnsi="Arial"/>
          <w:sz w:val="19"/>
          <w:szCs w:val="19"/>
          <w:i w:val="1"/>
          <w:i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RBS SEMPRA COMMODITIES LLP</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Arial" w:cs="Arial" w:eastAsia="Arial" w:hAnsi="Arial"/>
                <w:sz w:val="19"/>
                <w:szCs w:val="19"/>
                <w:i w:val="1"/>
                <w:iCs w:val="1"/>
                <w:color w:val="auto"/>
              </w:rPr>
              <w:t>By:</w:t>
            </w:r>
          </w:p>
        </w:tc>
        <w:tc>
          <w:tcPr>
            <w:tcW w:w="4020" w:type="dxa"/>
            <w:vAlign w:val="bottom"/>
            <w:gridSpan w:val="4"/>
          </w:tcPr>
          <w:p>
            <w:pPr>
              <w:spacing w:after="0"/>
              <w:rPr>
                <w:sz w:val="20"/>
                <w:szCs w:val="20"/>
                <w:color w:val="auto"/>
              </w:rPr>
            </w:pPr>
            <w:r>
              <w:rPr>
                <w:rFonts w:ascii="Arial" w:cs="Arial" w:eastAsia="Arial" w:hAnsi="Arial"/>
                <w:sz w:val="19"/>
                <w:szCs w:val="19"/>
                <w:i w:val="1"/>
                <w:iCs w:val="1"/>
                <w:color w:val="auto"/>
              </w:rPr>
              <w:t>/s/ Bruce Van Saun</w:t>
            </w:r>
          </w:p>
        </w:tc>
      </w:tr>
      <w:tr>
        <w:trPr>
          <w:trHeight w:val="217"/>
        </w:trPr>
        <w:tc>
          <w:tcPr>
            <w:tcW w:w="580" w:type="dxa"/>
            <w:vAlign w:val="bottom"/>
          </w:tcPr>
          <w:p>
            <w:pPr>
              <w:spacing w:after="0" w:line="216" w:lineRule="exact"/>
              <w:rPr>
                <w:sz w:val="20"/>
                <w:szCs w:val="20"/>
                <w:color w:val="auto"/>
              </w:rPr>
            </w:pPr>
            <w:r>
              <w:rPr>
                <w:rFonts w:ascii="Arial" w:cs="Arial" w:eastAsia="Arial" w:hAnsi="Arial"/>
                <w:sz w:val="19"/>
                <w:szCs w:val="19"/>
                <w:i w:val="1"/>
                <w:iCs w:val="1"/>
                <w:color w:val="auto"/>
                <w:w w:val="99"/>
              </w:rPr>
              <w:t>Name:</w:t>
            </w: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48"/>
        </w:trPr>
        <w:tc>
          <w:tcPr>
            <w:tcW w:w="580" w:type="dxa"/>
            <w:vAlign w:val="bottom"/>
          </w:tcPr>
          <w:p>
            <w:pPr>
              <w:spacing w:after="0"/>
              <w:rPr>
                <w:sz w:val="20"/>
                <w:szCs w:val="20"/>
                <w:color w:val="auto"/>
              </w:rPr>
            </w:pPr>
            <w:r>
              <w:rPr>
                <w:rFonts w:ascii="Arial" w:cs="Arial" w:eastAsia="Arial" w:hAnsi="Arial"/>
                <w:sz w:val="19"/>
                <w:szCs w:val="19"/>
                <w:i w:val="1"/>
                <w:iCs w:val="1"/>
                <w:color w:val="auto"/>
              </w:rPr>
              <w:t>Title:</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658"/>
        </w:trPr>
        <w:tc>
          <w:tcPr>
            <w:tcW w:w="4600" w:type="dxa"/>
            <w:vAlign w:val="bottom"/>
            <w:gridSpan w:val="5"/>
          </w:tcPr>
          <w:p>
            <w:pPr>
              <w:spacing w:after="0"/>
              <w:rPr>
                <w:sz w:val="20"/>
                <w:szCs w:val="20"/>
                <w:color w:val="auto"/>
              </w:rPr>
            </w:pPr>
            <w:r>
              <w:rPr>
                <w:rFonts w:ascii="Arial" w:cs="Arial" w:eastAsia="Arial" w:hAnsi="Arial"/>
                <w:sz w:val="19"/>
                <w:szCs w:val="19"/>
                <w:i w:val="1"/>
                <w:iCs w:val="1"/>
                <w:color w:val="auto"/>
              </w:rPr>
              <w:t>SEMPRA ENERGY TRADING LLC</w:t>
            </w:r>
          </w:p>
        </w:tc>
      </w:tr>
      <w:tr>
        <w:trPr>
          <w:trHeight w:val="612"/>
        </w:trPr>
        <w:tc>
          <w:tcPr>
            <w:tcW w:w="580" w:type="dxa"/>
            <w:vAlign w:val="bottom"/>
          </w:tcPr>
          <w:p>
            <w:pPr>
              <w:spacing w:after="0"/>
              <w:rPr>
                <w:sz w:val="20"/>
                <w:szCs w:val="20"/>
                <w:color w:val="auto"/>
              </w:rPr>
            </w:pPr>
            <w:r>
              <w:rPr>
                <w:rFonts w:ascii="Arial" w:cs="Arial" w:eastAsia="Arial" w:hAnsi="Arial"/>
                <w:sz w:val="19"/>
                <w:szCs w:val="19"/>
                <w:i w:val="1"/>
                <w:iCs w:val="1"/>
                <w:color w:val="auto"/>
              </w:rPr>
              <w:t>By:</w:t>
            </w:r>
          </w:p>
        </w:tc>
        <w:tc>
          <w:tcPr>
            <w:tcW w:w="4020" w:type="dxa"/>
            <w:vAlign w:val="bottom"/>
            <w:gridSpan w:val="4"/>
          </w:tcPr>
          <w:p>
            <w:pPr>
              <w:spacing w:after="0"/>
              <w:rPr>
                <w:sz w:val="20"/>
                <w:szCs w:val="20"/>
                <w:color w:val="auto"/>
              </w:rPr>
            </w:pPr>
            <w:r>
              <w:rPr>
                <w:rFonts w:ascii="Arial" w:cs="Arial" w:eastAsia="Arial" w:hAnsi="Arial"/>
                <w:sz w:val="19"/>
                <w:szCs w:val="19"/>
                <w:i w:val="1"/>
                <w:iCs w:val="1"/>
                <w:color w:val="auto"/>
              </w:rPr>
              <w:t>/s/ Michael R. Kirby</w:t>
            </w:r>
          </w:p>
        </w:tc>
      </w:tr>
      <w:tr>
        <w:trPr>
          <w:trHeight w:val="20"/>
        </w:trPr>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7"/>
        </w:trPr>
        <w:tc>
          <w:tcPr>
            <w:tcW w:w="4600" w:type="dxa"/>
            <w:vAlign w:val="bottom"/>
            <w:gridSpan w:val="5"/>
          </w:tcPr>
          <w:p>
            <w:pPr>
              <w:spacing w:after="0" w:line="216" w:lineRule="exact"/>
              <w:rPr>
                <w:sz w:val="20"/>
                <w:szCs w:val="20"/>
                <w:color w:val="auto"/>
              </w:rPr>
            </w:pPr>
            <w:r>
              <w:rPr>
                <w:rFonts w:ascii="Arial" w:cs="Arial" w:eastAsia="Arial" w:hAnsi="Arial"/>
                <w:sz w:val="19"/>
                <w:szCs w:val="19"/>
                <w:i w:val="1"/>
                <w:iCs w:val="1"/>
                <w:color w:val="auto"/>
              </w:rPr>
              <w:t>Name: Michael R. Kirby</w:t>
            </w:r>
          </w:p>
        </w:tc>
      </w:tr>
      <w:tr>
        <w:trPr>
          <w:trHeight w:val="248"/>
        </w:trPr>
        <w:tc>
          <w:tcPr>
            <w:tcW w:w="4600" w:type="dxa"/>
            <w:vAlign w:val="bottom"/>
            <w:gridSpan w:val="5"/>
          </w:tcPr>
          <w:p>
            <w:pPr>
              <w:spacing w:after="0"/>
              <w:rPr>
                <w:sz w:val="20"/>
                <w:szCs w:val="20"/>
                <w:color w:val="auto"/>
              </w:rPr>
            </w:pPr>
            <w:r>
              <w:rPr>
                <w:rFonts w:ascii="Arial" w:cs="Arial" w:eastAsia="Arial" w:hAnsi="Arial"/>
                <w:sz w:val="19"/>
                <w:szCs w:val="19"/>
                <w:i w:val="1"/>
                <w:iCs w:val="1"/>
                <w:color w:val="auto"/>
              </w:rPr>
              <w:t>Title: Director</w:t>
            </w:r>
          </w:p>
        </w:tc>
      </w:tr>
      <w:tr>
        <w:trPr>
          <w:trHeight w:val="658"/>
        </w:trPr>
        <w:tc>
          <w:tcPr>
            <w:tcW w:w="4600" w:type="dxa"/>
            <w:vAlign w:val="bottom"/>
            <w:gridSpan w:val="5"/>
          </w:tcPr>
          <w:p>
            <w:pPr>
              <w:spacing w:after="0"/>
              <w:rPr>
                <w:sz w:val="20"/>
                <w:szCs w:val="20"/>
                <w:color w:val="auto"/>
              </w:rPr>
            </w:pPr>
            <w:r>
              <w:rPr>
                <w:rFonts w:ascii="Arial" w:cs="Arial" w:eastAsia="Arial" w:hAnsi="Arial"/>
                <w:sz w:val="19"/>
                <w:szCs w:val="19"/>
                <w:i w:val="1"/>
                <w:iCs w:val="1"/>
                <w:color w:val="auto"/>
              </w:rPr>
              <w:t>SEMPRA ENERGY</w:t>
            </w:r>
          </w:p>
        </w:tc>
      </w:tr>
      <w:tr>
        <w:trPr>
          <w:trHeight w:val="599"/>
        </w:trPr>
        <w:tc>
          <w:tcPr>
            <w:tcW w:w="580" w:type="dxa"/>
            <w:vAlign w:val="bottom"/>
          </w:tcPr>
          <w:p>
            <w:pPr>
              <w:spacing w:after="0"/>
              <w:rPr>
                <w:sz w:val="20"/>
                <w:szCs w:val="20"/>
                <w:color w:val="auto"/>
              </w:rPr>
            </w:pPr>
            <w:r>
              <w:rPr>
                <w:rFonts w:ascii="Arial" w:cs="Arial" w:eastAsia="Arial" w:hAnsi="Arial"/>
                <w:sz w:val="19"/>
                <w:szCs w:val="19"/>
                <w:i w:val="1"/>
                <w:iCs w:val="1"/>
                <w:color w:val="auto"/>
              </w:rPr>
              <w:t>By:</w:t>
            </w:r>
          </w:p>
        </w:tc>
        <w:tc>
          <w:tcPr>
            <w:tcW w:w="1320" w:type="dxa"/>
            <w:vAlign w:val="bottom"/>
            <w:tcBorders>
              <w:bottom w:val="single" w:sz="8" w:color="auto"/>
            </w:tcBorders>
          </w:tcPr>
          <w:p>
            <w:pPr>
              <w:spacing w:after="0"/>
              <w:rPr>
                <w:sz w:val="20"/>
                <w:szCs w:val="20"/>
                <w:color w:val="auto"/>
              </w:rPr>
            </w:pPr>
            <w:r>
              <w:rPr>
                <w:rFonts w:ascii="Arial" w:cs="Arial" w:eastAsia="Arial" w:hAnsi="Arial"/>
                <w:sz w:val="19"/>
                <w:szCs w:val="19"/>
                <w:i w:val="1"/>
                <w:iCs w:val="1"/>
                <w:color w:val="auto"/>
                <w:w w:val="93"/>
              </w:rPr>
              <w:t>/s/ Mark A. Snell</w:t>
            </w:r>
          </w:p>
        </w:tc>
        <w:tc>
          <w:tcPr>
            <w:tcW w:w="2700" w:type="dxa"/>
            <w:vAlign w:val="bottom"/>
            <w:gridSpan w:val="3"/>
          </w:tcPr>
          <w:p>
            <w:pPr>
              <w:spacing w:after="0"/>
              <w:rPr>
                <w:sz w:val="24"/>
                <w:szCs w:val="24"/>
                <w:color w:val="auto"/>
              </w:rPr>
            </w:pPr>
          </w:p>
        </w:tc>
      </w:tr>
      <w:tr>
        <w:trPr>
          <w:trHeight w:val="217"/>
        </w:trPr>
        <w:tc>
          <w:tcPr>
            <w:tcW w:w="4600" w:type="dxa"/>
            <w:vAlign w:val="bottom"/>
            <w:gridSpan w:val="5"/>
          </w:tcPr>
          <w:p>
            <w:pPr>
              <w:spacing w:after="0" w:line="216" w:lineRule="exact"/>
              <w:rPr>
                <w:sz w:val="20"/>
                <w:szCs w:val="20"/>
                <w:color w:val="auto"/>
              </w:rPr>
            </w:pPr>
            <w:r>
              <w:rPr>
                <w:rFonts w:ascii="Arial" w:cs="Arial" w:eastAsia="Arial" w:hAnsi="Arial"/>
                <w:sz w:val="19"/>
                <w:szCs w:val="19"/>
                <w:i w:val="1"/>
                <w:iCs w:val="1"/>
                <w:color w:val="auto"/>
              </w:rPr>
              <w:t>Name: Mark A. Snell</w:t>
            </w:r>
          </w:p>
        </w:tc>
      </w:tr>
      <w:tr>
        <w:trPr>
          <w:trHeight w:val="248"/>
        </w:trPr>
        <w:tc>
          <w:tcPr>
            <w:tcW w:w="4600" w:type="dxa"/>
            <w:vAlign w:val="bottom"/>
            <w:gridSpan w:val="5"/>
          </w:tcPr>
          <w:p>
            <w:pPr>
              <w:spacing w:after="0"/>
              <w:rPr>
                <w:sz w:val="20"/>
                <w:szCs w:val="20"/>
                <w:color w:val="auto"/>
              </w:rPr>
            </w:pPr>
            <w:r>
              <w:rPr>
                <w:rFonts w:ascii="Arial" w:cs="Arial" w:eastAsia="Arial" w:hAnsi="Arial"/>
                <w:sz w:val="19"/>
                <w:szCs w:val="19"/>
                <w:i w:val="1"/>
                <w:iCs w:val="1"/>
                <w:color w:val="auto"/>
                <w:w w:val="94"/>
              </w:rPr>
              <w:t>Title: Executive Vice President and Chief Financial Officer</w:t>
            </w:r>
          </w:p>
        </w:tc>
      </w:tr>
      <w:tr>
        <w:trPr>
          <w:trHeight w:val="657"/>
        </w:trPr>
        <w:tc>
          <w:tcPr>
            <w:tcW w:w="4600" w:type="dxa"/>
            <w:vAlign w:val="bottom"/>
            <w:gridSpan w:val="5"/>
          </w:tcPr>
          <w:p>
            <w:pPr>
              <w:spacing w:after="0"/>
              <w:rPr>
                <w:sz w:val="20"/>
                <w:szCs w:val="20"/>
                <w:color w:val="auto"/>
              </w:rPr>
            </w:pPr>
            <w:r>
              <w:rPr>
                <w:rFonts w:ascii="Arial" w:cs="Arial" w:eastAsia="Arial" w:hAnsi="Arial"/>
                <w:sz w:val="19"/>
                <w:szCs w:val="19"/>
                <w:i w:val="1"/>
                <w:iCs w:val="1"/>
                <w:color w:val="auto"/>
              </w:rPr>
              <w:t>THE ROYAL BANK OF SCOTLAND PLC</w:t>
            </w:r>
          </w:p>
        </w:tc>
      </w:tr>
      <w:tr>
        <w:trPr>
          <w:trHeight w:val="599"/>
        </w:trPr>
        <w:tc>
          <w:tcPr>
            <w:tcW w:w="580" w:type="dxa"/>
            <w:vAlign w:val="bottom"/>
          </w:tcPr>
          <w:p>
            <w:pPr>
              <w:spacing w:after="0"/>
              <w:rPr>
                <w:sz w:val="20"/>
                <w:szCs w:val="20"/>
                <w:color w:val="auto"/>
              </w:rPr>
            </w:pPr>
            <w:r>
              <w:rPr>
                <w:rFonts w:ascii="Arial" w:cs="Arial" w:eastAsia="Arial" w:hAnsi="Arial"/>
                <w:sz w:val="19"/>
                <w:szCs w:val="19"/>
                <w:i w:val="1"/>
                <w:iCs w:val="1"/>
                <w:color w:val="auto"/>
              </w:rPr>
              <w:t>By:</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9"/>
                <w:szCs w:val="19"/>
                <w:i w:val="1"/>
                <w:iCs w:val="1"/>
                <w:color w:val="auto"/>
                <w:w w:val="89"/>
              </w:rPr>
              <w:t>/s/ Bruce Van Saun</w:t>
            </w:r>
          </w:p>
        </w:tc>
        <w:tc>
          <w:tcPr>
            <w:tcW w:w="2540" w:type="dxa"/>
            <w:vAlign w:val="bottom"/>
            <w:gridSpan w:val="2"/>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Name: Bruce Van Saun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474345</wp:posOffset>
            </wp:positionV>
            <wp:extent cx="23495" cy="850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0219"/>
          </w:cols>
          <w:pgMar w:left="240" w:top="997"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9"/>
          <w:szCs w:val="19"/>
          <w:b w:val="1"/>
          <w:bCs w:val="1"/>
          <w:i w:val="1"/>
          <w:iCs w:val="1"/>
          <w:color w:val="auto"/>
        </w:rPr>
        <w:t>ANNEX A</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i w:val="1"/>
          <w:iCs w:val="1"/>
          <w:color w:val="auto"/>
        </w:rPr>
        <w:t>Schedule 7.3(b)(iii)</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i w:val="1"/>
          <w:iCs w:val="1"/>
          <w:u w:val="single" w:color="auto"/>
          <w:color w:val="auto"/>
        </w:rPr>
        <w:t>Landlord Consent</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The Seller Parties and the Purchaser agree to make good faith efforts to obtain the Consent of each Third Party under the agreements listed in Section 1 below prior to the Closing Date and, if so requested by the Purchaser in its sole discretion, such later date as determined by the Purchaser in its sole discretion;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that in no event shall the Purchaser be required to agree to pay any amounts to any Third Party to obtain the applicable Consent. In the event that, prior to the Closing Date or such later date as determined by the Purchaser in its sole discretion, the Seller Parties and the Purchaser are able to obtain the Consent of a Third Party, the terms of which are satisfactory to the Purchaser in its sole discretion (including approval by the Purchaser, in its sole discretion, of any amounts payable to such Third Party (including, for the avoidance of doubt, any incremental increase in rent or storage and handling costs)), the Purchaser shall be responsible for paying such amounts to the applicable Third Party. In the event that prior to the Closing Date or, if the Purchaser in its sole discretion elects to continue to seek the Consent of such Third Party following the Closing Date, such later date as determined by the Purchaser in its sole discretion, the Seller Parties and the Purchaser are unable to obtain the Consent of the applicable Third Party, the terms of which are satisfactory to the Purchaser in its sole discretion, notwithstanding anything contained in this Agreement to the contrary, RBS and Sempra Energy shall be solely responsible for, and shall (on a several basis in accordance with their respective Indemnity Share) pay and discharge, and reimburse the Purchaser and its Affiliates for, any and all fees, costs, payments, expenses, penalties, relocation costs, breakage costs and all other Damages relating to or arising from the failure to obtain or in connection with obt aining such Consent (except to the extent that the failure to obtain such Consent is determined by a final, non-appealable order of a court of competent jurisdiction (a “</w:t>
      </w:r>
      <w:r>
        <w:rPr>
          <w:rFonts w:ascii="Arial" w:cs="Arial" w:eastAsia="Arial" w:hAnsi="Arial"/>
          <w:sz w:val="18"/>
          <w:szCs w:val="18"/>
          <w:i w:val="1"/>
          <w:iCs w:val="1"/>
          <w:u w:val="single" w:color="auto"/>
          <w:color w:val="auto"/>
        </w:rPr>
        <w:t>Final Determination</w:t>
      </w:r>
      <w:r>
        <w:rPr>
          <w:rFonts w:ascii="Arial" w:cs="Arial" w:eastAsia="Arial" w:hAnsi="Arial"/>
          <w:sz w:val="18"/>
          <w:szCs w:val="18"/>
          <w:i w:val="1"/>
          <w:iCs w:val="1"/>
          <w:color w:val="auto"/>
        </w:rPr>
        <w:t>”) to be the result of the Purchaser’s failure to make good faith efforts consistent with the terms of this Schedule 7.3(b)(iii), but subject to Purchaser’s right to determine in its sole discretion whether the terms of any Consent are satisfactory).</w:t>
      </w:r>
    </w:p>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Seller Parties and the Purchaser agree to provide notice to each Third Party under the agreements listed in Section 2 below (the “</w:t>
      </w:r>
      <w:r>
        <w:rPr>
          <w:rFonts w:ascii="Arial" w:cs="Arial" w:eastAsia="Arial" w:hAnsi="Arial"/>
          <w:sz w:val="17"/>
          <w:szCs w:val="17"/>
          <w:i w:val="1"/>
          <w:iCs w:val="1"/>
          <w:u w:val="single" w:color="auto"/>
          <w:color w:val="auto"/>
        </w:rPr>
        <w:t>Notice</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Leases</w:t>
      </w:r>
      <w:r>
        <w:rPr>
          <w:rFonts w:ascii="Arial" w:cs="Arial" w:eastAsia="Arial" w:hAnsi="Arial"/>
          <w:sz w:val="17"/>
          <w:szCs w:val="17"/>
          <w:i w:val="1"/>
          <w:iCs w:val="1"/>
          <w:color w:val="auto"/>
        </w:rPr>
        <w:t>”) prior to the Closing Date, which notice shall be in a form reasonably acceptable to the Seller Parties and the Purchaser. In the event that, at any time prior to, or within six (6) months following the Closing Date, any Third Party that is a party to a Notice Lease makes any assertion or claim in writing (including by facsimile or email) to the Seller Parties or to the Purchaser (and the Purchaser promptly provides a copy thereof to RBS and Sempra Energy), or the Purchaser certifies in writing (in accordance with Section 10.4 of this Agreement) to RBS and Sempra Energy that such Third Party has asserted or claimed, that such Third Party’s Consent is required under such Notice Lease in connection with the change in ownership of the tenant in c onnection with the transactions contemplated by this Agreement (a “</w:t>
      </w:r>
      <w:r>
        <w:rPr>
          <w:rFonts w:ascii="Arial" w:cs="Arial" w:eastAsia="Arial" w:hAnsi="Arial"/>
          <w:sz w:val="17"/>
          <w:szCs w:val="17"/>
          <w:i w:val="1"/>
          <w:iCs w:val="1"/>
          <w:u w:val="single" w:color="auto"/>
          <w:color w:val="auto"/>
        </w:rPr>
        <w:t>Consent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Claim</w:t>
      </w:r>
      <w:r>
        <w:rPr>
          <w:rFonts w:ascii="Arial" w:cs="Arial" w:eastAsia="Arial" w:hAnsi="Arial"/>
          <w:sz w:val="17"/>
          <w:szCs w:val="17"/>
          <w:i w:val="1"/>
          <w:iCs w:val="1"/>
          <w:color w:val="auto"/>
        </w:rPr>
        <w:t>”; and such Third Party an “</w:t>
      </w:r>
      <w:r>
        <w:rPr>
          <w:rFonts w:ascii="Arial" w:cs="Arial" w:eastAsia="Arial" w:hAnsi="Arial"/>
          <w:sz w:val="17"/>
          <w:szCs w:val="17"/>
          <w:i w:val="1"/>
          <w:iCs w:val="1"/>
          <w:u w:val="single" w:color="auto"/>
          <w:color w:val="auto"/>
        </w:rPr>
        <w:t>Objecting Third Party</w:t>
      </w:r>
      <w:r>
        <w:rPr>
          <w:rFonts w:ascii="Arial" w:cs="Arial" w:eastAsia="Arial" w:hAnsi="Arial"/>
          <w:sz w:val="17"/>
          <w:szCs w:val="17"/>
          <w:i w:val="1"/>
          <w:iCs w:val="1"/>
          <w:color w:val="auto"/>
        </w:rPr>
        <w:t>”), the Seller Parties and the Purchaser shall make good faith efforts to obtain such Consent from such Objecting Third Party as promptly as possible and in any event prior to the date that is six (6) months following the later of the Closing Date and the date on which such Consent Claim is received or, if the Purchaser in its sole discretion elects to continue to seek the Consent of such Objecting Third Party following such six (6) month period, such later date as determined by the Purchaser in its sole discretion (the date until which such parties will seek such Consent being the “</w:t>
      </w:r>
      <w:r>
        <w:rPr>
          <w:rFonts w:ascii="Arial" w:cs="Arial" w:eastAsia="Arial" w:hAnsi="Arial"/>
          <w:sz w:val="17"/>
          <w:szCs w:val="17"/>
          <w:i w:val="1"/>
          <w:iCs w:val="1"/>
          <w:u w:val="single" w:color="auto"/>
          <w:color w:val="auto"/>
        </w:rPr>
        <w:t>Consent Efforts End Date</w:t>
      </w:r>
      <w:r>
        <w:rPr>
          <w:rFonts w:ascii="Arial" w:cs="Arial" w:eastAsia="Arial" w:hAnsi="Arial"/>
          <w:sz w:val="17"/>
          <w:szCs w:val="17"/>
          <w:i w:val="1"/>
          <w:iCs w:val="1"/>
          <w:color w:val="auto"/>
        </w:rPr>
        <w:t>” with respect to such Notice Lease). In the event that, prior to the relevant Consent Efforts End Date, the Seller Parties and the Purchaser are able to obtain the Consent of such Objecting Third Party, the terms of which are satisfactory to the Purchaser in its sole discretion (including approval by the Purchaser, in its sole discretion, of any amounts payable to such Objecting Third Party (including, for the avoidance of doubt, any incremental increase in rent or storage and handling costs)), the Purchaser shall be responsible for paying such amounts to such Objecting Third Party. In the event that prior to the relevant Consent Efforts End Date, the Seller Parties and the Purchaser are unable to obtain the Consent of such Objecting Third Party, the terms of which are satisfactory to the Purchaser in its sole discretion, notwithstanding anything contained in this Agreement to the contrary, RBS and Sempra Energy shall be solely responsible for, and shall (on a several basis in accordance with their respective Indemnity Share) pay and discharge, and reimburse the Purchaser and its Affiliates for, any and all fees, costs, payments, expenses, penalties, relocation costs, breakage costs and all other Damages relating to or arising from the failure to obtain or in connection with obtaining such Consent (except to the extent that the failure to obtain such Consent is determined by a Final Determination to be the result of the Purchaser’s failure to make good faith efforts consistent with the terms of this Schedule 7.3(b)(iii), but subject to Purchaser’s right to determine in its sole discretion whether the terms of any Consent are satisfactory). For the avoidance of doubt, the Seller Parties shall not have any liability to the Purchaser under this Agreement in respect of any Notice Lease as a result of any failure to seek or obtain a consent under such Notice Lease if the relevant Third Party does not make a Consent Claim prior to, or within six (6) months following, the Closing Date.</w:t>
      </w:r>
    </w:p>
    <w:p>
      <w:pPr>
        <w:spacing w:after="0" w:line="375" w:lineRule="exact"/>
        <w:rPr>
          <w:sz w:val="20"/>
          <w:szCs w:val="20"/>
          <w:color w:val="auto"/>
        </w:rPr>
      </w:pPr>
    </w:p>
    <w:p>
      <w:pPr>
        <w:ind w:right="1960"/>
        <w:spacing w:after="0" w:line="448" w:lineRule="auto"/>
        <w:rPr>
          <w:sz w:val="20"/>
          <w:szCs w:val="20"/>
          <w:color w:val="auto"/>
        </w:rPr>
      </w:pPr>
      <w:r>
        <w:rPr>
          <w:rFonts w:ascii="Arial" w:cs="Arial" w:eastAsia="Arial" w:hAnsi="Arial"/>
          <w:sz w:val="19"/>
          <w:szCs w:val="19"/>
          <w:i w:val="1"/>
          <w:iCs w:val="1"/>
          <w:color w:val="auto"/>
        </w:rPr>
        <w:t xml:space="preserve">In no event shall the Seller Parties’ aggregate liability in connection with this Schedule 7.3(b)(iii) exceed $6,000,000. </w:t>
      </w:r>
      <w:r>
        <w:rPr>
          <w:rFonts w:ascii="Arial" w:cs="Arial" w:eastAsia="Arial" w:hAnsi="Arial"/>
          <w:sz w:val="19"/>
          <w:szCs w:val="19"/>
          <w:b w:val="1"/>
          <w:bCs w:val="1"/>
          <w:i w:val="1"/>
          <w:iCs w:val="1"/>
          <w:u w:val="single" w:color="auto"/>
          <w:color w:val="auto"/>
        </w:rPr>
        <w:t>Section 1 – Express Consents</w:t>
      </w:r>
    </w:p>
    <w:p>
      <w:pPr>
        <w:ind w:left="300" w:right="32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February 28, 2009 between Point Breeze, LLC and Henry Bath, LLC in respect of the premises located at 2400 Broening Highway (as amended, renewed, supplemented or otherwise modified).</w:t>
      </w:r>
    </w:p>
    <w:p>
      <w:pPr>
        <w:spacing w:after="0" w:line="137" w:lineRule="exact"/>
        <w:rPr>
          <w:rFonts w:ascii="Arial" w:cs="Arial" w:eastAsia="Arial" w:hAnsi="Arial"/>
          <w:sz w:val="19"/>
          <w:szCs w:val="19"/>
          <w:i w:val="1"/>
          <w:iCs w:val="1"/>
          <w:color w:val="auto"/>
        </w:rPr>
      </w:pPr>
    </w:p>
    <w:p>
      <w:pPr>
        <w:ind w:left="300" w:right="58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June 10, 2009 between Point Breeze, LLC and Henry Bath, LLC in respect of the premises located at 2500A Broening Highway (as amended, renewed, supplemented or otherwise modified).</w:t>
      </w:r>
    </w:p>
    <w:p>
      <w:pPr>
        <w:spacing w:after="0" w:line="125" w:lineRule="exact"/>
        <w:rPr>
          <w:rFonts w:ascii="Arial" w:cs="Arial" w:eastAsia="Arial" w:hAnsi="Arial"/>
          <w:sz w:val="19"/>
          <w:szCs w:val="19"/>
          <w:i w:val="1"/>
          <w:iCs w:val="1"/>
          <w:color w:val="auto"/>
        </w:rPr>
      </w:pPr>
    </w:p>
    <w:p>
      <w:pPr>
        <w:ind w:left="300" w:right="56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August 16, 2007 between Point Breeze, LLC and Henry Bath, Inc. in respect of the premises located at 2500 Broening Highway (as amended, renewed, supplemented or otherwise modified).</w:t>
      </w:r>
    </w:p>
    <w:p>
      <w:pPr>
        <w:spacing w:after="0" w:line="125" w:lineRule="exact"/>
        <w:rPr>
          <w:rFonts w:ascii="Arial" w:cs="Arial" w:eastAsia="Arial" w:hAnsi="Arial"/>
          <w:sz w:val="19"/>
          <w:szCs w:val="19"/>
          <w:i w:val="1"/>
          <w:iCs w:val="1"/>
          <w:color w:val="auto"/>
        </w:rPr>
      </w:pPr>
    </w:p>
    <w:p>
      <w:pPr>
        <w:ind w:left="300" w:right="48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January 27, 2006 between Point Breeze, LLC and Henry Bath, Inc. in respect of the premises located at 2200 Broening Highway (as amended, renewed, supplemented or otherwise modified).</w:t>
      </w:r>
    </w:p>
    <w:p>
      <w:pPr>
        <w:spacing w:after="0" w:line="137" w:lineRule="exact"/>
        <w:rPr>
          <w:rFonts w:ascii="Arial" w:cs="Arial" w:eastAsia="Arial" w:hAnsi="Arial"/>
          <w:sz w:val="19"/>
          <w:szCs w:val="19"/>
          <w:i w:val="1"/>
          <w:iCs w:val="1"/>
          <w:color w:val="auto"/>
        </w:rPr>
      </w:pPr>
    </w:p>
    <w:p>
      <w:pPr>
        <w:ind w:left="300" w:right="2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December 15, 2008 between Duke Baltimore, LLC and Henry Bath, LLC in respect of the premises located at 5003 Holabird Avenue (as amended, renewed, supplemented or otherwise modified).</w:t>
      </w:r>
    </w:p>
    <w:p>
      <w:pPr>
        <w:spacing w:after="0" w:line="125" w:lineRule="exact"/>
        <w:rPr>
          <w:rFonts w:ascii="Arial" w:cs="Arial" w:eastAsia="Arial" w:hAnsi="Arial"/>
          <w:sz w:val="19"/>
          <w:szCs w:val="19"/>
          <w:i w:val="1"/>
          <w:iCs w:val="1"/>
          <w:color w:val="auto"/>
        </w:rPr>
      </w:pPr>
    </w:p>
    <w:p>
      <w:pPr>
        <w:ind w:left="300" w:right="240" w:hanging="290"/>
        <w:spacing w:after="0" w:line="272" w:lineRule="auto"/>
        <w:tabs>
          <w:tab w:leader="none" w:pos="30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May 11, 2009 between Millenia Private Limited and Sempra Oil Trading PTE Ltd. in respect of #37-04 Millenia Tower (as amended, renewed, supplemented or otherwise modified).</w:t>
      </w:r>
    </w:p>
    <w:p>
      <w:pPr>
        <w:sectPr>
          <w:pgSz w:w="11900" w:h="16838" w:orient="portrait"/>
          <w:cols w:equalWidth="0" w:num="1">
            <w:col w:w="11160"/>
          </w:cols>
          <w:pgMar w:left="520" w:top="559" w:right="219" w:bottom="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7.</w:t>
      </w:r>
    </w:p>
    <w:p>
      <w:pPr>
        <w:sectPr>
          <w:pgSz w:w="11900" w:h="16838" w:orient="portrait"/>
          <w:cols w:equalWidth="0" w:num="1">
            <w:col w:w="11160"/>
          </w:cols>
          <w:pgMar w:left="520" w:top="559" w:right="219" w:bottom="0" w:gutter="0" w:footer="0" w:header="0"/>
          <w:type w:val="continuous"/>
        </w:sectPr>
      </w:pPr>
    </w:p>
    <w:bookmarkStart w:id="67" w:name="page68"/>
    <w:bookmarkEnd w:id="67"/>
    <w:p>
      <w:pPr>
        <w:ind w:left="300" w:right="200"/>
        <w:spacing w:after="0" w:line="273" w:lineRule="auto"/>
        <w:rPr>
          <w:sz w:val="20"/>
          <w:szCs w:val="20"/>
          <w:color w:val="auto"/>
        </w:rPr>
      </w:pPr>
      <w:r>
        <w:rPr>
          <w:rFonts w:ascii="Arial" w:cs="Arial" w:eastAsia="Arial" w:hAnsi="Arial"/>
          <w:sz w:val="19"/>
          <w:szCs w:val="19"/>
          <w:i w:val="1"/>
          <w:iCs w:val="1"/>
          <w:color w:val="auto"/>
        </w:rPr>
        <w:t>Lease Agreement dated May 11, 2009 between Millenia Private Limited and Sempra Oil Trading PTE Ltd. in respect of #37-05 Millenia Tower (as amended, renewed, supplemented or otherwise modified).</w:t>
      </w:r>
    </w:p>
    <w:p>
      <w:pPr>
        <w:spacing w:after="0" w:line="125" w:lineRule="exact"/>
        <w:rPr>
          <w:sz w:val="20"/>
          <w:szCs w:val="20"/>
          <w:color w:val="auto"/>
        </w:rPr>
      </w:pPr>
    </w:p>
    <w:p>
      <w:pPr>
        <w:ind w:left="300" w:right="460" w:hanging="290"/>
        <w:spacing w:after="0" w:line="256" w:lineRule="auto"/>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Foreign Zone Operator Agreement dated December 5, 2005 between Mayor and City Council of Baltimore as grantee of FTZ No. 74 acting through the City of Baltimore Development Corp. and Henry Bath, Inc. (as amended, renewed, supplemented or otherwise modified).</w:t>
      </w:r>
    </w:p>
    <w:p>
      <w:pPr>
        <w:spacing w:after="0" w:line="153" w:lineRule="exact"/>
        <w:rPr>
          <w:rFonts w:ascii="Arial" w:cs="Arial" w:eastAsia="Arial" w:hAnsi="Arial"/>
          <w:sz w:val="19"/>
          <w:szCs w:val="19"/>
          <w:i w:val="1"/>
          <w:iCs w:val="1"/>
          <w:color w:val="auto"/>
        </w:rPr>
      </w:pPr>
    </w:p>
    <w:p>
      <w:pPr>
        <w:ind w:left="300" w:hanging="290"/>
        <w:spacing w:after="0"/>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Halley Metals Ibérica, S.A agreement (CCP Warehouse 4B).</w:t>
      </w:r>
    </w:p>
    <w:p>
      <w:pPr>
        <w:spacing w:after="0" w:line="183" w:lineRule="exact"/>
        <w:rPr>
          <w:rFonts w:ascii="Arial" w:cs="Arial" w:eastAsia="Arial" w:hAnsi="Arial"/>
          <w:sz w:val="19"/>
          <w:szCs w:val="19"/>
          <w:i w:val="1"/>
          <w:iCs w:val="1"/>
          <w:color w:val="auto"/>
        </w:rPr>
      </w:pPr>
    </w:p>
    <w:p>
      <w:pPr>
        <w:ind w:left="300" w:hanging="290"/>
        <w:spacing w:after="0"/>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Halley Metals Iberica, S.A. agreement dated May 31, 1991 (as amended, supplemented or otherwise modified).</w:t>
      </w:r>
    </w:p>
    <w:p>
      <w:pPr>
        <w:spacing w:after="0" w:line="183" w:lineRule="exact"/>
        <w:rPr>
          <w:rFonts w:ascii="Arial" w:cs="Arial" w:eastAsia="Arial" w:hAnsi="Arial"/>
          <w:sz w:val="19"/>
          <w:szCs w:val="19"/>
          <w:i w:val="1"/>
          <w:iCs w:val="1"/>
          <w:color w:val="auto"/>
        </w:rPr>
      </w:pPr>
    </w:p>
    <w:p>
      <w:pPr>
        <w:ind w:left="300" w:right="540" w:hanging="290"/>
        <w:spacing w:after="0" w:line="301" w:lineRule="auto"/>
        <w:tabs>
          <w:tab w:leader="none" w:pos="30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Service Agreement dated June 8, 2004 between Parkway Properties, L.P. and Sempra Energy Trading Corp. (as amended, renewed, supplemented or otherwise modified) in respect of the premises located at 515 West Greens Road, Houston , Texas.</w:t>
      </w:r>
    </w:p>
    <w:p>
      <w:pPr>
        <w:spacing w:after="0" w:line="113" w:lineRule="exact"/>
        <w:rPr>
          <w:rFonts w:ascii="Arial" w:cs="Arial" w:eastAsia="Arial" w:hAnsi="Arial"/>
          <w:sz w:val="18"/>
          <w:szCs w:val="18"/>
          <w:i w:val="1"/>
          <w:iCs w:val="1"/>
          <w:color w:val="auto"/>
        </w:rPr>
      </w:pPr>
    </w:p>
    <w:p>
      <w:pPr>
        <w:ind w:left="300" w:right="140" w:hanging="290"/>
        <w:spacing w:after="0" w:line="316" w:lineRule="auto"/>
        <w:tabs>
          <w:tab w:leader="none" w:pos="300" w:val="left"/>
        </w:tabs>
        <w:numPr>
          <w:ilvl w:val="0"/>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Lease Agreement dated October 23, 1998 between Stampar Associates, LLC and Sempra Energy Trading Corp in respect of the premises located at 83 Harvard Avenue, Stamford, Connecticut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Floor) (as amended, renewed, supplemented or otherwise modified).</w:t>
      </w:r>
    </w:p>
    <w:p>
      <w:pPr>
        <w:ind w:left="300" w:right="200" w:hanging="290"/>
        <w:spacing w:after="0" w:line="316" w:lineRule="auto"/>
        <w:tabs>
          <w:tab w:leader="none" w:pos="300" w:val="left"/>
        </w:tabs>
        <w:numPr>
          <w:ilvl w:val="0"/>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of Lease dated February 27, 2003 between Stampar Associates, LLC and Sempra Energy Trading Corp. in respect of the premises located at 83 Harvard Avenue, Stamford, Connecticut (1</w:t>
      </w:r>
      <w:r>
        <w:rPr>
          <w:rFonts w:ascii="Arial" w:cs="Arial" w:eastAsia="Arial" w:hAnsi="Arial"/>
          <w:sz w:val="28"/>
          <w:szCs w:val="28"/>
          <w:i w:val="1"/>
          <w:iCs w:val="1"/>
          <w:color w:val="auto"/>
          <w:vertAlign w:val="superscript"/>
        </w:rPr>
        <w:t>st</w:t>
      </w:r>
      <w:r>
        <w:rPr>
          <w:rFonts w:ascii="Arial" w:cs="Arial" w:eastAsia="Arial" w:hAnsi="Arial"/>
          <w:sz w:val="17"/>
          <w:szCs w:val="17"/>
          <w:i w:val="1"/>
          <w:iCs w:val="1"/>
          <w:color w:val="auto"/>
        </w:rPr>
        <w:t xml:space="preserve"> Floor) (as amended, renewed, supplemented or otherwise modified).</w:t>
      </w:r>
    </w:p>
    <w:p>
      <w:pPr>
        <w:ind w:left="300" w:right="100" w:hanging="290"/>
        <w:spacing w:after="0" w:line="284" w:lineRule="auto"/>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Office Sublease Agreement dated February 3, 2006 between Daymon Worldwide, Inc. and Sempra Energy Trading Corp. in respect of the premises located at 700 Fairfield Avenue (as amended, renewed, supplemented or otherwise modified).</w:t>
      </w:r>
      <w:r>
        <w:rPr>
          <w:rFonts w:ascii="Arial" w:cs="Arial" w:eastAsia="Arial" w:hAnsi="Arial"/>
          <w:sz w:val="32"/>
          <w:szCs w:val="32"/>
          <w:i w:val="1"/>
          <w:iCs w:val="1"/>
          <w:color w:val="auto"/>
          <w:vertAlign w:val="superscript"/>
        </w:rPr>
        <w:t>1</w:t>
      </w:r>
    </w:p>
    <w:p>
      <w:pPr>
        <w:ind w:left="300" w:hanging="290"/>
        <w:spacing w:after="0"/>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Almacén No 31 and No Z7, Bilbao</w:t>
      </w:r>
    </w:p>
    <w:p>
      <w:pPr>
        <w:spacing w:after="0" w:line="183" w:lineRule="exact"/>
        <w:rPr>
          <w:rFonts w:ascii="Arial" w:cs="Arial" w:eastAsia="Arial" w:hAnsi="Arial"/>
          <w:sz w:val="19"/>
          <w:szCs w:val="19"/>
          <w:i w:val="1"/>
          <w:iCs w:val="1"/>
          <w:color w:val="auto"/>
        </w:rPr>
      </w:pPr>
    </w:p>
    <w:p>
      <w:pPr>
        <w:ind w:left="300" w:right="360" w:hanging="290"/>
        <w:spacing w:after="0" w:line="272" w:lineRule="auto"/>
        <w:tabs>
          <w:tab w:leader="none" w:pos="300"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Agreement dated 29 May 2003 between Halley Metals Iberica SA, Henry Bath and Son Limited, Sempra Metals Limited and Servicios Ecologicos Serveco SA.</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Section 2 – Notice Leases</w:t>
      </w:r>
    </w:p>
    <w:p>
      <w:pPr>
        <w:spacing w:after="0" w:line="183" w:lineRule="exact"/>
        <w:rPr>
          <w:sz w:val="20"/>
          <w:szCs w:val="20"/>
          <w:color w:val="auto"/>
        </w:rPr>
      </w:pPr>
    </w:p>
    <w:p>
      <w:pPr>
        <w:ind w:left="300" w:right="320" w:hanging="290"/>
        <w:spacing w:after="0" w:line="27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Logistics Services Agreement dated March 31, 2008 between Katoen Natie Midwest, Inc, and Henry Bath, LLC (as amended, renewed, supplemented or otherwise modified).</w:t>
      </w:r>
    </w:p>
    <w:p>
      <w:pPr>
        <w:spacing w:after="0" w:line="137" w:lineRule="exact"/>
        <w:rPr>
          <w:rFonts w:ascii="Arial" w:cs="Arial" w:eastAsia="Arial" w:hAnsi="Arial"/>
          <w:sz w:val="19"/>
          <w:szCs w:val="19"/>
          <w:i w:val="1"/>
          <w:iCs w:val="1"/>
          <w:color w:val="auto"/>
        </w:rPr>
      </w:pPr>
    </w:p>
    <w:p>
      <w:pPr>
        <w:ind w:left="300" w:right="220" w:hanging="290"/>
        <w:spacing w:after="0" w:line="27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Logistics Services Agreement dated November 2007, between Katoen Natie Singapore (Jurong) Pte. Ltd. and Henry Bath Singapore Pte Ltd (as amended, renewed, supplemented or otherwise modified).</w:t>
      </w:r>
    </w:p>
    <w:p>
      <w:pPr>
        <w:spacing w:after="0" w:line="125" w:lineRule="exact"/>
        <w:rPr>
          <w:rFonts w:ascii="Arial" w:cs="Arial" w:eastAsia="Arial" w:hAnsi="Arial"/>
          <w:sz w:val="19"/>
          <w:szCs w:val="19"/>
          <w:i w:val="1"/>
          <w:iCs w:val="1"/>
          <w:color w:val="auto"/>
        </w:rPr>
      </w:pPr>
    </w:p>
    <w:p>
      <w:pPr>
        <w:ind w:left="300" w:right="60" w:hanging="290"/>
        <w:spacing w:after="0" w:line="27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Tenancy Agreement dated January 1, 2008 between PSA Corporation Ltd. and Henry Bath Singapore Pte Ltd in respect of the premises at SB5, SB8 and SB9, Sembawang Wharves (as amended, renewed, supplemented or otherwise modified).</w:t>
      </w:r>
    </w:p>
    <w:p>
      <w:pPr>
        <w:spacing w:after="0" w:line="125" w:lineRule="exact"/>
        <w:rPr>
          <w:rFonts w:ascii="Arial" w:cs="Arial" w:eastAsia="Arial" w:hAnsi="Arial"/>
          <w:sz w:val="19"/>
          <w:szCs w:val="19"/>
          <w:i w:val="1"/>
          <w:iCs w:val="1"/>
          <w:color w:val="auto"/>
        </w:rPr>
      </w:pPr>
    </w:p>
    <w:p>
      <w:pPr>
        <w:ind w:left="300" w:right="160" w:hanging="290"/>
        <w:spacing w:after="0" w:line="27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Tenancy Agreement dated October 28, 2008 between PSA Corporation Ltd. and Henry Bath Singapore Pte Ltd in respect of the premises at SB8 Office Space, Sembawang Wharves (as amended, renewed, supplemented or otherwise modified).</w:t>
      </w:r>
    </w:p>
    <w:p>
      <w:pPr>
        <w:spacing w:after="0" w:line="137" w:lineRule="exact"/>
        <w:rPr>
          <w:rFonts w:ascii="Arial" w:cs="Arial" w:eastAsia="Arial" w:hAnsi="Arial"/>
          <w:sz w:val="19"/>
          <w:szCs w:val="19"/>
          <w:i w:val="1"/>
          <w:iCs w:val="1"/>
          <w:color w:val="auto"/>
        </w:rPr>
      </w:pPr>
    </w:p>
    <w:p>
      <w:pPr>
        <w:ind w:left="300" w:right="460" w:hanging="290"/>
        <w:spacing w:after="0" w:line="256"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Ad Hoc Space Agreement dated November 19, 2009 between PSA Corporation Ltd and Henry Bath Singapore Pte Ltd in respect of warehouse space at warehouse SB9, SB5, ST5, ST3, SO8, SO5A, SO8, Sembawang Wharves (as amended, renewed, supplemented or otherwise modified).</w:t>
      </w:r>
    </w:p>
    <w:p>
      <w:pPr>
        <w:spacing w:after="0" w:line="140" w:lineRule="exact"/>
        <w:rPr>
          <w:rFonts w:ascii="Arial" w:cs="Arial" w:eastAsia="Arial" w:hAnsi="Arial"/>
          <w:sz w:val="19"/>
          <w:szCs w:val="19"/>
          <w:i w:val="1"/>
          <w:iCs w:val="1"/>
          <w:color w:val="auto"/>
        </w:rPr>
      </w:pPr>
    </w:p>
    <w:p>
      <w:pPr>
        <w:ind w:left="300" w:right="400" w:hanging="290"/>
        <w:spacing w:after="0" w:line="27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Services Agreement dated January 5, 2009 between Indon Shipping Private Limited and Henry Bath Singapore Pte Ltd. (as amended, renewed, supplemented or otherwise modified).</w:t>
      </w:r>
    </w:p>
    <w:p>
      <w:pPr>
        <w:spacing w:after="0" w:line="137" w:lineRule="exact"/>
        <w:rPr>
          <w:rFonts w:ascii="Arial" w:cs="Arial" w:eastAsia="Arial" w:hAnsi="Arial"/>
          <w:sz w:val="19"/>
          <w:szCs w:val="19"/>
          <w:i w:val="1"/>
          <w:iCs w:val="1"/>
          <w:color w:val="auto"/>
        </w:rPr>
      </w:pPr>
    </w:p>
    <w:p>
      <w:pPr>
        <w:ind w:left="300" w:hanging="290"/>
        <w:spacing w:after="0"/>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KNS Warehouse C, Jurong Island, Singapore</w:t>
      </w:r>
    </w:p>
    <w:p>
      <w:pPr>
        <w:spacing w:after="0" w:line="183" w:lineRule="exact"/>
        <w:rPr>
          <w:rFonts w:ascii="Arial" w:cs="Arial" w:eastAsia="Arial" w:hAnsi="Arial"/>
          <w:sz w:val="19"/>
          <w:szCs w:val="19"/>
          <w:i w:val="1"/>
          <w:iCs w:val="1"/>
          <w:color w:val="auto"/>
        </w:rPr>
      </w:pPr>
    </w:p>
    <w:p>
      <w:pPr>
        <w:ind w:left="300" w:hanging="290"/>
        <w:spacing w:after="0"/>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JL10 KNS Metals – Jurong Outside, Jurong Island, Singapore</w:t>
      </w:r>
    </w:p>
    <w:p>
      <w:pPr>
        <w:spacing w:after="0" w:line="183" w:lineRule="exact"/>
        <w:rPr>
          <w:rFonts w:ascii="Arial" w:cs="Arial" w:eastAsia="Arial" w:hAnsi="Arial"/>
          <w:sz w:val="19"/>
          <w:szCs w:val="19"/>
          <w:i w:val="1"/>
          <w:iCs w:val="1"/>
          <w:color w:val="auto"/>
        </w:rPr>
      </w:pPr>
    </w:p>
    <w:p>
      <w:pPr>
        <w:ind w:left="300" w:hanging="290"/>
        <w:spacing w:after="0"/>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240 Waite Street, Indiana</w:t>
      </w:r>
    </w:p>
    <w:p>
      <w:pPr>
        <w:spacing w:after="0" w:line="195" w:lineRule="exact"/>
        <w:rPr>
          <w:rFonts w:ascii="Arial" w:cs="Arial" w:eastAsia="Arial" w:hAnsi="Arial"/>
          <w:sz w:val="19"/>
          <w:szCs w:val="19"/>
          <w:i w:val="1"/>
          <w:iCs w:val="1"/>
          <w:color w:val="auto"/>
        </w:rPr>
      </w:pPr>
    </w:p>
    <w:p>
      <w:pPr>
        <w:ind w:left="300" w:hanging="290"/>
        <w:spacing w:after="0" w:line="222" w:lineRule="auto"/>
        <w:tabs>
          <w:tab w:leader="none" w:pos="30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Lease Agreement dated March 2004 between Shanghai Telecom Co., Ltd. (Information World Branch) and Sempra Metals Far East Limited Shanghai Rep Office in respect of Unit No. 09, 29</w:t>
      </w:r>
      <w:r>
        <w:rPr>
          <w:rFonts w:ascii="Arial" w:cs="Arial" w:eastAsia="Arial" w:hAnsi="Arial"/>
          <w:sz w:val="32"/>
          <w:szCs w:val="32"/>
          <w:i w:val="1"/>
          <w:iCs w:val="1"/>
          <w:color w:val="auto"/>
          <w:vertAlign w:val="superscript"/>
        </w:rPr>
        <w:t>th</w:t>
      </w:r>
      <w:r>
        <w:rPr>
          <w:rFonts w:ascii="Arial" w:cs="Arial" w:eastAsia="Arial" w:hAnsi="Arial"/>
          <w:sz w:val="19"/>
          <w:szCs w:val="19"/>
          <w:i w:val="1"/>
          <w:iCs w:val="1"/>
          <w:color w:val="auto"/>
        </w:rPr>
        <w:t xml:space="preserve"> Floor, Shanghai Information Building (as amended, renewed, supplemented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730250</wp:posOffset>
            </wp:positionV>
            <wp:extent cx="23495" cy="850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120"/>
          </w:cols>
          <w:pgMar w:left="520" w:top="120"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9"/>
          <w:szCs w:val="19"/>
          <w:b w:val="1"/>
          <w:bCs w:val="1"/>
          <w:i w:val="1"/>
          <w:iCs w:val="1"/>
          <w:color w:val="auto"/>
        </w:rPr>
        <w:t>ANNEX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Schedule 7.12(a)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u w:val="single" w:color="auto"/>
          <w:color w:val="auto"/>
        </w:rPr>
        <w:t>Surviving Affiliate Agreements</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Any employment Contracts with officers or directors of the Seller Parties who are expected to be Combined Business Employees, except as otherwise provided under Section 7.5.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CTA Master Agreement and each of the agency agreements issued in connection therewith (as amended at Closing in connection with </w:t>
      </w:r>
      <w:r>
        <w:rPr>
          <w:rFonts w:ascii="Arial" w:cs="Arial" w:eastAsia="Arial" w:hAnsi="Arial"/>
          <w:sz w:val="16"/>
          <w:szCs w:val="16"/>
          <w:i w:val="1"/>
          <w:iCs w:val="1"/>
          <w:u w:val="single" w:color="auto"/>
          <w:color w:val="auto"/>
        </w:rPr>
        <w:t>Section 7.12(a)</w:t>
      </w:r>
      <w:r>
        <w:rPr>
          <w:rFonts w:ascii="Arial" w:cs="Arial" w:eastAsia="Arial" w:hAnsi="Arial"/>
          <w:sz w:val="16"/>
          <w:szCs w:val="16"/>
          <w:i w:val="1"/>
          <w:iCs w:val="1"/>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leases or deposits of gold or silver between RBS or its Subsidiaries, on the one hand, and any Transferred Company, on the other hand.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Uncommitted Financing</w:t>
      </w:r>
      <w:r>
        <w:rPr>
          <w:rFonts w:ascii="Arial" w:cs="Arial" w:eastAsia="Arial" w:hAnsi="Arial"/>
          <w:sz w:val="18"/>
          <w:szCs w:val="18"/>
          <w:i w:val="1"/>
          <w:iCs w:val="1"/>
          <w:color w:val="auto"/>
        </w:rPr>
        <w:t>:</w:t>
      </w:r>
      <w:r>
        <w:rPr>
          <w:rFonts w:ascii="Arial" w:cs="Arial" w:eastAsia="Arial" w:hAnsi="Arial"/>
          <w:sz w:val="29"/>
          <w:szCs w:val="29"/>
          <w:i w:val="1"/>
          <w:iCs w:val="1"/>
          <w:color w:val="auto"/>
          <w:vertAlign w:val="superscript"/>
        </w:rPr>
        <w:t>2</w:t>
      </w:r>
    </w:p>
    <w:p>
      <w:pPr>
        <w:spacing w:after="0" w:line="13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auto"/>
        </w:rPr>
        <w:t>Letter of Credit Reimbursement Agreement dated April 1, 2008, by and among RBS, the companies listed on the signature pages thereto and Australian and New Zealand Banking Group Limited</w:t>
      </w:r>
    </w:p>
    <w:p>
      <w:pPr>
        <w:spacing w:after="0" w:line="1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Letter of Credit Reimbursement Agreement dated November 3, 2008, by and among RBS, the companies listed on the signature pages thereto and DBS Bank Ltd London Branch</w:t>
      </w:r>
    </w:p>
    <w:p>
      <w:pPr>
        <w:spacing w:after="0" w:line="18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Letter of Credit Reimbursement Agreement dated December 17, 2007, by and among RBS, the companies listed on the signature pages thereto and ING Bank N.V. London Branch</w:t>
      </w:r>
    </w:p>
    <w:p>
      <w:pPr>
        <w:spacing w:after="0" w:line="18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Letter of Credit Reimbursement Agreement dated August 1, 2008, by and among RBS, the companies listed on the signature pages thereto and Cooperatieve Central Raiffeisen-Boerenleenbank B.A. (trading as Rabobank International and Rabobank Nederland)</w:t>
      </w:r>
    </w:p>
    <w:p>
      <w:pPr>
        <w:spacing w:after="0" w:line="1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Letter of Credit Reimbursement Agreement dated November 20, 2007, by and among RBS, the companies listed on the signature pages thereto and Standard Chartered Bank</w:t>
      </w:r>
    </w:p>
    <w:p>
      <w:pPr>
        <w:spacing w:after="0" w:line="18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i w:val="1"/>
          <w:iCs w:val="1"/>
          <w:color w:val="auto"/>
        </w:rPr>
        <w:t>Letter of Credit Reimbursement Agreement dated January 4, 2008, by and among RBS, the companies listed on the signature pages thereto and Sumitomo Mitsui Banking Corporation Europe Ltd.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Various Confirmations of Hedged Commodity Transaction between RBS plc and Standard Chartered Bank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Suspended but not terminated</w:t>
      </w:r>
      <w:r>
        <w:rPr>
          <w:rFonts w:ascii="Arial" w:cs="Arial" w:eastAsia="Arial" w:hAnsi="Arial"/>
          <w:sz w:val="18"/>
          <w:szCs w:val="18"/>
          <w:i w:val="1"/>
          <w:iCs w:val="1"/>
          <w:color w:val="auto"/>
        </w:rPr>
        <w:t xml:space="preserve">: </w:t>
      </w:r>
      <w:r>
        <w:rPr>
          <w:rFonts w:ascii="Arial" w:cs="Arial" w:eastAsia="Arial" w:hAnsi="Arial"/>
          <w:sz w:val="29"/>
          <w:szCs w:val="29"/>
          <w:i w:val="1"/>
          <w:iCs w:val="1"/>
          <w:color w:val="auto"/>
          <w:vertAlign w:val="superscript"/>
        </w:rPr>
        <w:t>3</w:t>
      </w:r>
    </w:p>
    <w:p>
      <w:pPr>
        <w:spacing w:after="0" w:line="13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Letter of Credit Reimbursement Agreement dated February 19, 2008, by and among RBS, the companies listed on the signature pages thereto and Bank of Tokyo-Mitsubishi UFJ Bank New York Branch</w:t>
      </w:r>
    </w:p>
    <w:p>
      <w:pPr>
        <w:spacing w:after="0" w:line="180"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i w:val="1"/>
          <w:iCs w:val="1"/>
          <w:color w:val="auto"/>
        </w:rPr>
        <w:t>Letter of Credit Reimbursement Agreement dated March 13, 2008, by and among RBS, the companies listed on the signature pages thereto and Mizuho Corporate Bank Limited</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Letter of Credit and Reimbursement Agreement dated as of November 3, 2008, by and among Sempra Energy Trading LLC and its affiliate companies listed on the signature pages thereto, including Sempra Oil Trading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457200</wp:posOffset>
            </wp:positionV>
            <wp:extent cx="23495" cy="85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440"/>
          </w:cols>
          <w:pgMar w:left="240" w:top="559"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9"/>
          <w:szCs w:val="19"/>
          <w:b w:val="1"/>
          <w:bCs w:val="1"/>
          <w:i w:val="1"/>
          <w:iCs w:val="1"/>
          <w:color w:val="auto"/>
        </w:rPr>
        <w:t>ANNEX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Schedule 1.1(f)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u w:val="single" w:color="auto"/>
          <w:color w:val="auto"/>
        </w:rPr>
        <w:t>Assigned IP Contracts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1.  OMS Wellpoint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623570</wp:posOffset>
            </wp:positionV>
            <wp:extent cx="23495" cy="850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440"/>
          </w:cols>
          <w:pgMar w:left="240" w:top="559"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9"/>
          <w:szCs w:val="19"/>
          <w:b w:val="1"/>
          <w:bCs w:val="1"/>
          <w:i w:val="1"/>
          <w:iCs w:val="1"/>
          <w:color w:val="auto"/>
        </w:rPr>
        <w:t>ANNEX D</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i w:val="1"/>
          <w:iCs w:val="1"/>
          <w:color w:val="auto"/>
        </w:rPr>
        <w:t>Schedule 1.1(u)</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i w:val="1"/>
          <w:iCs w:val="1"/>
          <w:u w:val="single" w:color="auto"/>
          <w:color w:val="auto"/>
        </w:rPr>
        <w:t>Adjustments Relating to Certain Accrued Liabilities</w:t>
      </w:r>
    </w:p>
    <w:p>
      <w:pPr>
        <w:spacing w:after="0" w:line="200" w:lineRule="exact"/>
        <w:rPr>
          <w:sz w:val="20"/>
          <w:szCs w:val="20"/>
          <w:color w:val="auto"/>
        </w:rPr>
      </w:pPr>
    </w:p>
    <w:p>
      <w:pPr>
        <w:spacing w:after="0" w:line="227" w:lineRule="exact"/>
        <w:rPr>
          <w:sz w:val="20"/>
          <w:szCs w:val="20"/>
          <w:color w:val="auto"/>
        </w:rPr>
      </w:pPr>
    </w:p>
    <w:p>
      <w:pPr>
        <w:jc w:val="both"/>
        <w:ind w:left="300" w:right="200" w:hanging="290"/>
        <w:spacing w:after="0" w:line="267" w:lineRule="auto"/>
        <w:tabs>
          <w:tab w:leader="none" w:pos="300" w:val="left"/>
        </w:tabs>
        <w:numPr>
          <w:ilvl w:val="0"/>
          <w:numId w:val="95"/>
        </w:numPr>
        <w:rPr>
          <w:rFonts w:ascii="Courier New" w:cs="Courier New" w:eastAsia="Courier New" w:hAnsi="Courier New"/>
          <w:sz w:val="18"/>
          <w:szCs w:val="18"/>
          <w:b w:val="1"/>
          <w:bCs w:val="1"/>
          <w:i w:val="1"/>
          <w:iCs w:val="1"/>
          <w:color w:val="auto"/>
        </w:rPr>
      </w:pPr>
      <w:r>
        <w:rPr>
          <w:rFonts w:ascii="Arial" w:cs="Arial" w:eastAsia="Arial" w:hAnsi="Arial"/>
          <w:sz w:val="18"/>
          <w:szCs w:val="18"/>
          <w:b w:val="1"/>
          <w:bCs w:val="1"/>
          <w:i w:val="1"/>
          <w:iCs w:val="1"/>
          <w:color w:val="auto"/>
        </w:rPr>
        <w:t xml:space="preserve">Compensation Adjustment - </w:t>
      </w:r>
      <w:r>
        <w:rPr>
          <w:rFonts w:ascii="Arial" w:cs="Arial" w:eastAsia="Arial" w:hAnsi="Arial"/>
          <w:sz w:val="18"/>
          <w:szCs w:val="18"/>
          <w:i w:val="1"/>
          <w:iCs w:val="1"/>
          <w:color w:val="auto"/>
        </w:rPr>
        <w:t>adjustment of approximately $9.5m to transfer compensation related accruals of the SET companies (other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than the Transferred Companies) which relate to employees transferring to the Combined Business. These adjustments are referenced in column “T” of the columnar spreadsheets included as part of the Estimated Closing Balance Sheet.</w:t>
      </w:r>
    </w:p>
    <w:p>
      <w:pPr>
        <w:spacing w:after="0" w:line="168" w:lineRule="exact"/>
        <w:rPr>
          <w:rFonts w:ascii="Courier New" w:cs="Courier New" w:eastAsia="Courier New" w:hAnsi="Courier New"/>
          <w:sz w:val="18"/>
          <w:szCs w:val="18"/>
          <w:b w:val="1"/>
          <w:bCs w:val="1"/>
          <w:i w:val="1"/>
          <w:iCs w:val="1"/>
          <w:color w:val="auto"/>
        </w:rPr>
      </w:pPr>
    </w:p>
    <w:p>
      <w:pPr>
        <w:ind w:left="300" w:right="260" w:hanging="290"/>
        <w:spacing w:after="0" w:line="247" w:lineRule="auto"/>
        <w:tabs>
          <w:tab w:leader="none" w:pos="300" w:val="left"/>
        </w:tabs>
        <w:numPr>
          <w:ilvl w:val="0"/>
          <w:numId w:val="95"/>
        </w:numPr>
        <w:rPr>
          <w:rFonts w:ascii="Courier New" w:cs="Courier New" w:eastAsia="Courier New" w:hAnsi="Courier New"/>
          <w:sz w:val="19"/>
          <w:szCs w:val="19"/>
          <w:b w:val="1"/>
          <w:bCs w:val="1"/>
          <w:i w:val="1"/>
          <w:iCs w:val="1"/>
          <w:color w:val="auto"/>
        </w:rPr>
      </w:pPr>
      <w:r>
        <w:rPr>
          <w:rFonts w:ascii="Arial" w:cs="Arial" w:eastAsia="Arial" w:hAnsi="Arial"/>
          <w:sz w:val="19"/>
          <w:szCs w:val="19"/>
          <w:b w:val="1"/>
          <w:bCs w:val="1"/>
          <w:i w:val="1"/>
          <w:iCs w:val="1"/>
          <w:color w:val="auto"/>
        </w:rPr>
        <w:t xml:space="preserve">Brokerage Fees – </w:t>
      </w:r>
      <w:r>
        <w:rPr>
          <w:rFonts w:ascii="Arial" w:cs="Arial" w:eastAsia="Arial" w:hAnsi="Arial"/>
          <w:sz w:val="19"/>
          <w:szCs w:val="19"/>
          <w:i w:val="1"/>
          <w:iCs w:val="1"/>
          <w:color w:val="auto"/>
        </w:rPr>
        <w:t>adjustment of approximately $1.9m to reclassify brokerage fee accruals of the SET companies (other than the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Transferred Companies) which relate to the operating activities of the Combined Business. These adjustments are referenced in column “X” of the columnar spreadsheets included as part of the Estimated Closing Balance Sheet.</w:t>
      </w:r>
    </w:p>
    <w:p>
      <w:pPr>
        <w:spacing w:after="0" w:line="172" w:lineRule="exact"/>
        <w:rPr>
          <w:rFonts w:ascii="Courier New" w:cs="Courier New" w:eastAsia="Courier New" w:hAnsi="Courier New"/>
          <w:sz w:val="19"/>
          <w:szCs w:val="19"/>
          <w:b w:val="1"/>
          <w:bCs w:val="1"/>
          <w:i w:val="1"/>
          <w:iCs w:val="1"/>
          <w:color w:val="auto"/>
        </w:rPr>
      </w:pPr>
    </w:p>
    <w:p>
      <w:pPr>
        <w:jc w:val="both"/>
        <w:ind w:left="300" w:right="280" w:hanging="290"/>
        <w:spacing w:after="0" w:line="247" w:lineRule="auto"/>
        <w:tabs>
          <w:tab w:leader="none" w:pos="300" w:val="left"/>
        </w:tabs>
        <w:numPr>
          <w:ilvl w:val="0"/>
          <w:numId w:val="95"/>
        </w:numPr>
        <w:rPr>
          <w:rFonts w:ascii="Courier New" w:cs="Courier New" w:eastAsia="Courier New" w:hAnsi="Courier New"/>
          <w:sz w:val="19"/>
          <w:szCs w:val="19"/>
          <w:b w:val="1"/>
          <w:bCs w:val="1"/>
          <w:i w:val="1"/>
          <w:iCs w:val="1"/>
          <w:color w:val="auto"/>
        </w:rPr>
      </w:pPr>
      <w:r>
        <w:rPr>
          <w:rFonts w:ascii="Arial" w:cs="Arial" w:eastAsia="Arial" w:hAnsi="Arial"/>
          <w:sz w:val="19"/>
          <w:szCs w:val="19"/>
          <w:b w:val="1"/>
          <w:bCs w:val="1"/>
          <w:i w:val="1"/>
          <w:iCs w:val="1"/>
          <w:color w:val="auto"/>
        </w:rPr>
        <w:t xml:space="preserve">Rent Adjustment – </w:t>
      </w:r>
      <w:r>
        <w:rPr>
          <w:rFonts w:ascii="Arial" w:cs="Arial" w:eastAsia="Arial" w:hAnsi="Arial"/>
          <w:sz w:val="19"/>
          <w:szCs w:val="19"/>
          <w:i w:val="1"/>
          <w:iCs w:val="1"/>
          <w:color w:val="auto"/>
        </w:rPr>
        <w:t>adjustment of approximately $0.2m to adjust accruals for rent escalation related to the 83 Harvard Avenue property</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from the SET balance sheet to the Combined Business. These adjustments are referenced in column “M” of the columnar spreadsheets included as part of the Estimated Closing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601345</wp:posOffset>
            </wp:positionV>
            <wp:extent cx="23495" cy="850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160"/>
          </w:cols>
          <w:pgMar w:left="520" w:top="559"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9"/>
          <w:szCs w:val="19"/>
          <w:b w:val="1"/>
          <w:bCs w:val="1"/>
          <w:i w:val="1"/>
          <w:iCs w:val="1"/>
          <w:color w:val="auto"/>
        </w:rPr>
        <w:t>ANNEX E</w:t>
      </w:r>
    </w:p>
    <w:p>
      <w:pPr>
        <w:spacing w:after="0" w:line="220"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i w:val="1"/>
          <w:iCs w:val="1"/>
          <w:color w:val="auto"/>
        </w:rPr>
        <w:t>Schedule 1.1(v)</w:t>
      </w:r>
    </w:p>
    <w:p>
      <w:pPr>
        <w:spacing w:after="0" w:line="220"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i w:val="1"/>
          <w:iCs w:val="1"/>
          <w:u w:val="single" w:color="auto"/>
          <w:color w:val="auto"/>
        </w:rPr>
        <w:t>Adjustments Relating to SET Assigned Trading Agreements</w:t>
      </w:r>
    </w:p>
    <w:p>
      <w:pPr>
        <w:spacing w:after="0" w:line="255" w:lineRule="exact"/>
        <w:rPr>
          <w:sz w:val="20"/>
          <w:szCs w:val="20"/>
          <w:color w:val="auto"/>
        </w:rPr>
      </w:pPr>
    </w:p>
    <w:p>
      <w:pPr>
        <w:jc w:val="center"/>
        <w:ind w:right="337"/>
        <w:spacing w:after="0"/>
        <w:rPr>
          <w:sz w:val="20"/>
          <w:szCs w:val="20"/>
          <w:color w:val="auto"/>
        </w:rPr>
      </w:pPr>
      <w:r>
        <w:rPr>
          <w:rFonts w:ascii="Arial" w:cs="Arial" w:eastAsia="Arial" w:hAnsi="Arial"/>
          <w:sz w:val="16"/>
          <w:szCs w:val="16"/>
          <w:b w:val="1"/>
          <w:bCs w:val="1"/>
          <w:u w:val="single" w:color="auto"/>
          <w:color w:val="auto"/>
        </w:rPr>
        <w:t>European gas and power Commodity Transactions</w:t>
      </w:r>
    </w:p>
    <w:p>
      <w:pPr>
        <w:spacing w:after="0" w:line="51" w:lineRule="exact"/>
        <w:rPr>
          <w:sz w:val="20"/>
          <w:szCs w:val="20"/>
          <w:color w:val="auto"/>
        </w:rPr>
      </w:pPr>
    </w:p>
    <w:tbl>
      <w:tblPr>
        <w:tblLayout w:type="fixed"/>
        <w:tblInd w:w="3583" w:type="dxa"/>
        <w:tblCellMar>
          <w:top w:w="0" w:type="dxa"/>
          <w:left w:w="0" w:type="dxa"/>
          <w:bottom w:w="0" w:type="dxa"/>
          <w:right w:w="0" w:type="dxa"/>
        </w:tblCellMar>
      </w:tblPr>
      <w:tr>
        <w:trPr>
          <w:trHeight w:val="188"/>
        </w:trPr>
        <w:tc>
          <w:tcPr>
            <w:tcW w:w="1120" w:type="dxa"/>
            <w:vAlign w:val="bottom"/>
            <w:shd w:val="clear" w:color="auto" w:fill="000080"/>
          </w:tcPr>
          <w:p>
            <w:pPr>
              <w:ind w:left="260"/>
              <w:spacing w:after="0"/>
              <w:rPr>
                <w:sz w:val="20"/>
                <w:szCs w:val="20"/>
                <w:color w:val="auto"/>
              </w:rPr>
            </w:pPr>
            <w:r>
              <w:rPr>
                <w:rFonts w:ascii="Arial" w:cs="Arial" w:eastAsia="Arial" w:hAnsi="Arial"/>
                <w:sz w:val="16"/>
                <w:szCs w:val="16"/>
                <w:b w:val="1"/>
                <w:bCs w:val="1"/>
                <w:color w:val="FFFFFF"/>
              </w:rPr>
              <w:t>Company</w:t>
            </w:r>
          </w:p>
        </w:tc>
        <w:tc>
          <w:tcPr>
            <w:tcW w:w="1860" w:type="dxa"/>
            <w:vAlign w:val="bottom"/>
            <w:shd w:val="clear" w:color="auto" w:fill="000080"/>
          </w:tcPr>
          <w:p>
            <w:pPr>
              <w:ind w:left="480"/>
              <w:spacing w:after="0"/>
              <w:rPr>
                <w:sz w:val="20"/>
                <w:szCs w:val="20"/>
                <w:color w:val="auto"/>
              </w:rPr>
            </w:pPr>
            <w:r>
              <w:rPr>
                <w:rFonts w:ascii="Arial" w:cs="Arial" w:eastAsia="Arial" w:hAnsi="Arial"/>
                <w:sz w:val="16"/>
                <w:szCs w:val="16"/>
                <w:b w:val="1"/>
                <w:bCs w:val="1"/>
                <w:color w:val="FFFFFF"/>
              </w:rPr>
              <w:t>Counterparty</w:t>
            </w:r>
          </w:p>
        </w:tc>
        <w:tc>
          <w:tcPr>
            <w:tcW w:w="1300" w:type="dxa"/>
            <w:vAlign w:val="bottom"/>
            <w:shd w:val="clear" w:color="auto" w:fill="000080"/>
          </w:tcPr>
          <w:p>
            <w:pPr>
              <w:jc w:val="right"/>
              <w:ind w:right="259"/>
              <w:spacing w:after="0"/>
              <w:rPr>
                <w:sz w:val="20"/>
                <w:szCs w:val="20"/>
                <w:color w:val="auto"/>
              </w:rPr>
            </w:pPr>
            <w:r>
              <w:rPr>
                <w:rFonts w:ascii="Arial" w:cs="Arial" w:eastAsia="Arial" w:hAnsi="Arial"/>
                <w:sz w:val="16"/>
                <w:szCs w:val="16"/>
                <w:b w:val="1"/>
                <w:bCs w:val="1"/>
                <w:color w:val="FFFFFF"/>
              </w:rPr>
              <w:t>Ticket #</w:t>
            </w:r>
          </w:p>
        </w:tc>
      </w:tr>
      <w:tr>
        <w:trPr>
          <w:trHeight w:val="425"/>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ACCORD EGY</w:t>
            </w:r>
          </w:p>
        </w:tc>
        <w:tc>
          <w:tcPr>
            <w:tcW w:w="1300" w:type="dxa"/>
            <w:vAlign w:val="bottom"/>
          </w:tcPr>
          <w:p>
            <w:pPr>
              <w:jc w:val="right"/>
              <w:spacing w:after="0"/>
              <w:rPr>
                <w:sz w:val="20"/>
                <w:szCs w:val="20"/>
                <w:color w:val="auto"/>
              </w:rPr>
            </w:pPr>
            <w:r>
              <w:rPr>
                <w:rFonts w:ascii="Arial" w:cs="Arial" w:eastAsia="Arial" w:hAnsi="Arial"/>
                <w:sz w:val="16"/>
                <w:szCs w:val="16"/>
                <w:color w:val="auto"/>
              </w:rPr>
              <w:t>137884330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BANQUE PAR</w:t>
            </w:r>
          </w:p>
        </w:tc>
        <w:tc>
          <w:tcPr>
            <w:tcW w:w="1300" w:type="dxa"/>
            <w:vAlign w:val="bottom"/>
          </w:tcPr>
          <w:p>
            <w:pPr>
              <w:jc w:val="right"/>
              <w:spacing w:after="0"/>
              <w:rPr>
                <w:sz w:val="20"/>
                <w:szCs w:val="20"/>
                <w:color w:val="auto"/>
              </w:rPr>
            </w:pPr>
            <w:r>
              <w:rPr>
                <w:rFonts w:ascii="Arial" w:cs="Arial" w:eastAsia="Arial" w:hAnsi="Arial"/>
                <w:sz w:val="16"/>
                <w:szCs w:val="16"/>
                <w:color w:val="auto"/>
              </w:rPr>
              <w:t>135950570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BANQUE PAR</w:t>
            </w:r>
          </w:p>
        </w:tc>
        <w:tc>
          <w:tcPr>
            <w:tcW w:w="1300" w:type="dxa"/>
            <w:vAlign w:val="bottom"/>
          </w:tcPr>
          <w:p>
            <w:pPr>
              <w:jc w:val="right"/>
              <w:spacing w:after="0"/>
              <w:rPr>
                <w:sz w:val="20"/>
                <w:szCs w:val="20"/>
                <w:color w:val="auto"/>
              </w:rPr>
            </w:pPr>
            <w:r>
              <w:rPr>
                <w:rFonts w:ascii="Arial" w:cs="Arial" w:eastAsia="Arial" w:hAnsi="Arial"/>
                <w:sz w:val="16"/>
                <w:szCs w:val="16"/>
                <w:color w:val="auto"/>
              </w:rPr>
              <w:t>135950700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EDFTL</w:t>
            </w:r>
          </w:p>
        </w:tc>
        <w:tc>
          <w:tcPr>
            <w:tcW w:w="1300" w:type="dxa"/>
            <w:vAlign w:val="bottom"/>
          </w:tcPr>
          <w:p>
            <w:pPr>
              <w:jc w:val="right"/>
              <w:spacing w:after="0"/>
              <w:rPr>
                <w:sz w:val="20"/>
                <w:szCs w:val="20"/>
                <w:color w:val="auto"/>
              </w:rPr>
            </w:pPr>
            <w:r>
              <w:rPr>
                <w:rFonts w:ascii="Arial" w:cs="Arial" w:eastAsia="Arial" w:hAnsi="Arial"/>
                <w:sz w:val="16"/>
                <w:szCs w:val="16"/>
                <w:color w:val="auto"/>
              </w:rPr>
              <w:t>136258470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EDFTL</w:t>
            </w:r>
          </w:p>
        </w:tc>
        <w:tc>
          <w:tcPr>
            <w:tcW w:w="1300" w:type="dxa"/>
            <w:vAlign w:val="bottom"/>
          </w:tcPr>
          <w:p>
            <w:pPr>
              <w:jc w:val="right"/>
              <w:spacing w:after="0"/>
              <w:rPr>
                <w:sz w:val="20"/>
                <w:szCs w:val="20"/>
                <w:color w:val="auto"/>
              </w:rPr>
            </w:pPr>
            <w:r>
              <w:rPr>
                <w:rFonts w:ascii="Arial" w:cs="Arial" w:eastAsia="Arial" w:hAnsi="Arial"/>
                <w:sz w:val="16"/>
                <w:szCs w:val="16"/>
                <w:color w:val="auto"/>
              </w:rPr>
              <w:t>136258550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ELECTRABEL</w:t>
            </w:r>
          </w:p>
        </w:tc>
        <w:tc>
          <w:tcPr>
            <w:tcW w:w="1300" w:type="dxa"/>
            <w:vAlign w:val="bottom"/>
          </w:tcPr>
          <w:p>
            <w:pPr>
              <w:jc w:val="right"/>
              <w:spacing w:after="0"/>
              <w:rPr>
                <w:sz w:val="20"/>
                <w:szCs w:val="20"/>
                <w:color w:val="auto"/>
              </w:rPr>
            </w:pPr>
            <w:r>
              <w:rPr>
                <w:rFonts w:ascii="Arial" w:cs="Arial" w:eastAsia="Arial" w:hAnsi="Arial"/>
                <w:sz w:val="16"/>
                <w:szCs w:val="16"/>
                <w:color w:val="auto"/>
              </w:rPr>
              <w:t>128303890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KOCHCEL</w:t>
            </w:r>
          </w:p>
        </w:tc>
        <w:tc>
          <w:tcPr>
            <w:tcW w:w="1300" w:type="dxa"/>
            <w:vAlign w:val="bottom"/>
          </w:tcPr>
          <w:p>
            <w:pPr>
              <w:jc w:val="right"/>
              <w:spacing w:after="0"/>
              <w:rPr>
                <w:sz w:val="20"/>
                <w:szCs w:val="20"/>
                <w:color w:val="auto"/>
              </w:rPr>
            </w:pPr>
            <w:r>
              <w:rPr>
                <w:rFonts w:ascii="Arial" w:cs="Arial" w:eastAsia="Arial" w:hAnsi="Arial"/>
                <w:sz w:val="16"/>
                <w:szCs w:val="16"/>
                <w:color w:val="auto"/>
              </w:rPr>
              <w:t>137884380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128304390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128312900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129421440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129422290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135951070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136252880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136258030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137884580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137884590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137884600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NEWEDGE</w:t>
            </w:r>
          </w:p>
        </w:tc>
        <w:tc>
          <w:tcPr>
            <w:tcW w:w="1300" w:type="dxa"/>
            <w:vAlign w:val="bottom"/>
          </w:tcPr>
          <w:p>
            <w:pPr>
              <w:jc w:val="right"/>
              <w:spacing w:after="0"/>
              <w:rPr>
                <w:sz w:val="20"/>
                <w:szCs w:val="20"/>
                <w:color w:val="auto"/>
              </w:rPr>
            </w:pPr>
            <w:r>
              <w:rPr>
                <w:rFonts w:ascii="Arial" w:cs="Arial" w:eastAsia="Arial" w:hAnsi="Arial"/>
                <w:sz w:val="16"/>
                <w:szCs w:val="16"/>
                <w:color w:val="auto"/>
              </w:rPr>
              <w:t>137911520</w:t>
            </w:r>
          </w:p>
        </w:tc>
      </w:tr>
      <w:tr>
        <w:trPr>
          <w:trHeight w:val="426"/>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128313360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129186930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129421960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136246990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136247160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137911110</w:t>
            </w:r>
          </w:p>
        </w:tc>
      </w:tr>
      <w:tr>
        <w:trPr>
          <w:trHeight w:val="207"/>
        </w:trPr>
        <w:tc>
          <w:tcPr>
            <w:tcW w:w="1120" w:type="dxa"/>
            <w:vAlign w:val="bottom"/>
          </w:tcPr>
          <w:p>
            <w:pPr>
              <w:spacing w:after="0"/>
              <w:rPr>
                <w:sz w:val="20"/>
                <w:szCs w:val="20"/>
                <w:color w:val="auto"/>
              </w:rPr>
            </w:pPr>
            <w:r>
              <w:rPr>
                <w:rFonts w:ascii="Arial" w:cs="Arial" w:eastAsia="Arial" w:hAnsi="Arial"/>
                <w:sz w:val="16"/>
                <w:szCs w:val="16"/>
                <w:color w:val="auto"/>
              </w:rPr>
              <w:t>RBS SEEL</w:t>
            </w:r>
          </w:p>
        </w:tc>
        <w:tc>
          <w:tcPr>
            <w:tcW w:w="1860" w:type="dxa"/>
            <w:vAlign w:val="bottom"/>
          </w:tcPr>
          <w:p>
            <w:pPr>
              <w:ind w:left="140"/>
              <w:spacing w:after="0"/>
              <w:rPr>
                <w:sz w:val="20"/>
                <w:szCs w:val="20"/>
                <w:color w:val="auto"/>
              </w:rPr>
            </w:pPr>
            <w:r>
              <w:rPr>
                <w:rFonts w:ascii="Arial" w:cs="Arial" w:eastAsia="Arial" w:hAnsi="Arial"/>
                <w:sz w:val="16"/>
                <w:szCs w:val="16"/>
                <w:color w:val="auto"/>
              </w:rPr>
              <w:t>RWE GMBH</w:t>
            </w:r>
          </w:p>
        </w:tc>
        <w:tc>
          <w:tcPr>
            <w:tcW w:w="1300" w:type="dxa"/>
            <w:vAlign w:val="bottom"/>
          </w:tcPr>
          <w:p>
            <w:pPr>
              <w:jc w:val="right"/>
              <w:spacing w:after="0"/>
              <w:rPr>
                <w:sz w:val="20"/>
                <w:szCs w:val="20"/>
                <w:color w:val="auto"/>
              </w:rPr>
            </w:pPr>
            <w:r>
              <w:rPr>
                <w:rFonts w:ascii="Arial" w:cs="Arial" w:eastAsia="Arial" w:hAnsi="Arial"/>
                <w:sz w:val="16"/>
                <w:szCs w:val="16"/>
                <w:color w:val="auto"/>
              </w:rPr>
              <w:t>137911220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
        <w:spacing w:after="0"/>
        <w:rPr>
          <w:sz w:val="20"/>
          <w:szCs w:val="20"/>
          <w:color w:val="auto"/>
        </w:rPr>
      </w:pPr>
      <w:r>
        <w:rPr>
          <w:rFonts w:ascii="Arial" w:cs="Arial" w:eastAsia="Arial" w:hAnsi="Arial"/>
          <w:sz w:val="39"/>
          <w:szCs w:val="39"/>
          <w:b w:val="1"/>
          <w:bCs w:val="1"/>
          <w:i w:val="1"/>
          <w:iCs w:val="1"/>
          <w:color w:val="auto"/>
        </w:rPr>
        <w:t>Footnotes</w:t>
      </w:r>
    </w:p>
    <w:p>
      <w:pPr>
        <w:spacing w:after="0" w:line="219" w:lineRule="exact"/>
        <w:rPr>
          <w:sz w:val="20"/>
          <w:szCs w:val="20"/>
          <w:color w:val="auto"/>
        </w:rPr>
      </w:pPr>
    </w:p>
    <w:p>
      <w:pPr>
        <w:ind w:left="123" w:hanging="123"/>
        <w:spacing w:after="0"/>
        <w:tabs>
          <w:tab w:leader="none" w:pos="123" w:val="left"/>
        </w:tabs>
        <w:numPr>
          <w:ilvl w:val="0"/>
          <w:numId w:val="96"/>
        </w:numPr>
        <w:rPr>
          <w:rFonts w:ascii="Arial" w:cs="Arial" w:eastAsia="Arial" w:hAnsi="Arial"/>
          <w:sz w:val="32"/>
          <w:szCs w:val="32"/>
          <w:i w:val="1"/>
          <w:iCs w:val="1"/>
          <w:color w:val="auto"/>
          <w:vertAlign w:val="superscript"/>
        </w:rPr>
      </w:pPr>
      <w:r>
        <w:rPr>
          <w:rFonts w:ascii="Arial" w:cs="Arial" w:eastAsia="Arial" w:hAnsi="Arial"/>
          <w:sz w:val="19"/>
          <w:szCs w:val="19"/>
          <w:i w:val="1"/>
          <w:iCs w:val="1"/>
          <w:color w:val="auto"/>
        </w:rPr>
        <w:t>Includes overlandlord consent.</w:t>
      </w:r>
    </w:p>
    <w:p>
      <w:pPr>
        <w:spacing w:after="0" w:line="169" w:lineRule="exact"/>
        <w:rPr>
          <w:sz w:val="20"/>
          <w:szCs w:val="20"/>
          <w:color w:val="auto"/>
        </w:rPr>
      </w:pPr>
    </w:p>
    <w:p>
      <w:pPr>
        <w:ind w:left="583" w:right="60" w:hanging="583"/>
        <w:spacing w:after="0" w:line="247" w:lineRule="auto"/>
        <w:tabs>
          <w:tab w:leader="none" w:pos="583" w:val="left"/>
        </w:tabs>
        <w:numPr>
          <w:ilvl w:val="0"/>
          <w:numId w:val="97"/>
        </w:numPr>
        <w:rPr>
          <w:rFonts w:ascii="Arial" w:cs="Arial" w:eastAsia="Arial" w:hAnsi="Arial"/>
          <w:sz w:val="16"/>
          <w:szCs w:val="16"/>
          <w:i w:val="1"/>
          <w:iCs w:val="1"/>
          <w:color w:val="auto"/>
        </w:rPr>
      </w:pPr>
      <w:r>
        <w:rPr>
          <w:rFonts w:ascii="Arial" w:cs="Arial" w:eastAsia="Arial" w:hAnsi="Arial"/>
          <w:sz w:val="18"/>
          <w:szCs w:val="18"/>
          <w:i w:val="1"/>
          <w:iCs w:val="1"/>
          <w:color w:val="auto"/>
        </w:rPr>
        <w:t>Provided that none of the Transferred Companies shall be allowed to draw upon the letters of credit thereunder after the Closing and all fee letters and other agreements relating to the facilities described on this Schedule between any Transferred Company and the letter of credit issuing banks, if any, shall be terminated on or prior to the Closing.</w:t>
      </w:r>
    </w:p>
    <w:p>
      <w:pPr>
        <w:spacing w:after="0" w:line="2" w:lineRule="exact"/>
        <w:rPr>
          <w:sz w:val="20"/>
          <w:szCs w:val="20"/>
          <w:color w:val="auto"/>
        </w:rPr>
      </w:pPr>
    </w:p>
    <w:p>
      <w:pPr>
        <w:ind w:left="583" w:right="60" w:hanging="583"/>
        <w:spacing w:after="0" w:line="247" w:lineRule="auto"/>
        <w:tabs>
          <w:tab w:leader="none" w:pos="583" w:val="left"/>
        </w:tabs>
        <w:numPr>
          <w:ilvl w:val="0"/>
          <w:numId w:val="98"/>
        </w:numPr>
        <w:rPr>
          <w:rFonts w:ascii="Arial" w:cs="Arial" w:eastAsia="Arial" w:hAnsi="Arial"/>
          <w:sz w:val="16"/>
          <w:szCs w:val="16"/>
          <w:i w:val="1"/>
          <w:iCs w:val="1"/>
          <w:color w:val="auto"/>
        </w:rPr>
      </w:pPr>
      <w:r>
        <w:rPr>
          <w:rFonts w:ascii="Arial" w:cs="Arial" w:eastAsia="Arial" w:hAnsi="Arial"/>
          <w:sz w:val="18"/>
          <w:szCs w:val="18"/>
          <w:i w:val="1"/>
          <w:iCs w:val="1"/>
          <w:color w:val="auto"/>
        </w:rPr>
        <w:t>Provided that none of the Transferred Companies shall be allowed to draw upon the letters of credit thereunder after the Closing and all fee letters and other agreements relating to the facilities described on this Schedule between any Transferred Company and the letter of credit issuing banks, if any, shall be terminated on or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326390</wp:posOffset>
            </wp:positionV>
            <wp:extent cx="23495" cy="85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495" cy="85090"/>
                    </a:xfrm>
                    <a:prstGeom prst="rect">
                      <a:avLst/>
                    </a:prstGeom>
                    <a:noFill/>
                  </pic:spPr>
                </pic:pic>
              </a:graphicData>
            </a:graphic>
          </wp:anchor>
        </w:drawing>
      </w:r>
    </w:p>
    <w:p>
      <w:pPr>
        <w:sectPr>
          <w:pgSz w:w="11900" w:h="16838" w:orient="portrait"/>
          <w:cols w:equalWidth="0" w:num="1">
            <w:col w:w="11443"/>
          </w:cols>
          <w:pgMar w:left="237" w:top="559" w:right="21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22"/>
          <w:szCs w:val="22"/>
          <w:b w:val="1"/>
          <w:bCs w:val="1"/>
          <w:i w:val="1"/>
          <w:iCs w:val="1"/>
          <w:color w:val="auto"/>
        </w:rPr>
        <w:t>SEMPRA ENERGY</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2008 LONG TERM INCENTIVE PLAN</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2010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59690</wp:posOffset>
            </wp:positionV>
            <wp:extent cx="5172710" cy="31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72710" cy="3111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121920</wp:posOffset>
            </wp:positionV>
            <wp:extent cx="5172710" cy="31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72710" cy="31115"/>
                    </a:xfrm>
                    <a:prstGeom prst="rect">
                      <a:avLst/>
                    </a:prstGeom>
                    <a:noFill/>
                  </pic:spPr>
                </pic:pic>
              </a:graphicData>
            </a:graphic>
          </wp:anchor>
        </w:drawing>
      </w:r>
    </w:p>
    <w:p>
      <w:pPr>
        <w:spacing w:after="0" w:line="322" w:lineRule="exact"/>
        <w:rPr>
          <w:sz w:val="20"/>
          <w:szCs w:val="20"/>
          <w:color w:val="auto"/>
        </w:rPr>
      </w:pPr>
    </w:p>
    <w:p>
      <w:pPr>
        <w:ind w:left="460" w:right="439"/>
        <w:spacing w:after="0" w:line="264" w:lineRule="auto"/>
        <w:rPr>
          <w:sz w:val="20"/>
          <w:szCs w:val="20"/>
          <w:color w:val="auto"/>
        </w:rPr>
      </w:pPr>
      <w:r>
        <w:rPr>
          <w:rFonts w:ascii="Arial" w:cs="Arial" w:eastAsia="Arial" w:hAnsi="Arial"/>
          <w:sz w:val="16"/>
          <w:szCs w:val="16"/>
          <w:color w:val="auto"/>
        </w:rPr>
        <w:t>You have been granted a restricted stock unit award representing the right to receive one share of Sempra Energy Common Stock (together with reinvested dividend equivalents) for each unit, subject to the vesting conditions set forth below. The restricted stock units, and reinvested dividend equivalents, may not be sold or assigned and will be subject to forfeiture unless and until they vest on May 12, 2011. Shares of Common Stock will be distributed to you when the restricted stock units vest under the terms and conditions of your award.</w:t>
      </w:r>
    </w:p>
    <w:p>
      <w:pPr>
        <w:spacing w:after="0" w:line="157" w:lineRule="exact"/>
        <w:rPr>
          <w:sz w:val="20"/>
          <w:szCs w:val="20"/>
          <w:color w:val="auto"/>
        </w:rPr>
      </w:pPr>
    </w:p>
    <w:p>
      <w:pPr>
        <w:ind w:left="460" w:right="639"/>
        <w:spacing w:after="0" w:line="264" w:lineRule="auto"/>
        <w:rPr>
          <w:sz w:val="20"/>
          <w:szCs w:val="20"/>
          <w:color w:val="auto"/>
        </w:rPr>
      </w:pPr>
      <w:r>
        <w:rPr>
          <w:rFonts w:ascii="Arial" w:cs="Arial" w:eastAsia="Arial" w:hAnsi="Arial"/>
          <w:sz w:val="17"/>
          <w:szCs w:val="17"/>
          <w:i w:val="1"/>
          <w:iCs w:val="1"/>
          <w:color w:val="auto"/>
        </w:rPr>
        <w:t>The terms and conditions of your award are set forth herein and in the prospectus for the Sempra Energy 2008 Long Term Incentive Plan, which is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133985</wp:posOffset>
            </wp:positionV>
            <wp:extent cx="51727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72710" cy="762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149225</wp:posOffset>
            </wp:positionV>
            <wp:extent cx="51727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72710"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7"/>
                <w:szCs w:val="17"/>
                <w:b w:val="1"/>
                <w:bCs w:val="1"/>
                <w:color w:val="auto"/>
              </w:rPr>
              <w:t>Date of Award:</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w w:val="98"/>
              </w:rPr>
              <w:t>May 12, 2010</w:t>
            </w:r>
          </w:p>
        </w:tc>
      </w:tr>
      <w:tr>
        <w:trPr>
          <w:trHeight w:val="304"/>
        </w:trPr>
        <w:tc>
          <w:tcPr>
            <w:tcW w:w="2640" w:type="dxa"/>
            <w:vAlign w:val="bottom"/>
          </w:tcPr>
          <w:p>
            <w:pPr>
              <w:spacing w:after="0"/>
              <w:rPr>
                <w:sz w:val="20"/>
                <w:szCs w:val="20"/>
                <w:color w:val="auto"/>
              </w:rPr>
            </w:pPr>
            <w:r>
              <w:rPr>
                <w:rFonts w:ascii="Arial" w:cs="Arial" w:eastAsia="Arial" w:hAnsi="Arial"/>
                <w:sz w:val="17"/>
                <w:szCs w:val="17"/>
                <w:b w:val="1"/>
                <w:bCs w:val="1"/>
                <w:color w:val="auto"/>
              </w:rPr>
              <w:t>Name of Recipient:</w:t>
            </w:r>
          </w:p>
        </w:tc>
        <w:tc>
          <w:tcPr>
            <w:tcW w:w="1040" w:type="dxa"/>
            <w:vAlign w:val="bottom"/>
          </w:tcPr>
          <w:p>
            <w:pPr>
              <w:spacing w:after="0"/>
              <w:rPr>
                <w:sz w:val="24"/>
                <w:szCs w:val="24"/>
                <w:color w:val="auto"/>
              </w:rPr>
            </w:pPr>
          </w:p>
        </w:tc>
      </w:tr>
      <w:tr>
        <w:trPr>
          <w:trHeight w:val="279"/>
        </w:trPr>
        <w:tc>
          <w:tcPr>
            <w:tcW w:w="2640" w:type="dxa"/>
            <w:vAlign w:val="bottom"/>
          </w:tcPr>
          <w:p>
            <w:pPr>
              <w:spacing w:after="0"/>
              <w:rPr>
                <w:sz w:val="20"/>
                <w:szCs w:val="20"/>
                <w:color w:val="auto"/>
              </w:rPr>
            </w:pPr>
            <w:r>
              <w:rPr>
                <w:rFonts w:ascii="Arial" w:cs="Arial" w:eastAsia="Arial" w:hAnsi="Arial"/>
                <w:sz w:val="17"/>
                <w:szCs w:val="17"/>
                <w:b w:val="1"/>
                <w:bCs w:val="1"/>
                <w:color w:val="auto"/>
                <w:w w:val="96"/>
              </w:rPr>
              <w:t>Number of Restricted Stock Units</w:t>
            </w:r>
          </w:p>
        </w:tc>
        <w:tc>
          <w:tcPr>
            <w:tcW w:w="1040" w:type="dxa"/>
            <w:vAlign w:val="bottom"/>
          </w:tcPr>
          <w:p>
            <w:pPr>
              <w:spacing w:after="0"/>
              <w:rPr>
                <w:sz w:val="24"/>
                <w:szCs w:val="24"/>
                <w:color w:val="auto"/>
              </w:rPr>
            </w:pPr>
          </w:p>
        </w:tc>
      </w:tr>
      <w:tr>
        <w:trPr>
          <w:trHeight w:val="195"/>
        </w:trPr>
        <w:tc>
          <w:tcPr>
            <w:tcW w:w="2640" w:type="dxa"/>
            <w:vAlign w:val="bottom"/>
          </w:tcPr>
          <w:p>
            <w:pPr>
              <w:spacing w:after="0"/>
              <w:rPr>
                <w:sz w:val="20"/>
                <w:szCs w:val="20"/>
                <w:color w:val="auto"/>
              </w:rPr>
            </w:pPr>
            <w:r>
              <w:rPr>
                <w:rFonts w:ascii="Arial" w:cs="Arial" w:eastAsia="Arial" w:hAnsi="Arial"/>
                <w:sz w:val="17"/>
                <w:szCs w:val="17"/>
                <w:b w:val="1"/>
                <w:bCs w:val="1"/>
                <w:color w:val="auto"/>
                <w:w w:val="99"/>
              </w:rPr>
              <w:t>(prior to any reinvested dividend</w:t>
            </w:r>
          </w:p>
        </w:tc>
        <w:tc>
          <w:tcPr>
            <w:tcW w:w="1040" w:type="dxa"/>
            <w:vAlign w:val="bottom"/>
          </w:tcPr>
          <w:p>
            <w:pPr>
              <w:spacing w:after="0"/>
              <w:rPr>
                <w:sz w:val="16"/>
                <w:szCs w:val="16"/>
                <w:color w:val="auto"/>
              </w:rPr>
            </w:pPr>
          </w:p>
        </w:tc>
      </w:tr>
      <w:tr>
        <w:trPr>
          <w:trHeight w:val="220"/>
        </w:trPr>
        <w:tc>
          <w:tcPr>
            <w:tcW w:w="2640" w:type="dxa"/>
            <w:vAlign w:val="bottom"/>
          </w:tcPr>
          <w:p>
            <w:pPr>
              <w:spacing w:after="0"/>
              <w:rPr>
                <w:sz w:val="20"/>
                <w:szCs w:val="20"/>
                <w:color w:val="auto"/>
              </w:rPr>
            </w:pPr>
            <w:r>
              <w:rPr>
                <w:rFonts w:ascii="Arial" w:cs="Arial" w:eastAsia="Arial" w:hAnsi="Arial"/>
                <w:sz w:val="17"/>
                <w:szCs w:val="17"/>
                <w:b w:val="1"/>
                <w:bCs w:val="1"/>
                <w:color w:val="auto"/>
              </w:rPr>
              <w:t>equivalents):</w:t>
            </w:r>
          </w:p>
        </w:tc>
        <w:tc>
          <w:tcPr>
            <w:tcW w:w="1040" w:type="dxa"/>
            <w:vAlign w:val="bottom"/>
          </w:tcPr>
          <w:p>
            <w:pPr>
              <w:spacing w:after="0"/>
              <w:rPr>
                <w:sz w:val="19"/>
                <w:szCs w:val="19"/>
                <w:color w:val="auto"/>
              </w:rPr>
            </w:pPr>
          </w:p>
        </w:tc>
      </w:tr>
      <w:tr>
        <w:trPr>
          <w:trHeight w:val="279"/>
        </w:trPr>
        <w:tc>
          <w:tcPr>
            <w:tcW w:w="2640" w:type="dxa"/>
            <w:vAlign w:val="bottom"/>
          </w:tcPr>
          <w:p>
            <w:pPr>
              <w:spacing w:after="0"/>
              <w:rPr>
                <w:sz w:val="20"/>
                <w:szCs w:val="20"/>
                <w:color w:val="auto"/>
              </w:rPr>
            </w:pPr>
            <w:r>
              <w:rPr>
                <w:rFonts w:ascii="Arial" w:cs="Arial" w:eastAsia="Arial" w:hAnsi="Arial"/>
                <w:sz w:val="17"/>
                <w:szCs w:val="17"/>
                <w:b w:val="1"/>
                <w:bCs w:val="1"/>
                <w:color w:val="auto"/>
                <w:w w:val="96"/>
              </w:rPr>
              <w:t>Award Date Fair Market Value per</w:t>
            </w:r>
          </w:p>
        </w:tc>
        <w:tc>
          <w:tcPr>
            <w:tcW w:w="1040" w:type="dxa"/>
            <w:vAlign w:val="bottom"/>
          </w:tcPr>
          <w:p>
            <w:pPr>
              <w:spacing w:after="0"/>
              <w:rPr>
                <w:sz w:val="24"/>
                <w:szCs w:val="24"/>
                <w:color w:val="auto"/>
              </w:rPr>
            </w:pPr>
          </w:p>
        </w:tc>
      </w:tr>
      <w:tr>
        <w:trPr>
          <w:trHeight w:val="220"/>
        </w:trPr>
        <w:tc>
          <w:tcPr>
            <w:tcW w:w="2640" w:type="dxa"/>
            <w:vAlign w:val="bottom"/>
          </w:tcPr>
          <w:p>
            <w:pPr>
              <w:spacing w:after="0"/>
              <w:rPr>
                <w:sz w:val="20"/>
                <w:szCs w:val="20"/>
                <w:color w:val="auto"/>
              </w:rPr>
            </w:pPr>
            <w:r>
              <w:rPr>
                <w:rFonts w:ascii="Arial" w:cs="Arial" w:eastAsia="Arial" w:hAnsi="Arial"/>
                <w:sz w:val="17"/>
                <w:szCs w:val="17"/>
                <w:b w:val="1"/>
                <w:bCs w:val="1"/>
                <w:color w:val="auto"/>
              </w:rPr>
              <w:t>Share of Common Stock:</w:t>
            </w:r>
          </w:p>
        </w:tc>
        <w:tc>
          <w:tcPr>
            <w:tcW w:w="1040" w:type="dxa"/>
            <w:vAlign w:val="bottom"/>
          </w:tcPr>
          <w:p>
            <w:pPr>
              <w:jc w:val="right"/>
              <w:ind w:right="375"/>
              <w:spacing w:after="0"/>
              <w:rPr>
                <w:sz w:val="20"/>
                <w:szCs w:val="20"/>
                <w:color w:val="auto"/>
              </w:rPr>
            </w:pPr>
            <w:r>
              <w:rPr>
                <w:rFonts w:ascii="Arial" w:cs="Arial" w:eastAsia="Arial" w:hAnsi="Arial"/>
                <w:sz w:val="17"/>
                <w:szCs w:val="17"/>
                <w:b w:val="1"/>
                <w:bCs w:val="1"/>
                <w:color w:val="auto"/>
              </w:rPr>
              <w:t>$47.17</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Restricted Stock Units:</w:t>
      </w:r>
    </w:p>
    <w:p>
      <w:pPr>
        <w:spacing w:after="0" w:line="137" w:lineRule="exact"/>
        <w:rPr>
          <w:sz w:val="20"/>
          <w:szCs w:val="20"/>
          <w:color w:val="auto"/>
        </w:rPr>
      </w:pPr>
    </w:p>
    <w:p>
      <w:pPr>
        <w:ind w:left="460" w:right="499"/>
        <w:spacing w:after="0" w:line="247" w:lineRule="auto"/>
        <w:rPr>
          <w:sz w:val="20"/>
          <w:szCs w:val="20"/>
          <w:color w:val="auto"/>
        </w:rPr>
      </w:pPr>
      <w:r>
        <w:rPr>
          <w:rFonts w:ascii="Arial" w:cs="Arial" w:eastAsia="Arial" w:hAnsi="Arial"/>
          <w:sz w:val="17"/>
          <w:szCs w:val="17"/>
          <w:color w:val="auto"/>
        </w:rPr>
        <w:t>You have been granted a restricted stock unit award under Sempra Energy’s 2008 Long Term Incentive Plan. Your restricted stock units represent the right to receive one share of Sempra Energy Common Stock (together with reinvested dividend equivalents) for each restricted stock unit upon the vesting of your award, subject to the terms and conditions of your award.</w:t>
      </w:r>
    </w:p>
    <w:p>
      <w:pPr>
        <w:spacing w:after="0" w:line="96" w:lineRule="exact"/>
        <w:rPr>
          <w:sz w:val="20"/>
          <w:szCs w:val="20"/>
          <w:color w:val="auto"/>
        </w:rPr>
      </w:pPr>
    </w:p>
    <w:p>
      <w:pPr>
        <w:ind w:left="460" w:right="579"/>
        <w:spacing w:after="0" w:line="295" w:lineRule="auto"/>
        <w:rPr>
          <w:sz w:val="20"/>
          <w:szCs w:val="20"/>
          <w:color w:val="auto"/>
        </w:rPr>
      </w:pPr>
      <w:r>
        <w:rPr>
          <w:rFonts w:ascii="Arial" w:cs="Arial" w:eastAsia="Arial" w:hAnsi="Arial"/>
          <w:sz w:val="16"/>
          <w:szCs w:val="16"/>
          <w:color w:val="auto"/>
        </w:rPr>
        <w:t>Your restricted stock units are not shares of Common Stock. You will have no rights as a shareholder unless and until shares of Common Stock are issued to you upon the vesting of your restricted stock units.</w:t>
      </w:r>
    </w:p>
    <w:p>
      <w:pPr>
        <w:spacing w:after="0" w:line="132" w:lineRule="exact"/>
        <w:rPr>
          <w:sz w:val="20"/>
          <w:szCs w:val="20"/>
          <w:color w:val="auto"/>
        </w:rPr>
      </w:pPr>
    </w:p>
    <w:p>
      <w:pPr>
        <w:ind w:left="460" w:right="599"/>
        <w:spacing w:after="0" w:line="251" w:lineRule="auto"/>
        <w:rPr>
          <w:sz w:val="20"/>
          <w:szCs w:val="20"/>
          <w:color w:val="auto"/>
        </w:rPr>
      </w:pPr>
      <w:r>
        <w:rPr>
          <w:rFonts w:ascii="Arial" w:cs="Arial" w:eastAsia="Arial" w:hAnsi="Arial"/>
          <w:sz w:val="17"/>
          <w:szCs w:val="17"/>
          <w:color w:val="auto"/>
        </w:rPr>
        <w:t>Your restricted stock units (and reinvested dividend equivalents) are subject to transfer restrictions and will be forfeited if your Sempra Energy board service terminates before your units vest. See “Vesting/Forfeiture”, “Transfer Restrictions”, and “Termination of Board Service” below.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Vesting/Forfeiture of Restricted Stock Units:</w:t>
      </w:r>
    </w:p>
    <w:p>
      <w:pPr>
        <w:spacing w:after="0" w:line="28" w:lineRule="exact"/>
        <w:rPr>
          <w:sz w:val="20"/>
          <w:szCs w:val="20"/>
          <w:color w:val="auto"/>
        </w:rPr>
      </w:pPr>
    </w:p>
    <w:p>
      <w:pPr>
        <w:ind w:left="460" w:right="699"/>
        <w:spacing w:after="0" w:line="295" w:lineRule="auto"/>
        <w:rPr>
          <w:sz w:val="20"/>
          <w:szCs w:val="20"/>
          <w:color w:val="auto"/>
        </w:rPr>
      </w:pPr>
      <w:r>
        <w:rPr>
          <w:rFonts w:ascii="Arial" w:cs="Arial" w:eastAsia="Arial" w:hAnsi="Arial"/>
          <w:sz w:val="16"/>
          <w:szCs w:val="16"/>
          <w:color w:val="auto"/>
        </w:rPr>
        <w:t>If not previously forfeited, your restricted stock units will vest on May 12, 2011 or upon your earlier termination of board service by reason of your death, disability, or removal from the board without cause.</w:t>
      </w:r>
    </w:p>
    <w:p>
      <w:pPr>
        <w:spacing w:after="0" w:line="132" w:lineRule="exact"/>
        <w:rPr>
          <w:sz w:val="20"/>
          <w:szCs w:val="20"/>
          <w:color w:val="auto"/>
        </w:rPr>
      </w:pPr>
    </w:p>
    <w:p>
      <w:pPr>
        <w:ind w:left="460" w:right="439"/>
        <w:spacing w:after="0" w:line="264" w:lineRule="auto"/>
        <w:rPr>
          <w:sz w:val="20"/>
          <w:szCs w:val="20"/>
          <w:color w:val="auto"/>
        </w:rPr>
      </w:pPr>
      <w:r>
        <w:rPr>
          <w:rFonts w:ascii="Arial" w:cs="Arial" w:eastAsia="Arial" w:hAnsi="Arial"/>
          <w:sz w:val="17"/>
          <w:szCs w:val="17"/>
          <w:color w:val="auto"/>
        </w:rPr>
        <w:t>Your restricted stock units will be forfeited upon your termination of board service before May 12, 2011 for any reason other than your death, disability, or removal from the board without cause.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Restrictions:</w:t>
      </w:r>
    </w:p>
    <w:p>
      <w:pPr>
        <w:spacing w:after="0" w:line="28" w:lineRule="exact"/>
        <w:rPr>
          <w:sz w:val="20"/>
          <w:szCs w:val="20"/>
          <w:color w:val="auto"/>
        </w:rPr>
      </w:pPr>
    </w:p>
    <w:p>
      <w:pPr>
        <w:ind w:left="460" w:right="719"/>
        <w:spacing w:after="0" w:line="264" w:lineRule="auto"/>
        <w:rPr>
          <w:sz w:val="20"/>
          <w:szCs w:val="20"/>
          <w:color w:val="auto"/>
        </w:rPr>
      </w:pPr>
      <w:r>
        <w:rPr>
          <w:rFonts w:ascii="Arial" w:cs="Arial" w:eastAsia="Arial" w:hAnsi="Arial"/>
          <w:sz w:val="17"/>
          <w:szCs w:val="17"/>
          <w:color w:val="auto"/>
        </w:rPr>
        <w:t>Your restricted stock units may not be sold or otherwise transferred and will remain subject to forfeiture conditions until they vest.</w:t>
      </w:r>
    </w:p>
    <w:p>
      <w:pPr>
        <w:sectPr>
          <w:pgSz w:w="11900" w:h="16838" w:orient="portrait"/>
          <w:cols w:equalWidth="0" w:num="1">
            <w:col w:w="9019"/>
          </w:cols>
          <w:pgMar w:left="1440" w:top="170" w:right="1440"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Termination of Board Service:</w:t>
      </w:r>
    </w:p>
    <w:p>
      <w:pPr>
        <w:spacing w:after="0" w:line="28" w:lineRule="exact"/>
        <w:rPr>
          <w:sz w:val="20"/>
          <w:szCs w:val="20"/>
          <w:color w:val="auto"/>
        </w:rPr>
      </w:pPr>
    </w:p>
    <w:p>
      <w:pPr>
        <w:ind w:right="699"/>
        <w:spacing w:after="0" w:line="295" w:lineRule="auto"/>
        <w:rPr>
          <w:sz w:val="20"/>
          <w:szCs w:val="20"/>
          <w:color w:val="auto"/>
        </w:rPr>
      </w:pPr>
      <w:r>
        <w:rPr>
          <w:rFonts w:ascii="Arial" w:cs="Arial" w:eastAsia="Arial" w:hAnsi="Arial"/>
          <w:sz w:val="16"/>
          <w:szCs w:val="16"/>
          <w:color w:val="auto"/>
        </w:rPr>
        <w:t>If your Sempra Energy board service terminates for any reason prior to May 12, 2011 (other than by reason of your death, disability, or removal from the board without cause), all of your restricted stock units will be forfeited.</w:t>
      </w:r>
    </w:p>
    <w:p>
      <w:pPr>
        <w:spacing w:after="0" w:line="132" w:lineRule="exact"/>
        <w:rPr>
          <w:sz w:val="20"/>
          <w:szCs w:val="20"/>
          <w:color w:val="auto"/>
        </w:rPr>
      </w:pPr>
    </w:p>
    <w:p>
      <w:pPr>
        <w:ind w:right="119"/>
        <w:spacing w:after="0" w:line="264" w:lineRule="auto"/>
        <w:rPr>
          <w:sz w:val="20"/>
          <w:szCs w:val="20"/>
          <w:color w:val="auto"/>
        </w:rPr>
      </w:pPr>
      <w:r>
        <w:rPr>
          <w:rFonts w:ascii="Arial" w:cs="Arial" w:eastAsia="Arial" w:hAnsi="Arial"/>
          <w:sz w:val="17"/>
          <w:szCs w:val="17"/>
          <w:color w:val="auto"/>
        </w:rPr>
        <w:t>If your board service terminates by reason of your death, disability, or removal from the board without cause, your restricted stock units (and reinvested dividend equivalents) will immediately vest.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Reinvested Dividend Equivalents:</w:t>
      </w:r>
    </w:p>
    <w:p>
      <w:pPr>
        <w:spacing w:after="0" w:line="28" w:lineRule="exact"/>
        <w:rPr>
          <w:sz w:val="20"/>
          <w:szCs w:val="20"/>
          <w:color w:val="auto"/>
        </w:rPr>
      </w:pPr>
    </w:p>
    <w:p>
      <w:pPr>
        <w:ind w:right="119"/>
        <w:spacing w:after="0" w:line="260" w:lineRule="auto"/>
        <w:rPr>
          <w:sz w:val="20"/>
          <w:szCs w:val="20"/>
          <w:color w:val="auto"/>
        </w:rPr>
      </w:pPr>
      <w:r>
        <w:rPr>
          <w:rFonts w:ascii="Arial" w:cs="Arial" w:eastAsia="Arial" w:hAnsi="Arial"/>
          <w:sz w:val="16"/>
          <w:szCs w:val="16"/>
          <w:color w:val="auto"/>
        </w:rPr>
        <w:t>You also have been awarded reinvested dividend equivalents with respect to your restricted stock units. Your reinvested dividend equivalents represent the right to receive additional shares of Common Stock in the future, subject to the terms and conditions of your award. Your reinvested dividend equivalents will be determined based on the dividends that you would have received, had you held shares of Common Stock equal to the number of your restricted stock units from the date of your award to the date they vest, and assuming that the dividends and successive dividends thereon were reinvested in Common Stock in the same manner as dividends reinvested pursuant to the terms of the Sempra Energy Dividend Reinvestment Plan. Your reinvested dividend equivalents will be subject to the same transfer restrictions and forfeiture and vesting conditions as the shares represented by yo ur 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of Shares:</w:t>
      </w:r>
    </w:p>
    <w:p>
      <w:pPr>
        <w:spacing w:after="0" w:line="28" w:lineRule="exact"/>
        <w:rPr>
          <w:sz w:val="20"/>
          <w:szCs w:val="20"/>
          <w:color w:val="auto"/>
        </w:rPr>
      </w:pPr>
    </w:p>
    <w:p>
      <w:pPr>
        <w:ind w:right="379"/>
        <w:spacing w:after="0" w:line="251" w:lineRule="auto"/>
        <w:rPr>
          <w:sz w:val="20"/>
          <w:szCs w:val="20"/>
          <w:color w:val="auto"/>
        </w:rPr>
      </w:pPr>
      <w:r>
        <w:rPr>
          <w:rFonts w:ascii="Arial" w:cs="Arial" w:eastAsia="Arial" w:hAnsi="Arial"/>
          <w:sz w:val="17"/>
          <w:szCs w:val="17"/>
          <w:color w:val="auto"/>
        </w:rPr>
        <w:t>Shares of Common Stock will be distributed to you within ten (10) days following the vesting of your restricted stock units. You will receive a number of shares of Common Stock equal to the number of your restricted stock units and additional shares representing your reinvested dividend equivalents.. .</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pacing w:after="0" w:line="28" w:lineRule="exact"/>
        <w:rPr>
          <w:sz w:val="20"/>
          <w:szCs w:val="20"/>
          <w:color w:val="auto"/>
        </w:rPr>
      </w:pPr>
    </w:p>
    <w:p>
      <w:pPr>
        <w:ind w:right="419"/>
        <w:spacing w:after="0" w:line="264" w:lineRule="auto"/>
        <w:rPr>
          <w:sz w:val="20"/>
          <w:szCs w:val="20"/>
          <w:color w:val="auto"/>
        </w:rPr>
      </w:pPr>
      <w:r>
        <w:rPr>
          <w:rFonts w:ascii="Arial" w:cs="Arial" w:eastAsia="Arial" w:hAnsi="Arial"/>
          <w:sz w:val="17"/>
          <w:szCs w:val="17"/>
          <w:color w:val="auto"/>
        </w:rPr>
        <w:t>Upon the distribution of your units (and reinvested dividend equivalents) in shares of Common Stock, you will realize taxable income based on the fair market value of the shares on the distribution date.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w:t>
      </w:r>
    </w:p>
    <w:p>
      <w:pPr>
        <w:spacing w:after="0" w:line="28" w:lineRule="exact"/>
        <w:rPr>
          <w:sz w:val="20"/>
          <w:szCs w:val="20"/>
          <w:color w:val="auto"/>
        </w:rPr>
      </w:pPr>
    </w:p>
    <w:p>
      <w:pPr>
        <w:ind w:right="99"/>
        <w:spacing w:after="0" w:line="251" w:lineRule="auto"/>
        <w:rPr>
          <w:sz w:val="20"/>
          <w:szCs w:val="20"/>
          <w:color w:val="auto"/>
        </w:rPr>
      </w:pPr>
      <w:r>
        <w:rPr>
          <w:rFonts w:ascii="Arial" w:cs="Arial" w:eastAsia="Arial" w:hAnsi="Arial"/>
          <w:sz w:val="17"/>
          <w:szCs w:val="17"/>
          <w:color w:val="auto"/>
        </w:rPr>
        <w:t>Subject to certain limitations set forth in the 2008 Long Term Incentive Plan, in the event of a Change in Control (as defined in the Plan), all of your outstanding unvested restricted stock units (and reinvested dividend equivalents) will immediately vest and will be immediately distributed in shares of Common Stock to you.</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Actions: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You agree to take all actions and execute all documents appropriate to carry out the provisions of this Agreement.</w:t>
      </w:r>
    </w:p>
    <w:p>
      <w:pPr>
        <w:spacing w:after="0" w:line="85" w:lineRule="exact"/>
        <w:rPr>
          <w:sz w:val="20"/>
          <w:szCs w:val="20"/>
          <w:color w:val="auto"/>
        </w:rPr>
      </w:pPr>
    </w:p>
    <w:p>
      <w:pPr>
        <w:jc w:val="both"/>
        <w:ind w:right="179"/>
        <w:spacing w:after="0" w:line="251" w:lineRule="auto"/>
        <w:rPr>
          <w:sz w:val="20"/>
          <w:szCs w:val="20"/>
          <w:color w:val="auto"/>
        </w:rPr>
      </w:pPr>
      <w:r>
        <w:rPr>
          <w:rFonts w:ascii="Arial" w:cs="Arial" w:eastAsia="Arial" w:hAnsi="Arial"/>
          <w:sz w:val="17"/>
          <w:szCs w:val="17"/>
          <w:color w:val="auto"/>
        </w:rPr>
        <w:t>You also appoint as your attorney-in-fact each individual who at the time of so acting is the Secretary or an Assistant Secretary of Sempra Energy with full authority to effect any transfer of any shares of Common Stock distributable to you that is authorized by this Agreement.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Applicable Law:</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will be interpreted and enforced under the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5737225" cy="31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37225"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5737225" cy="311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37225" cy="31115"/>
                    </a:xfrm>
                    <a:prstGeom prst="rect">
                      <a:avLst/>
                    </a:prstGeom>
                    <a:noFill/>
                  </pic:spPr>
                </pic:pic>
              </a:graphicData>
            </a:graphic>
          </wp:anchor>
        </w:drawing>
      </w:r>
    </w:p>
    <w:p>
      <w:pPr>
        <w:spacing w:after="0" w:line="259" w:lineRule="exact"/>
        <w:rPr>
          <w:sz w:val="20"/>
          <w:szCs w:val="20"/>
          <w:color w:val="auto"/>
        </w:rPr>
      </w:pPr>
    </w:p>
    <w:p>
      <w:pPr>
        <w:ind w:right="39"/>
        <w:spacing w:after="0" w:line="331" w:lineRule="auto"/>
        <w:rPr>
          <w:sz w:val="20"/>
          <w:szCs w:val="20"/>
          <w:color w:val="auto"/>
        </w:rPr>
      </w:pPr>
      <w:r>
        <w:rPr>
          <w:rFonts w:ascii="Arial" w:cs="Arial" w:eastAsia="Arial" w:hAnsi="Arial"/>
          <w:sz w:val="15"/>
          <w:szCs w:val="15"/>
          <w:b w:val="1"/>
          <w:bCs w:val="1"/>
          <w:i w:val="1"/>
          <w:iCs w:val="1"/>
          <w:color w:val="auto"/>
        </w:rPr>
        <w:t>To accept your award you must sign the accompanying copy of this page and promptly return it to Sempra Energy. By doing so, you agree to all of the terms and conditions set forth herein and in the Sempra Energy 2008 Long Term Incentive Plan.</w:t>
      </w:r>
    </w:p>
    <w:p>
      <w:pPr>
        <w:spacing w:after="0" w:line="297" w:lineRule="exact"/>
        <w:rPr>
          <w:sz w:val="20"/>
          <w:szCs w:val="20"/>
          <w:color w:val="auto"/>
        </w:rPr>
      </w:pPr>
    </w:p>
    <w:p>
      <w:pPr>
        <w:ind w:left="2480"/>
        <w:spacing w:after="0"/>
        <w:tabs>
          <w:tab w:leader="none" w:pos="4040" w:val="left"/>
        </w:tabs>
        <w:rPr>
          <w:sz w:val="20"/>
          <w:szCs w:val="20"/>
          <w:color w:val="auto"/>
        </w:rPr>
      </w:pPr>
      <w:r>
        <w:rPr>
          <w:rFonts w:ascii="Arial" w:cs="Arial" w:eastAsia="Arial" w:hAnsi="Arial"/>
          <w:sz w:val="17"/>
          <w:szCs w:val="17"/>
          <w:color w:val="auto"/>
        </w:rPr>
        <w:t>Recipient:</w:t>
      </w:r>
      <w:r>
        <w:rPr>
          <w:sz w:val="20"/>
          <w:szCs w:val="20"/>
          <w:color w:val="auto"/>
        </w:rPr>
        <w:tab/>
      </w:r>
      <w:r>
        <w:rPr>
          <w:rFonts w:ascii="Arial" w:cs="Arial" w:eastAsia="Arial" w:hAnsi="Arial"/>
          <w:sz w:val="24"/>
          <w:szCs w:val="24"/>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19050</wp:posOffset>
            </wp:positionV>
            <wp:extent cx="159258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92580" cy="7620"/>
                    </a:xfrm>
                    <a:prstGeom prst="rect">
                      <a:avLst/>
                    </a:prstGeom>
                    <a:noFill/>
                  </pic:spPr>
                </pic:pic>
              </a:graphicData>
            </a:graphic>
          </wp:anchor>
        </w:drawing>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(Signature)</w:t>
      </w:r>
    </w:p>
    <w:p>
      <w:pPr>
        <w:spacing w:after="0" w:line="18" w:lineRule="exact"/>
        <w:rPr>
          <w:sz w:val="20"/>
          <w:szCs w:val="20"/>
          <w:color w:val="auto"/>
        </w:rPr>
      </w:pPr>
    </w:p>
    <w:p>
      <w:pPr>
        <w:ind w:left="2480"/>
        <w:spacing w:after="0"/>
        <w:tabs>
          <w:tab w:leader="none" w:pos="4340" w:val="left"/>
        </w:tabs>
        <w:rPr>
          <w:sz w:val="20"/>
          <w:szCs w:val="20"/>
          <w:color w:val="auto"/>
        </w:rPr>
      </w:pPr>
      <w:r>
        <w:rPr>
          <w:rFonts w:ascii="Arial" w:cs="Arial" w:eastAsia="Arial" w:hAnsi="Arial"/>
          <w:sz w:val="17"/>
          <w:szCs w:val="17"/>
          <w:color w:val="auto"/>
        </w:rPr>
        <w:t>Sempra Energy:</w:t>
      </w:r>
      <w:r>
        <w:rPr>
          <w:sz w:val="20"/>
          <w:szCs w:val="20"/>
          <w:color w:val="auto"/>
        </w:rPr>
        <w:tab/>
      </w:r>
      <w:r>
        <w:rPr>
          <w:rFonts w:ascii="Arial" w:cs="Arial" w:eastAsia="Arial" w:hAnsi="Arial"/>
          <w:sz w:val="18"/>
          <w:szCs w:val="18"/>
          <w:i w:val="1"/>
          <w:iCs w:val="1"/>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27305</wp:posOffset>
            </wp:positionV>
            <wp:extent cx="15925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92580" cy="7620"/>
                    </a:xfrm>
                    <a:prstGeom prst="rect">
                      <a:avLst/>
                    </a:prstGeom>
                    <a:noFill/>
                  </pic:spPr>
                </pic:pic>
              </a:graphicData>
            </a:graphic>
          </wp:anchor>
        </w:drawing>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(Signature)</w:t>
      </w:r>
    </w:p>
    <w:p>
      <w:pPr>
        <w:spacing w:after="0" w:line="24" w:lineRule="exact"/>
        <w:rPr>
          <w:sz w:val="20"/>
          <w:szCs w:val="20"/>
          <w:color w:val="auto"/>
        </w:rPr>
      </w:pPr>
    </w:p>
    <w:p>
      <w:pPr>
        <w:ind w:left="2480"/>
        <w:spacing w:after="0"/>
        <w:tabs>
          <w:tab w:leader="none" w:pos="42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Chairman &amp; Chief Executive</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10795</wp:posOffset>
            </wp:positionV>
            <wp:extent cx="15925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92580" cy="762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74" w:name="page75"/>
    <w:bookmarkEnd w:id="74"/>
    <w:p>
      <w:pPr>
        <w:jc w:val="center"/>
        <w:ind w:right="1459"/>
        <w:spacing w:after="0"/>
        <w:rPr>
          <w:sz w:val="20"/>
          <w:szCs w:val="20"/>
          <w:color w:val="auto"/>
        </w:rPr>
      </w:pPr>
      <w:r>
        <w:rPr>
          <w:rFonts w:ascii="Arial" w:cs="Arial" w:eastAsia="Arial" w:hAnsi="Arial"/>
          <w:sz w:val="16"/>
          <w:szCs w:val="16"/>
          <w:b w:val="1"/>
          <w:bCs w:val="1"/>
          <w:color w:val="auto"/>
        </w:rPr>
        <w:t>EXHIBIT 12.1</w:t>
      </w:r>
    </w:p>
    <w:p>
      <w:pPr>
        <w:spacing w:after="0" w:line="31"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SEMPRA ENERGY</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AND PREFERRED STOCK DIVIDENDS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2005</w:t>
            </w: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2006</w:t>
            </w:r>
          </w:p>
        </w:tc>
        <w:tc>
          <w:tcPr>
            <w:tcW w:w="980" w:type="dxa"/>
            <w:vAlign w:val="bottom"/>
            <w:gridSpan w:val="2"/>
          </w:tcPr>
          <w:p>
            <w:pPr>
              <w:jc w:val="right"/>
              <w:ind w:right="179"/>
              <w:spacing w:after="0"/>
              <w:rPr>
                <w:sz w:val="20"/>
                <w:szCs w:val="20"/>
                <w:color w:val="auto"/>
              </w:rPr>
            </w:pPr>
            <w:r>
              <w:rPr>
                <w:rFonts w:ascii="Arial" w:cs="Arial" w:eastAsia="Arial" w:hAnsi="Arial"/>
                <w:sz w:val="16"/>
                <w:szCs w:val="16"/>
                <w:color w:val="auto"/>
              </w:rPr>
              <w:t>2007</w:t>
            </w:r>
          </w:p>
        </w:tc>
        <w:tc>
          <w:tcPr>
            <w:tcW w:w="960" w:type="dxa"/>
            <w:vAlign w:val="bottom"/>
            <w:gridSpan w:val="2"/>
          </w:tcPr>
          <w:p>
            <w:pPr>
              <w:jc w:val="right"/>
              <w:ind w:right="159"/>
              <w:spacing w:after="0"/>
              <w:rPr>
                <w:sz w:val="20"/>
                <w:szCs w:val="20"/>
                <w:color w:val="auto"/>
              </w:rPr>
            </w:pPr>
            <w:r>
              <w:rPr>
                <w:rFonts w:ascii="Arial" w:cs="Arial" w:eastAsia="Arial" w:hAnsi="Arial"/>
                <w:sz w:val="16"/>
                <w:szCs w:val="16"/>
                <w:color w:val="auto"/>
              </w:rPr>
              <w:t>2008</w:t>
            </w: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Fixed charges and preferred stock</w:t>
            </w: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40"/>
              <w:spacing w:after="0"/>
              <w:rPr>
                <w:sz w:val="20"/>
                <w:szCs w:val="20"/>
                <w:color w:val="auto"/>
              </w:rPr>
            </w:pPr>
            <w:r>
              <w:rPr>
                <w:rFonts w:ascii="Arial" w:cs="Arial" w:eastAsia="Arial" w:hAnsi="Arial"/>
                <w:sz w:val="16"/>
                <w:szCs w:val="16"/>
                <w:color w:val="auto"/>
              </w:rPr>
              <w:t>dividends: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tcPr>
          <w:p>
            <w:pPr>
              <w:spacing w:after="0"/>
              <w:rPr>
                <w:sz w:val="20"/>
                <w:szCs w:val="20"/>
                <w:color w:val="auto"/>
              </w:rPr>
            </w:pPr>
            <w:r>
              <w:rPr>
                <w:rFonts w:ascii="Arial" w:cs="Arial" w:eastAsia="Arial" w:hAnsi="Arial"/>
                <w:sz w:val="16"/>
                <w:szCs w:val="16"/>
                <w:color w:val="auto"/>
              </w:rPr>
              <w:t>Interest</w:t>
            </w:r>
          </w:p>
        </w:tc>
        <w:tc>
          <w:tcPr>
            <w:tcW w:w="800" w:type="dxa"/>
            <w:vAlign w:val="bottom"/>
          </w:tcPr>
          <w:p>
            <w:pPr>
              <w:jc w:val="right"/>
              <w:spacing w:after="0"/>
              <w:rPr>
                <w:sz w:val="20"/>
                <w:szCs w:val="20"/>
                <w:color w:val="auto"/>
              </w:rPr>
            </w:pPr>
            <w:r>
              <w:rPr>
                <w:rFonts w:ascii="Arial" w:cs="Arial" w:eastAsia="Arial" w:hAnsi="Arial"/>
                <w:sz w:val="16"/>
                <w:szCs w:val="16"/>
                <w:color w:val="auto"/>
              </w:rPr>
              <w:t>$ 342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$ 413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$ 379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$ 455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$ 240</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6"/>
                <w:szCs w:val="16"/>
                <w:color w:val="auto"/>
              </w:rPr>
              <w:t>Preferred dividends of subsidiaries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8"/>
        </w:trPr>
        <w:tc>
          <w:tcPr>
            <w:tcW w:w="3100" w:type="dxa"/>
            <w:vAlign w:val="bottom"/>
          </w:tcPr>
          <w:p>
            <w:pPr>
              <w:ind w:left="240"/>
              <w:spacing w:after="0"/>
              <w:rPr>
                <w:sz w:val="20"/>
                <w:szCs w:val="20"/>
                <w:color w:val="auto"/>
              </w:rPr>
            </w:pPr>
            <w:r>
              <w:rPr>
                <w:rFonts w:ascii="Arial" w:cs="Arial" w:eastAsia="Arial" w:hAnsi="Arial"/>
                <w:sz w:val="16"/>
                <w:szCs w:val="16"/>
                <w:color w:val="auto"/>
              </w:rPr>
              <w:t>Total fixed charges</w:t>
            </w:r>
          </w:p>
        </w:tc>
        <w:tc>
          <w:tcPr>
            <w:tcW w:w="800" w:type="dxa"/>
            <w:vAlign w:val="bottom"/>
          </w:tcPr>
          <w:p>
            <w:pPr>
              <w:jc w:val="right"/>
              <w:spacing w:after="0"/>
              <w:rPr>
                <w:sz w:val="20"/>
                <w:szCs w:val="20"/>
                <w:color w:val="auto"/>
              </w:rPr>
            </w:pPr>
            <w:r>
              <w:rPr>
                <w:rFonts w:ascii="Arial" w:cs="Arial" w:eastAsia="Arial" w:hAnsi="Arial"/>
                <w:sz w:val="16"/>
                <w:szCs w:val="16"/>
                <w:color w:val="auto"/>
              </w:rPr>
              <w:t>357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20"/>
                <w:szCs w:val="20"/>
                <w:color w:val="auto"/>
              </w:rPr>
            </w:pPr>
            <w:r>
              <w:rPr>
                <w:rFonts w:ascii="Arial" w:cs="Arial" w:eastAsia="Arial" w:hAnsi="Arial"/>
                <w:sz w:val="16"/>
                <w:szCs w:val="16"/>
                <w:color w:val="auto"/>
              </w:rPr>
              <w:t>Preferred dividends for purpose of ratio</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100" w:type="dxa"/>
            <w:vAlign w:val="bottom"/>
          </w:tcPr>
          <w:p>
            <w:pPr>
              <w:spacing w:after="0" w:line="175" w:lineRule="exact"/>
              <w:rPr>
                <w:sz w:val="20"/>
                <w:szCs w:val="20"/>
                <w:color w:val="auto"/>
              </w:rPr>
            </w:pPr>
            <w:r>
              <w:rPr>
                <w:rFonts w:ascii="Arial" w:cs="Arial" w:eastAsia="Arial" w:hAnsi="Arial"/>
                <w:sz w:val="16"/>
                <w:szCs w:val="16"/>
                <w:color w:val="auto"/>
              </w:rPr>
              <w:t>Total fixed charges and preferred</w:t>
            </w: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40"/>
              <w:spacing w:after="0"/>
              <w:rPr>
                <w:sz w:val="20"/>
                <w:szCs w:val="20"/>
                <w:color w:val="auto"/>
              </w:rPr>
            </w:pPr>
            <w:r>
              <w:rPr>
                <w:rFonts w:ascii="Arial" w:cs="Arial" w:eastAsia="Arial" w:hAnsi="Arial"/>
                <w:sz w:val="16"/>
                <w:szCs w:val="16"/>
                <w:color w:val="auto"/>
              </w:rPr>
              <w:t>dividends for purpose of ratio</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$ 357</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$ 434</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$ 399</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$ 369</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$ 470</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$ 249</w:t>
            </w: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Pretax income from continuing</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240"/>
              <w:spacing w:after="0" w:line="183" w:lineRule="exact"/>
              <w:rPr>
                <w:sz w:val="20"/>
                <w:szCs w:val="20"/>
                <w:color w:val="auto"/>
              </w:rPr>
            </w:pPr>
            <w:r>
              <w:rPr>
                <w:rFonts w:ascii="Arial" w:cs="Arial" w:eastAsia="Arial" w:hAnsi="Arial"/>
                <w:sz w:val="16"/>
                <w:szCs w:val="16"/>
                <w:color w:val="auto"/>
              </w:rPr>
              <w:t>operations before adjustment for</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40"/>
              <w:spacing w:after="0"/>
              <w:rPr>
                <w:sz w:val="20"/>
                <w:szCs w:val="20"/>
                <w:color w:val="auto"/>
              </w:rPr>
            </w:pPr>
            <w:r>
              <w:rPr>
                <w:rFonts w:ascii="Arial" w:cs="Arial" w:eastAsia="Arial" w:hAnsi="Arial"/>
                <w:sz w:val="16"/>
                <w:szCs w:val="16"/>
                <w:color w:val="auto"/>
              </w:rPr>
              <w:t>income or loss from equity investees</w:t>
            </w:r>
          </w:p>
        </w:tc>
        <w:tc>
          <w:tcPr>
            <w:tcW w:w="800" w:type="dxa"/>
            <w:vAlign w:val="bottom"/>
          </w:tcPr>
          <w:p>
            <w:pPr>
              <w:jc w:val="right"/>
              <w:spacing w:after="0"/>
              <w:rPr>
                <w:sz w:val="20"/>
                <w:szCs w:val="20"/>
                <w:color w:val="auto"/>
              </w:rPr>
            </w:pPr>
            <w:r>
              <w:rPr>
                <w:rFonts w:ascii="Arial" w:cs="Arial" w:eastAsia="Arial" w:hAnsi="Arial"/>
                <w:sz w:val="16"/>
                <w:szCs w:val="16"/>
                <w:color w:val="auto"/>
              </w:rPr>
              <w:t>$ 891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$ 1,579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$ 1,538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$ 1,009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$ 977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$ 369</w:t>
            </w:r>
          </w:p>
        </w:tc>
        <w:tc>
          <w:tcPr>
            <w:tcW w:w="0" w:type="dxa"/>
            <w:vAlign w:val="bottom"/>
          </w:tcPr>
          <w:p>
            <w:pPr>
              <w:spacing w:after="0"/>
              <w:rPr>
                <w:sz w:val="1"/>
                <w:szCs w:val="1"/>
                <w:color w:val="auto"/>
              </w:rPr>
            </w:pPr>
          </w:p>
        </w:tc>
      </w:tr>
      <w:tr>
        <w:trPr>
          <w:trHeight w:val="219"/>
        </w:trPr>
        <w:tc>
          <w:tcPr>
            <w:tcW w:w="3100" w:type="dxa"/>
            <w:vAlign w:val="bottom"/>
          </w:tcPr>
          <w:p>
            <w:pPr>
              <w:spacing w:after="0"/>
              <w:rPr>
                <w:sz w:val="20"/>
                <w:szCs w:val="20"/>
                <w:color w:val="auto"/>
              </w:rPr>
            </w:pPr>
            <w:r>
              <w:rPr>
                <w:rFonts w:ascii="Arial" w:cs="Arial" w:eastAsia="Arial" w:hAnsi="Arial"/>
                <w:sz w:val="16"/>
                <w:szCs w:val="16"/>
                <w:color w:val="auto"/>
              </w:rPr>
              <w:t>Add:</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00" w:type="dxa"/>
            <w:vAlign w:val="bottom"/>
          </w:tcPr>
          <w:p>
            <w:pPr>
              <w:ind w:left="100"/>
              <w:spacing w:after="0"/>
              <w:rPr>
                <w:sz w:val="20"/>
                <w:szCs w:val="20"/>
                <w:color w:val="auto"/>
              </w:rPr>
            </w:pPr>
            <w:r>
              <w:rPr>
                <w:rFonts w:ascii="Arial" w:cs="Arial" w:eastAsia="Arial" w:hAnsi="Arial"/>
                <w:sz w:val="16"/>
                <w:szCs w:val="16"/>
                <w:color w:val="auto"/>
              </w:rPr>
              <w:t>Total fixed charges (from above)</w:t>
            </w:r>
          </w:p>
        </w:tc>
        <w:tc>
          <w:tcPr>
            <w:tcW w:w="800" w:type="dxa"/>
            <w:vAlign w:val="bottom"/>
          </w:tcPr>
          <w:p>
            <w:pPr>
              <w:jc w:val="right"/>
              <w:spacing w:after="0"/>
              <w:rPr>
                <w:sz w:val="20"/>
                <w:szCs w:val="20"/>
                <w:color w:val="auto"/>
              </w:rPr>
            </w:pPr>
            <w:r>
              <w:rPr>
                <w:rFonts w:ascii="Arial" w:cs="Arial" w:eastAsia="Arial" w:hAnsi="Arial"/>
                <w:sz w:val="16"/>
                <w:szCs w:val="16"/>
                <w:color w:val="auto"/>
              </w:rPr>
              <w:t>357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7"/>
        </w:trPr>
        <w:tc>
          <w:tcPr>
            <w:tcW w:w="3100" w:type="dxa"/>
            <w:vAlign w:val="bottom"/>
          </w:tcPr>
          <w:p>
            <w:pPr>
              <w:ind w:left="100"/>
              <w:spacing w:after="0"/>
              <w:rPr>
                <w:sz w:val="20"/>
                <w:szCs w:val="20"/>
                <w:color w:val="auto"/>
              </w:rPr>
            </w:pPr>
            <w:r>
              <w:rPr>
                <w:rFonts w:ascii="Arial" w:cs="Arial" w:eastAsia="Arial" w:hAnsi="Arial"/>
                <w:sz w:val="16"/>
                <w:szCs w:val="16"/>
                <w:color w:val="auto"/>
              </w:rPr>
              <w:t>Distributed income of equity investees</w:t>
            </w: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3100" w:type="dxa"/>
            <w:vAlign w:val="bottom"/>
          </w:tcPr>
          <w:p>
            <w:pPr>
              <w:spacing w:after="0"/>
              <w:rPr>
                <w:sz w:val="20"/>
                <w:szCs w:val="20"/>
                <w:color w:val="auto"/>
              </w:rPr>
            </w:pPr>
            <w:r>
              <w:rPr>
                <w:rFonts w:ascii="Arial" w:cs="Arial" w:eastAsia="Arial" w:hAnsi="Arial"/>
                <w:sz w:val="16"/>
                <w:szCs w:val="16"/>
                <w:color w:val="auto"/>
              </w:rPr>
              <w:t>Less: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0219"/>
          </w:cols>
          <w:pgMar w:left="240" w:top="813" w:right="1440" w:bottom="1440" w:gutter="0" w:footer="0" w:header="0"/>
        </w:sectPr>
      </w:pPr>
    </w:p>
    <w:p>
      <w:pPr>
        <w:ind w:left="100"/>
        <w:spacing w:after="0"/>
        <w:rPr>
          <w:sz w:val="20"/>
          <w:szCs w:val="20"/>
          <w:color w:val="auto"/>
        </w:rPr>
      </w:pPr>
      <w:r>
        <w:rPr>
          <w:rFonts w:ascii="Arial" w:cs="Arial" w:eastAsia="Arial" w:hAnsi="Arial"/>
          <w:sz w:val="16"/>
          <w:szCs w:val="16"/>
          <w:color w:val="auto"/>
        </w:rPr>
        <w:t>Interest capitalized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Preferred dividends of subsidiaries (1)</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Total earnings for purpose of ratio</w:t>
      </w:r>
    </w:p>
    <w:p>
      <w:pPr>
        <w:spacing w:after="0" w:line="23" w:lineRule="exact"/>
        <w:rPr>
          <w:sz w:val="20"/>
          <w:szCs w:val="20"/>
          <w:color w:val="auto"/>
        </w:rPr>
      </w:pPr>
    </w:p>
    <w:p>
      <w:pPr>
        <w:ind w:left="240" w:right="280" w:hanging="233"/>
        <w:spacing w:after="0" w:line="245" w:lineRule="auto"/>
        <w:rPr>
          <w:sz w:val="20"/>
          <w:szCs w:val="20"/>
          <w:color w:val="auto"/>
        </w:rPr>
      </w:pPr>
      <w:r>
        <w:rPr>
          <w:rFonts w:ascii="Arial" w:cs="Arial" w:eastAsia="Arial" w:hAnsi="Arial"/>
          <w:sz w:val="16"/>
          <w:szCs w:val="16"/>
          <w:color w:val="auto"/>
        </w:rPr>
        <w:t>Ratio of earnings to combined fixed charges and preferred stock dividends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Ratio of earnings to fixed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99"/>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$ 1,283</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$ 2,376</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$ 1,846</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$ 1,401</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$ 1,854</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$ 831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2"/>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03"/>
        </w:trPr>
        <w:tc>
          <w:tcPr>
            <w:tcW w:w="800" w:type="dxa"/>
            <w:vAlign w:val="bottom"/>
          </w:tcPr>
          <w:p>
            <w:pPr>
              <w:jc w:val="right"/>
              <w:spacing w:after="0"/>
              <w:rPr>
                <w:sz w:val="20"/>
                <w:szCs w:val="20"/>
                <w:color w:val="auto"/>
              </w:rPr>
            </w:pPr>
            <w:r>
              <w:rPr>
                <w:rFonts w:ascii="Arial" w:cs="Arial" w:eastAsia="Arial" w:hAnsi="Arial"/>
                <w:sz w:val="16"/>
                <w:szCs w:val="16"/>
                <w:color w:val="auto"/>
              </w:rPr>
              <w:t>3.59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840" w:space="260"/>
            <w:col w:w="7119"/>
          </w:cols>
          <w:pgMar w:left="240" w:top="813" w:right="1440" w:bottom="1440" w:gutter="0" w:footer="0" w:header="0"/>
          <w:type w:val="continuous"/>
        </w:sectPr>
      </w:pPr>
    </w:p>
    <w:p>
      <w:pPr>
        <w:spacing w:after="0" w:line="18" w:lineRule="exact"/>
        <w:rPr>
          <w:sz w:val="20"/>
          <w:szCs w:val="20"/>
          <w:color w:val="auto"/>
        </w:rPr>
      </w:pPr>
    </w:p>
    <w:p>
      <w:pPr>
        <w:ind w:left="340" w:right="1799" w:hanging="277"/>
        <w:spacing w:after="0" w:line="252"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0219"/>
          </w:cols>
          <w:pgMar w:left="240" w:top="813" w:right="1440" w:bottom="1440" w:gutter="0" w:footer="0" w:header="0"/>
          <w:type w:val="continuous"/>
        </w:sectPr>
      </w:pPr>
    </w:p>
    <w:bookmarkStart w:id="75" w:name="page76"/>
    <w:bookmarkEnd w:id="75"/>
    <w:p>
      <w:pPr>
        <w:jc w:val="center"/>
        <w:ind w:right="1459"/>
        <w:spacing w:after="0"/>
        <w:rPr>
          <w:sz w:val="20"/>
          <w:szCs w:val="20"/>
          <w:color w:val="auto"/>
        </w:rPr>
      </w:pPr>
      <w:r>
        <w:rPr>
          <w:rFonts w:ascii="Arial" w:cs="Arial" w:eastAsia="Arial" w:hAnsi="Arial"/>
          <w:sz w:val="16"/>
          <w:szCs w:val="16"/>
          <w:b w:val="1"/>
          <w:bCs w:val="1"/>
          <w:color w:val="auto"/>
        </w:rPr>
        <w:t>EXHIBIT 12.2</w:t>
      </w:r>
    </w:p>
    <w:p>
      <w:pPr>
        <w:spacing w:after="0" w:line="31"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SAN DIEGO GAS &amp; ELECTRIC COMPANY</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AND PREFERRED STOCK DIVIDENDS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2005</w:t>
            </w: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2006</w:t>
            </w: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2008</w:t>
            </w:r>
          </w:p>
        </w:tc>
        <w:tc>
          <w:tcPr>
            <w:tcW w:w="1020" w:type="dxa"/>
            <w:vAlign w:val="bottom"/>
            <w:gridSpan w:val="2"/>
          </w:tcPr>
          <w:p>
            <w:pPr>
              <w:jc w:val="right"/>
              <w:ind w:right="179"/>
              <w:spacing w:after="0"/>
              <w:rPr>
                <w:sz w:val="20"/>
                <w:szCs w:val="20"/>
                <w:color w:val="auto"/>
              </w:rPr>
            </w:pPr>
            <w:r>
              <w:rPr>
                <w:rFonts w:ascii="Arial" w:cs="Arial" w:eastAsia="Arial" w:hAnsi="Arial"/>
                <w:sz w:val="16"/>
                <w:szCs w:val="16"/>
                <w:color w:val="auto"/>
              </w:rPr>
              <w:t>2009</w:t>
            </w: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Arial" w:cs="Arial" w:eastAsia="Arial" w:hAnsi="Arial"/>
                <w:sz w:val="16"/>
                <w:szCs w:val="16"/>
                <w:color w:val="auto"/>
              </w:rPr>
              <w:t>Fixed Charges and Preferred</w:t>
            </w: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Arial" w:cs="Arial" w:eastAsia="Arial" w:hAnsi="Arial"/>
                <w:sz w:val="16"/>
                <w:szCs w:val="16"/>
                <w:color w:val="auto"/>
              </w:rPr>
              <w:t>Stock Dividends:</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Arial" w:cs="Arial" w:eastAsia="Arial" w:hAnsi="Arial"/>
                <w:sz w:val="16"/>
                <w:szCs w:val="16"/>
                <w:color w:val="auto"/>
              </w:rPr>
              <w:t>Interest</w:t>
            </w:r>
          </w:p>
        </w:tc>
        <w:tc>
          <w:tcPr>
            <w:tcW w:w="860" w:type="dxa"/>
            <w:vAlign w:val="bottom"/>
          </w:tcPr>
          <w:p>
            <w:pPr>
              <w:jc w:val="right"/>
              <w:spacing w:after="0"/>
              <w:rPr>
                <w:sz w:val="20"/>
                <w:szCs w:val="20"/>
                <w:color w:val="auto"/>
              </w:rPr>
            </w:pPr>
            <w:r>
              <w:rPr>
                <w:rFonts w:ascii="Arial" w:cs="Arial" w:eastAsia="Arial" w:hAnsi="Arial"/>
                <w:sz w:val="16"/>
                <w:szCs w:val="16"/>
                <w:color w:val="auto"/>
              </w:rPr>
              <w:t>$ 77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$ 102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$ 107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$ 118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$ 69</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20"/>
                <w:szCs w:val="20"/>
                <w:color w:val="auto"/>
              </w:rPr>
            </w:pPr>
            <w:r>
              <w:rPr>
                <w:rFonts w:ascii="Arial" w:cs="Arial" w:eastAsia="Arial" w:hAnsi="Arial"/>
                <w:sz w:val="16"/>
                <w:szCs w:val="16"/>
                <w:color w:val="auto"/>
              </w:rPr>
              <w:t>Total fixed charges</w:t>
            </w: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20"/>
                <w:szCs w:val="20"/>
                <w:color w:val="auto"/>
              </w:rPr>
            </w:pPr>
            <w:r>
              <w:rPr>
                <w:rFonts w:ascii="Arial" w:cs="Arial" w:eastAsia="Arial" w:hAnsi="Arial"/>
                <w:sz w:val="16"/>
                <w:szCs w:val="16"/>
                <w:color w:val="auto"/>
              </w:rPr>
              <w:t>Combined fixed charges and</w:t>
            </w: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tcPr>
          <w:p>
            <w:pPr>
              <w:ind w:left="240"/>
              <w:spacing w:after="0" w:line="183" w:lineRule="exact"/>
              <w:rPr>
                <w:sz w:val="20"/>
                <w:szCs w:val="20"/>
                <w:color w:val="auto"/>
              </w:rPr>
            </w:pPr>
            <w:r>
              <w:rPr>
                <w:rFonts w:ascii="Arial" w:cs="Arial" w:eastAsia="Arial" w:hAnsi="Arial"/>
                <w:sz w:val="16"/>
                <w:szCs w:val="16"/>
                <w:color w:val="auto"/>
              </w:rPr>
              <w:t>preferred stock dividends for</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$ 86</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$ 113</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$ 115</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$ 126</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$ 74</w:t>
            </w:r>
          </w:p>
        </w:tc>
        <w:tc>
          <w:tcPr>
            <w:tcW w:w="0" w:type="dxa"/>
            <w:vAlign w:val="bottom"/>
          </w:tcPr>
          <w:p>
            <w:pPr>
              <w:spacing w:after="0"/>
              <w:rPr>
                <w:sz w:val="1"/>
                <w:szCs w:val="1"/>
                <w:color w:val="auto"/>
              </w:rPr>
            </w:pPr>
          </w:p>
        </w:tc>
      </w:tr>
      <w:tr>
        <w:trPr>
          <w:trHeight w:val="159"/>
        </w:trPr>
        <w:tc>
          <w:tcPr>
            <w:tcW w:w="2720" w:type="dxa"/>
            <w:vAlign w:val="bottom"/>
          </w:tcPr>
          <w:p>
            <w:pPr>
              <w:ind w:left="240"/>
              <w:spacing w:after="0" w:line="159" w:lineRule="exact"/>
              <w:rPr>
                <w:sz w:val="20"/>
                <w:szCs w:val="20"/>
                <w:color w:val="auto"/>
              </w:rPr>
            </w:pPr>
            <w:r>
              <w:rPr>
                <w:rFonts w:ascii="Arial" w:cs="Arial" w:eastAsia="Arial" w:hAnsi="Arial"/>
                <w:sz w:val="16"/>
                <w:szCs w:val="16"/>
                <w:color w:val="auto"/>
              </w:rPr>
              <w:t>purpose of ratio</w:t>
            </w:r>
          </w:p>
        </w:tc>
        <w:tc>
          <w:tcPr>
            <w:tcW w:w="8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20"/>
                <w:szCs w:val="20"/>
                <w:color w:val="auto"/>
              </w:rPr>
            </w:pPr>
            <w:r>
              <w:rPr>
                <w:rFonts w:ascii="Arial" w:cs="Arial" w:eastAsia="Arial" w:hAnsi="Arial"/>
                <w:sz w:val="16"/>
                <w:szCs w:val="16"/>
                <w:color w:val="auto"/>
              </w:rPr>
              <w:t>Pretax income from continuing</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860" w:type="dxa"/>
            <w:vAlign w:val="bottom"/>
          </w:tcPr>
          <w:p>
            <w:pPr>
              <w:jc w:val="right"/>
              <w:spacing w:after="0"/>
              <w:rPr>
                <w:sz w:val="20"/>
                <w:szCs w:val="20"/>
                <w:color w:val="auto"/>
              </w:rPr>
            </w:pPr>
            <w:r>
              <w:rPr>
                <w:rFonts w:ascii="Arial" w:cs="Arial" w:eastAsia="Arial" w:hAnsi="Arial"/>
                <w:sz w:val="16"/>
                <w:szCs w:val="16"/>
                <w:color w:val="auto"/>
              </w:rPr>
              <w:t>$ 356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$ 394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$ 406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$ 451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$ 550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$ 206</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Arial" w:cs="Arial" w:eastAsia="Arial" w:hAnsi="Arial"/>
                <w:sz w:val="16"/>
                <w:szCs w:val="16"/>
                <w:color w:val="auto"/>
              </w:rPr>
              <w:t>Total fixed charges (from above)</w:t>
            </w: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860" w:type="dxa"/>
            <w:vAlign w:val="bottom"/>
          </w:tcPr>
          <w:p>
            <w:pPr>
              <w:jc w:val="right"/>
              <w:spacing w:after="0"/>
              <w:rPr>
                <w:sz w:val="20"/>
                <w:szCs w:val="20"/>
                <w:color w:val="auto"/>
              </w:rPr>
            </w:pPr>
            <w:r>
              <w:rPr>
                <w:rFonts w:ascii="Arial" w:cs="Arial" w:eastAsia="Arial" w:hAnsi="Arial"/>
                <w:sz w:val="16"/>
                <w:szCs w:val="16"/>
                <w:color w:val="auto"/>
              </w:rPr>
              <w:t>$ 435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$ 498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$ 511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$ 546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$ 665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$ 276</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6"/>
                <w:szCs w:val="16"/>
                <w:color w:val="auto"/>
              </w:rPr>
              <w:t>Ratio of earnings to combined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tcPr>
          <w:p>
            <w:pPr>
              <w:ind w:left="240"/>
              <w:spacing w:after="0" w:line="183" w:lineRule="exact"/>
              <w:rPr>
                <w:sz w:val="20"/>
                <w:szCs w:val="20"/>
                <w:color w:val="auto"/>
              </w:rPr>
            </w:pPr>
            <w:r>
              <w:rPr>
                <w:rFonts w:ascii="Arial" w:cs="Arial" w:eastAsia="Arial" w:hAnsi="Arial"/>
                <w:sz w:val="16"/>
                <w:szCs w:val="16"/>
                <w:color w:val="auto"/>
              </w:rPr>
              <w:t>fixed charges and preferred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5.06</w:t>
            </w:r>
          </w:p>
        </w:tc>
        <w:tc>
          <w:tcPr>
            <w:tcW w:w="1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4.41</w:t>
            </w:r>
          </w:p>
        </w:tc>
        <w:tc>
          <w:tcPr>
            <w:tcW w:w="1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4.44</w:t>
            </w:r>
          </w:p>
        </w:tc>
        <w:tc>
          <w:tcPr>
            <w:tcW w:w="16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16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1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64"/>
        </w:trPr>
        <w:tc>
          <w:tcPr>
            <w:tcW w:w="2720" w:type="dxa"/>
            <w:vAlign w:val="bottom"/>
          </w:tcPr>
          <w:p>
            <w:pPr>
              <w:ind w:left="240"/>
              <w:spacing w:after="0" w:line="159" w:lineRule="exact"/>
              <w:rPr>
                <w:sz w:val="20"/>
                <w:szCs w:val="20"/>
                <w:color w:val="auto"/>
              </w:rPr>
            </w:pPr>
            <w:r>
              <w:rPr>
                <w:rFonts w:ascii="Arial" w:cs="Arial" w:eastAsia="Arial" w:hAnsi="Arial"/>
                <w:sz w:val="16"/>
                <w:szCs w:val="16"/>
                <w:color w:val="auto"/>
              </w:rPr>
              <w:t>stock dividends</w:t>
            </w:r>
          </w:p>
        </w:tc>
        <w:tc>
          <w:tcPr>
            <w:tcW w:w="8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72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860" w:type="dxa"/>
            <w:vAlign w:val="bottom"/>
          </w:tcPr>
          <w:p>
            <w:pPr>
              <w:jc w:val="right"/>
              <w:spacing w:after="0"/>
              <w:rPr>
                <w:sz w:val="20"/>
                <w:szCs w:val="20"/>
                <w:color w:val="auto"/>
              </w:rPr>
            </w:pPr>
            <w:r>
              <w:rPr>
                <w:rFonts w:ascii="Arial" w:cs="Arial" w:eastAsia="Arial" w:hAnsi="Arial"/>
                <w:sz w:val="16"/>
                <w:szCs w:val="16"/>
                <w:color w:val="auto"/>
              </w:rPr>
              <w:t>5.44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40" w:right="1979" w:hanging="329"/>
        <w:spacing w:after="0" w:line="252" w:lineRule="auto"/>
        <w:tabs>
          <w:tab w:leader="none" w:pos="4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219"/>
          </w:cols>
          <w:pgMar w:left="240" w:top="813" w:right="1440" w:bottom="1440" w:gutter="0" w:footer="0" w:header="0"/>
        </w:sectPr>
      </w:pPr>
    </w:p>
    <w:bookmarkStart w:id="76" w:name="page77"/>
    <w:bookmarkEnd w:id="76"/>
    <w:p>
      <w:pPr>
        <w:jc w:val="center"/>
        <w:ind w:right="1459"/>
        <w:spacing w:after="0"/>
        <w:rPr>
          <w:sz w:val="20"/>
          <w:szCs w:val="20"/>
          <w:color w:val="auto"/>
        </w:rPr>
      </w:pPr>
      <w:r>
        <w:rPr>
          <w:rFonts w:ascii="Arial" w:cs="Arial" w:eastAsia="Arial" w:hAnsi="Arial"/>
          <w:sz w:val="16"/>
          <w:szCs w:val="16"/>
          <w:b w:val="1"/>
          <w:bCs w:val="1"/>
          <w:color w:val="auto"/>
        </w:rPr>
        <w:t>EXHIBIT 12.3</w:t>
      </w:r>
    </w:p>
    <w:p>
      <w:pPr>
        <w:spacing w:after="0" w:line="31"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PACIFIC ENTERPRISES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AND PREFERRED STOCK DIVIDENDS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2005</w:t>
            </w: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2006</w:t>
            </w: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2007</w:t>
            </w: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2008</w:t>
            </w:r>
          </w:p>
        </w:tc>
        <w:tc>
          <w:tcPr>
            <w:tcW w:w="1080" w:type="dxa"/>
            <w:vAlign w:val="bottom"/>
            <w:gridSpan w:val="2"/>
          </w:tcPr>
          <w:p>
            <w:pPr>
              <w:jc w:val="right"/>
              <w:ind w:right="199"/>
              <w:spacing w:after="0"/>
              <w:rPr>
                <w:sz w:val="20"/>
                <w:szCs w:val="20"/>
                <w:color w:val="auto"/>
              </w:rPr>
            </w:pPr>
            <w:r>
              <w:rPr>
                <w:rFonts w:ascii="Arial" w:cs="Arial" w:eastAsia="Arial" w:hAnsi="Arial"/>
                <w:sz w:val="16"/>
                <w:szCs w:val="16"/>
                <w:color w:val="auto"/>
              </w:rPr>
              <w:t>2009</w:t>
            </w:r>
          </w:p>
        </w:tc>
        <w:tc>
          <w:tcPr>
            <w:tcW w:w="1080" w:type="dxa"/>
            <w:vAlign w:val="bottom"/>
            <w:gridSpan w:val="2"/>
          </w:tcPr>
          <w:p>
            <w:pPr>
              <w:jc w:val="right"/>
              <w:ind w:right="19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9"/>
        </w:trPr>
        <w:tc>
          <w:tcPr>
            <w:tcW w:w="2520" w:type="dxa"/>
            <w:vAlign w:val="bottom"/>
          </w:tcPr>
          <w:p>
            <w:pPr>
              <w:spacing w:after="0"/>
              <w:rPr>
                <w:sz w:val="20"/>
                <w:szCs w:val="20"/>
                <w:color w:val="auto"/>
              </w:rPr>
            </w:pPr>
            <w:r>
              <w:rPr>
                <w:rFonts w:ascii="Arial" w:cs="Arial" w:eastAsia="Arial" w:hAnsi="Arial"/>
                <w:sz w:val="16"/>
                <w:szCs w:val="16"/>
                <w:color w:val="auto"/>
              </w:rPr>
              <w:t>Fixed Charges:</w:t>
            </w: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color w:val="auto"/>
              </w:rPr>
              <w:t>Interest</w:t>
            </w:r>
          </w:p>
        </w:tc>
        <w:tc>
          <w:tcPr>
            <w:tcW w:w="900" w:type="dxa"/>
            <w:vAlign w:val="bottom"/>
          </w:tcPr>
          <w:p>
            <w:pPr>
              <w:jc w:val="right"/>
              <w:spacing w:after="0"/>
              <w:rPr>
                <w:sz w:val="20"/>
                <w:szCs w:val="20"/>
                <w:color w:val="auto"/>
              </w:rPr>
            </w:pPr>
            <w:r>
              <w:rPr>
                <w:rFonts w:ascii="Arial" w:cs="Arial" w:eastAsia="Arial" w:hAnsi="Arial"/>
                <w:sz w:val="16"/>
                <w:szCs w:val="16"/>
                <w:color w:val="auto"/>
              </w:rPr>
              <w:t>$ 55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$ 78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$ 78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$ 75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$ 37</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Preferred dividends of subsidiary</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8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8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2520" w:type="dxa"/>
            <w:vAlign w:val="bottom"/>
          </w:tcPr>
          <w:p>
            <w:pPr>
              <w:ind w:left="240"/>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Arial" w:cs="Arial" w:eastAsia="Arial" w:hAnsi="Arial"/>
                <w:sz w:val="16"/>
                <w:szCs w:val="16"/>
                <w:color w:val="auto"/>
              </w:rPr>
              <w:t>Total fixed charges</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20"/>
                <w:szCs w:val="20"/>
                <w:color w:val="auto"/>
              </w:rPr>
            </w:pPr>
            <w:r>
              <w:rPr>
                <w:rFonts w:ascii="Arial" w:cs="Arial" w:eastAsia="Arial" w:hAnsi="Arial"/>
                <w:sz w:val="16"/>
                <w:szCs w:val="16"/>
                <w:color w:val="auto"/>
              </w:rPr>
              <w:t>Combined fixed charges and</w:t>
            </w: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240"/>
              <w:spacing w:after="0" w:line="183" w:lineRule="exact"/>
              <w:rPr>
                <w:sz w:val="20"/>
                <w:szCs w:val="20"/>
                <w:color w:val="auto"/>
              </w:rPr>
            </w:pPr>
            <w:r>
              <w:rPr>
                <w:rFonts w:ascii="Arial" w:cs="Arial" w:eastAsia="Arial" w:hAnsi="Arial"/>
                <w:sz w:val="16"/>
                <w:szCs w:val="16"/>
                <w:color w:val="auto"/>
              </w:rPr>
              <w:t>preferred stock dividends for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$ 66</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$ 90</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$ 89</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$ 78</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$ 84</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$ 42</w:t>
            </w:r>
          </w:p>
        </w:tc>
        <w:tc>
          <w:tcPr>
            <w:tcW w:w="0" w:type="dxa"/>
            <w:vAlign w:val="bottom"/>
          </w:tcPr>
          <w:p>
            <w:pPr>
              <w:spacing w:after="0"/>
              <w:rPr>
                <w:sz w:val="1"/>
                <w:szCs w:val="1"/>
                <w:color w:val="auto"/>
              </w:rPr>
            </w:pPr>
          </w:p>
        </w:tc>
      </w:tr>
      <w:tr>
        <w:trPr>
          <w:trHeight w:val="159"/>
        </w:trPr>
        <w:tc>
          <w:tcPr>
            <w:tcW w:w="2520" w:type="dxa"/>
            <w:vAlign w:val="bottom"/>
          </w:tcPr>
          <w:p>
            <w:pPr>
              <w:ind w:left="240"/>
              <w:spacing w:after="0" w:line="159" w:lineRule="exact"/>
              <w:rPr>
                <w:sz w:val="20"/>
                <w:szCs w:val="20"/>
                <w:color w:val="auto"/>
              </w:rPr>
            </w:pPr>
            <w:r>
              <w:rPr>
                <w:rFonts w:ascii="Arial" w:cs="Arial" w:eastAsia="Arial" w:hAnsi="Arial"/>
                <w:sz w:val="16"/>
                <w:szCs w:val="16"/>
                <w:color w:val="auto"/>
              </w:rPr>
              <w:t>purpose of ratio</w:t>
            </w:r>
          </w:p>
        </w:tc>
        <w:tc>
          <w:tcPr>
            <w:tcW w:w="90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Pretax income from continuing</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900" w:type="dxa"/>
            <w:vAlign w:val="bottom"/>
          </w:tcPr>
          <w:p>
            <w:pPr>
              <w:jc w:val="right"/>
              <w:spacing w:after="0"/>
              <w:rPr>
                <w:sz w:val="20"/>
                <w:szCs w:val="20"/>
                <w:color w:val="auto"/>
              </w:rPr>
            </w:pPr>
            <w:r>
              <w:rPr>
                <w:rFonts w:ascii="Arial" w:cs="Arial" w:eastAsia="Arial" w:hAnsi="Arial"/>
                <w:sz w:val="16"/>
                <w:szCs w:val="16"/>
                <w:color w:val="auto"/>
              </w:rPr>
              <w:t>$ 325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$ 394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$ 415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$ 226</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color w:val="auto"/>
              </w:rPr>
              <w:t>Total fixed charges (from above)</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Less: Preferred dividends of</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8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8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2520" w:type="dxa"/>
            <w:vAlign w:val="bottom"/>
          </w:tcPr>
          <w:p>
            <w:pPr>
              <w:ind w:left="240"/>
              <w:spacing w:after="0"/>
              <w:rPr>
                <w:sz w:val="20"/>
                <w:szCs w:val="20"/>
                <w:color w:val="auto"/>
              </w:rPr>
            </w:pPr>
            <w:r>
              <w:rPr>
                <w:rFonts w:ascii="Arial" w:cs="Arial" w:eastAsia="Arial" w:hAnsi="Arial"/>
                <w:sz w:val="16"/>
                <w:szCs w:val="16"/>
                <w:color w:val="auto"/>
              </w:rPr>
              <w:t>subsidiary (1)</w:t>
            </w: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2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900" w:type="dxa"/>
            <w:vAlign w:val="bottom"/>
          </w:tcPr>
          <w:p>
            <w:pPr>
              <w:jc w:val="right"/>
              <w:spacing w:after="0"/>
              <w:rPr>
                <w:sz w:val="20"/>
                <w:szCs w:val="20"/>
                <w:color w:val="auto"/>
              </w:rPr>
            </w:pPr>
            <w:r>
              <w:rPr>
                <w:rFonts w:ascii="Arial" w:cs="Arial" w:eastAsia="Arial" w:hAnsi="Arial"/>
                <w:sz w:val="16"/>
                <w:szCs w:val="16"/>
                <w:color w:val="auto"/>
              </w:rPr>
              <w:t>$ 384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$ 508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$ 489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$ 465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$ 490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$ 264</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color w:val="auto"/>
              </w:rPr>
              <w:t>Ratio of earnings to combined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240"/>
              <w:spacing w:after="0" w:line="183" w:lineRule="exact"/>
              <w:rPr>
                <w:sz w:val="20"/>
                <w:szCs w:val="20"/>
                <w:color w:val="auto"/>
              </w:rPr>
            </w:pPr>
            <w:r>
              <w:rPr>
                <w:rFonts w:ascii="Arial" w:cs="Arial" w:eastAsia="Arial" w:hAnsi="Arial"/>
                <w:sz w:val="16"/>
                <w:szCs w:val="16"/>
                <w:color w:val="auto"/>
              </w:rPr>
              <w:t>fixed charges and preferred</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5.82</w:t>
            </w:r>
          </w:p>
        </w:tc>
        <w:tc>
          <w:tcPr>
            <w:tcW w:w="160" w:type="dxa"/>
            <w:vAlign w:val="bottom"/>
            <w:vMerge w:val="restart"/>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5.64</w:t>
            </w:r>
          </w:p>
        </w:tc>
        <w:tc>
          <w:tcPr>
            <w:tcW w:w="160" w:type="dxa"/>
            <w:vAlign w:val="bottom"/>
            <w:vMerge w:val="restart"/>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18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5.96</w:t>
            </w:r>
          </w:p>
        </w:tc>
        <w:tc>
          <w:tcPr>
            <w:tcW w:w="20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180" w:type="dxa"/>
            <w:vAlign w:val="bottom"/>
            <w:vMerge w:val="restart"/>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64"/>
        </w:trPr>
        <w:tc>
          <w:tcPr>
            <w:tcW w:w="2520" w:type="dxa"/>
            <w:vAlign w:val="bottom"/>
          </w:tcPr>
          <w:p>
            <w:pPr>
              <w:ind w:left="240"/>
              <w:spacing w:after="0" w:line="159" w:lineRule="exact"/>
              <w:rPr>
                <w:sz w:val="20"/>
                <w:szCs w:val="20"/>
                <w:color w:val="auto"/>
              </w:rPr>
            </w:pPr>
            <w:r>
              <w:rPr>
                <w:rFonts w:ascii="Arial" w:cs="Arial" w:eastAsia="Arial" w:hAnsi="Arial"/>
                <w:sz w:val="16"/>
                <w:szCs w:val="16"/>
                <w:color w:val="auto"/>
              </w:rPr>
              <w:t>stock dividends</w:t>
            </w:r>
          </w:p>
        </w:tc>
        <w:tc>
          <w:tcPr>
            <w:tcW w:w="9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52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900" w:type="dxa"/>
            <w:vAlign w:val="bottom"/>
          </w:tcPr>
          <w:p>
            <w:pPr>
              <w:jc w:val="right"/>
              <w:spacing w:after="0"/>
              <w:rPr>
                <w:sz w:val="20"/>
                <w:szCs w:val="20"/>
                <w:color w:val="auto"/>
              </w:rPr>
            </w:pPr>
            <w:r>
              <w:rPr>
                <w:rFonts w:ascii="Arial" w:cs="Arial" w:eastAsia="Arial" w:hAnsi="Arial"/>
                <w:sz w:val="16"/>
                <w:szCs w:val="16"/>
                <w:color w:val="auto"/>
              </w:rPr>
              <w:t>6.40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6.05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6.46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0" w:right="1519" w:hanging="350"/>
        <w:spacing w:after="0" w:line="252" w:lineRule="auto"/>
        <w:tabs>
          <w:tab w:leader="none" w:pos="4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subsidiary” and "Preferred stock dividends" represent the before-tax earnings necessary to pay such dividends, computed at the effective tax rates for the applicable periods.</w:t>
      </w:r>
    </w:p>
    <w:p>
      <w:pPr>
        <w:sectPr>
          <w:pgSz w:w="11900" w:h="16838" w:orient="portrait"/>
          <w:cols w:equalWidth="0" w:num="1">
            <w:col w:w="10219"/>
          </w:cols>
          <w:pgMar w:left="240" w:top="813"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EXHIBIT 12.4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SOUTHERN CALIFORNIA GAS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PREFERRED STOCK DIVIDENDS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7"/>
        </w:trPr>
        <w:tc>
          <w:tcPr>
            <w:tcW w:w="33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2005</w:t>
            </w:r>
          </w:p>
        </w:tc>
        <w:tc>
          <w:tcPr>
            <w:tcW w:w="1340" w:type="dxa"/>
            <w:vAlign w:val="bottom"/>
            <w:gridSpan w:val="2"/>
          </w:tcPr>
          <w:p>
            <w:pPr>
              <w:jc w:val="right"/>
              <w:ind w:right="319"/>
              <w:spacing w:after="0"/>
              <w:rPr>
                <w:sz w:val="20"/>
                <w:szCs w:val="20"/>
                <w:color w:val="auto"/>
              </w:rPr>
            </w:pPr>
            <w:r>
              <w:rPr>
                <w:rFonts w:ascii="Arial" w:cs="Arial" w:eastAsia="Arial" w:hAnsi="Arial"/>
                <w:sz w:val="16"/>
                <w:szCs w:val="16"/>
                <w:color w:val="auto"/>
              </w:rPr>
              <w:t>2006</w:t>
            </w:r>
          </w:p>
        </w:tc>
        <w:tc>
          <w:tcPr>
            <w:tcW w:w="1320" w:type="dxa"/>
            <w:vAlign w:val="bottom"/>
            <w:gridSpan w:val="2"/>
          </w:tcPr>
          <w:p>
            <w:pPr>
              <w:jc w:val="right"/>
              <w:ind w:right="319"/>
              <w:spacing w:after="0"/>
              <w:rPr>
                <w:sz w:val="20"/>
                <w:szCs w:val="20"/>
                <w:color w:val="auto"/>
              </w:rPr>
            </w:pPr>
            <w:r>
              <w:rPr>
                <w:rFonts w:ascii="Arial" w:cs="Arial" w:eastAsia="Arial" w:hAnsi="Arial"/>
                <w:sz w:val="16"/>
                <w:szCs w:val="16"/>
                <w:color w:val="auto"/>
              </w:rPr>
              <w:t>2007</w:t>
            </w:r>
          </w:p>
        </w:tc>
        <w:tc>
          <w:tcPr>
            <w:tcW w:w="1340" w:type="dxa"/>
            <w:vAlign w:val="bottom"/>
            <w:gridSpan w:val="2"/>
          </w:tcPr>
          <w:p>
            <w:pPr>
              <w:jc w:val="right"/>
              <w:ind w:right="319"/>
              <w:spacing w:after="0"/>
              <w:rPr>
                <w:sz w:val="20"/>
                <w:szCs w:val="20"/>
                <w:color w:val="auto"/>
              </w:rPr>
            </w:pPr>
            <w:r>
              <w:rPr>
                <w:rFonts w:ascii="Arial" w:cs="Arial" w:eastAsia="Arial" w:hAnsi="Arial"/>
                <w:sz w:val="16"/>
                <w:szCs w:val="16"/>
                <w:color w:val="auto"/>
              </w:rPr>
              <w:t>2008</w:t>
            </w:r>
          </w:p>
        </w:tc>
        <w:tc>
          <w:tcPr>
            <w:tcW w:w="1340" w:type="dxa"/>
            <w:vAlign w:val="bottom"/>
            <w:gridSpan w:val="2"/>
          </w:tcPr>
          <w:p>
            <w:pPr>
              <w:jc w:val="right"/>
              <w:ind w:right="319"/>
              <w:spacing w:after="0"/>
              <w:rPr>
                <w:sz w:val="20"/>
                <w:szCs w:val="20"/>
                <w:color w:val="auto"/>
              </w:rPr>
            </w:pPr>
            <w:r>
              <w:rPr>
                <w:rFonts w:ascii="Arial" w:cs="Arial" w:eastAsia="Arial" w:hAnsi="Arial"/>
                <w:sz w:val="16"/>
                <w:szCs w:val="16"/>
                <w:color w:val="auto"/>
              </w:rPr>
              <w:t>2009</w:t>
            </w:r>
          </w:p>
        </w:tc>
        <w:tc>
          <w:tcPr>
            <w:tcW w:w="1360" w:type="dxa"/>
            <w:vAlign w:val="bottom"/>
            <w:gridSpan w:val="2"/>
          </w:tcPr>
          <w:p>
            <w:pPr>
              <w:jc w:val="right"/>
              <w:ind w:right="33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Arial" w:cs="Arial" w:eastAsia="Arial" w:hAnsi="Arial"/>
                <w:sz w:val="16"/>
                <w:szCs w:val="16"/>
                <w:color w:val="auto"/>
              </w:rPr>
              <w:t>Fixed Charges:</w:t>
            </w: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tcPr>
          <w:p>
            <w:pPr>
              <w:spacing w:after="0"/>
              <w:rPr>
                <w:sz w:val="20"/>
                <w:szCs w:val="20"/>
                <w:color w:val="auto"/>
              </w:rPr>
            </w:pPr>
            <w:r>
              <w:rPr>
                <w:rFonts w:ascii="Arial" w:cs="Arial" w:eastAsia="Arial" w:hAnsi="Arial"/>
                <w:sz w:val="16"/>
                <w:szCs w:val="16"/>
                <w:color w:val="auto"/>
              </w:rPr>
              <w:t>Interest</w:t>
            </w:r>
          </w:p>
        </w:tc>
        <w:tc>
          <w:tcPr>
            <w:tcW w:w="1100" w:type="dxa"/>
            <w:vAlign w:val="bottom"/>
          </w:tcPr>
          <w:p>
            <w:pPr>
              <w:jc w:val="right"/>
              <w:spacing w:after="0"/>
              <w:rPr>
                <w:sz w:val="20"/>
                <w:szCs w:val="20"/>
                <w:color w:val="auto"/>
              </w:rPr>
            </w:pPr>
            <w:r>
              <w:rPr>
                <w:rFonts w:ascii="Arial" w:cs="Arial" w:eastAsia="Arial" w:hAnsi="Arial"/>
                <w:sz w:val="16"/>
                <w:szCs w:val="16"/>
                <w:color w:val="auto"/>
              </w:rPr>
              <w:t>$ 50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$ 65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$ 74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$ 36</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20"/>
                <w:szCs w:val="20"/>
                <w:color w:val="auto"/>
              </w:rPr>
            </w:pPr>
            <w:r>
              <w:rPr>
                <w:rFonts w:ascii="Arial" w:cs="Arial" w:eastAsia="Arial" w:hAnsi="Arial"/>
                <w:sz w:val="16"/>
                <w:szCs w:val="16"/>
                <w:color w:val="auto"/>
              </w:rPr>
              <w:t>Total fixed charges</w:t>
            </w: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6"/>
                <w:szCs w:val="16"/>
                <w:color w:val="auto"/>
              </w:rPr>
              <w:t>Combined fixed charges and preferred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$ 55</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$ 78</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$ 77</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$ 69</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$ 77</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color w:val="auto"/>
              </w:rPr>
              <w:t>$ 38</w:t>
            </w:r>
          </w:p>
        </w:tc>
        <w:tc>
          <w:tcPr>
            <w:tcW w:w="0" w:type="dxa"/>
            <w:vAlign w:val="bottom"/>
          </w:tcPr>
          <w:p>
            <w:pPr>
              <w:spacing w:after="0"/>
              <w:rPr>
                <w:sz w:val="1"/>
                <w:szCs w:val="1"/>
                <w:color w:val="auto"/>
              </w:rPr>
            </w:pPr>
          </w:p>
        </w:tc>
      </w:tr>
      <w:tr>
        <w:trPr>
          <w:trHeight w:val="159"/>
        </w:trPr>
        <w:tc>
          <w:tcPr>
            <w:tcW w:w="3320" w:type="dxa"/>
            <w:vAlign w:val="bottom"/>
          </w:tcPr>
          <w:p>
            <w:pPr>
              <w:ind w:left="240"/>
              <w:spacing w:after="0" w:line="159" w:lineRule="exact"/>
              <w:rPr>
                <w:sz w:val="20"/>
                <w:szCs w:val="20"/>
                <w:color w:val="auto"/>
              </w:rPr>
            </w:pPr>
            <w:r>
              <w:rPr>
                <w:rFonts w:ascii="Arial" w:cs="Arial" w:eastAsia="Arial" w:hAnsi="Arial"/>
                <w:sz w:val="16"/>
                <w:szCs w:val="16"/>
                <w:color w:val="auto"/>
              </w:rPr>
              <w:t>dividends for purpose of ratio</w:t>
            </w:r>
          </w:p>
        </w:tc>
        <w:tc>
          <w:tcPr>
            <w:tcW w:w="1100" w:type="dxa"/>
            <w:vAlign w:val="bottom"/>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20" w:type="dxa"/>
            <w:vAlign w:val="bottom"/>
          </w:tcPr>
          <w:p>
            <w:pPr>
              <w:spacing w:after="0"/>
              <w:rPr>
                <w:sz w:val="20"/>
                <w:szCs w:val="20"/>
                <w:color w:val="auto"/>
              </w:rPr>
            </w:pPr>
            <w:r>
              <w:rPr>
                <w:rFonts w:ascii="Arial" w:cs="Arial" w:eastAsia="Arial" w:hAnsi="Arial"/>
                <w:sz w:val="16"/>
                <w:szCs w:val="16"/>
                <w:color w:val="auto"/>
              </w:rPr>
              <w:t>Pretax income from continuing operations</w:t>
            </w:r>
          </w:p>
        </w:tc>
        <w:tc>
          <w:tcPr>
            <w:tcW w:w="1100" w:type="dxa"/>
            <w:vAlign w:val="bottom"/>
          </w:tcPr>
          <w:p>
            <w:pPr>
              <w:jc w:val="right"/>
              <w:spacing w:after="0"/>
              <w:rPr>
                <w:sz w:val="20"/>
                <w:szCs w:val="20"/>
                <w:color w:val="auto"/>
              </w:rPr>
            </w:pPr>
            <w:r>
              <w:rPr>
                <w:rFonts w:ascii="Arial" w:cs="Arial" w:eastAsia="Arial" w:hAnsi="Arial"/>
                <w:sz w:val="16"/>
                <w:szCs w:val="16"/>
                <w:color w:val="auto"/>
              </w:rPr>
              <w:t>$ 309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$ 397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$ 391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$ 385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$ 418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$ 225</w:t>
            </w:r>
          </w:p>
        </w:tc>
        <w:tc>
          <w:tcPr>
            <w:tcW w:w="0" w:type="dxa"/>
            <w:vAlign w:val="bottom"/>
          </w:tcPr>
          <w:p>
            <w:pPr>
              <w:spacing w:after="0"/>
              <w:rPr>
                <w:sz w:val="1"/>
                <w:szCs w:val="1"/>
                <w:color w:val="auto"/>
              </w:rPr>
            </w:pPr>
          </w:p>
        </w:tc>
      </w:tr>
      <w:tr>
        <w:trPr>
          <w:trHeight w:val="207"/>
        </w:trPr>
        <w:tc>
          <w:tcPr>
            <w:tcW w:w="3320" w:type="dxa"/>
            <w:vAlign w:val="bottom"/>
          </w:tcPr>
          <w:p>
            <w:pPr>
              <w:spacing w:after="0"/>
              <w:rPr>
                <w:sz w:val="20"/>
                <w:szCs w:val="20"/>
                <w:color w:val="auto"/>
              </w:rPr>
            </w:pPr>
            <w:r>
              <w:rPr>
                <w:rFonts w:ascii="Arial" w:cs="Arial" w:eastAsia="Arial" w:hAnsi="Arial"/>
                <w:sz w:val="16"/>
                <w:szCs w:val="16"/>
                <w:color w:val="auto"/>
              </w:rPr>
              <w:t>Add: Total fixed charges (from above)</w:t>
            </w: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1100" w:type="dxa"/>
            <w:vAlign w:val="bottom"/>
          </w:tcPr>
          <w:p>
            <w:pPr>
              <w:jc w:val="right"/>
              <w:spacing w:after="0"/>
              <w:rPr>
                <w:sz w:val="20"/>
                <w:szCs w:val="20"/>
                <w:color w:val="auto"/>
              </w:rPr>
            </w:pPr>
            <w:r>
              <w:rPr>
                <w:rFonts w:ascii="Arial" w:cs="Arial" w:eastAsia="Arial" w:hAnsi="Arial"/>
                <w:sz w:val="16"/>
                <w:szCs w:val="16"/>
                <w:color w:val="auto"/>
              </w:rPr>
              <w:t>$ 362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$ 472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$ 465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$ 452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$ 492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$ 262</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 charges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22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22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22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6.55</w:t>
            </w:r>
          </w:p>
        </w:tc>
        <w:tc>
          <w:tcPr>
            <w:tcW w:w="22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6.39</w:t>
            </w:r>
          </w:p>
        </w:tc>
        <w:tc>
          <w:tcPr>
            <w:tcW w:w="220" w:type="dxa"/>
            <w:vAlign w:val="bottom"/>
            <w:vMerge w:val="restart"/>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64"/>
        </w:trPr>
        <w:tc>
          <w:tcPr>
            <w:tcW w:w="3320" w:type="dxa"/>
            <w:vAlign w:val="bottom"/>
          </w:tcPr>
          <w:p>
            <w:pPr>
              <w:ind w:left="240"/>
              <w:spacing w:after="0" w:line="159" w:lineRule="exact"/>
              <w:rPr>
                <w:sz w:val="20"/>
                <w:szCs w:val="20"/>
                <w:color w:val="auto"/>
              </w:rPr>
            </w:pPr>
            <w:r>
              <w:rPr>
                <w:rFonts w:ascii="Arial" w:cs="Arial" w:eastAsia="Arial" w:hAnsi="Arial"/>
                <w:sz w:val="16"/>
                <w:szCs w:val="16"/>
                <w:color w:val="auto"/>
              </w:rPr>
              <w:t>and preferred stock dividends</w:t>
            </w:r>
          </w:p>
        </w:tc>
        <w:tc>
          <w:tcPr>
            <w:tcW w:w="11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32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100" w:type="dxa"/>
            <w:vAlign w:val="bottom"/>
          </w:tcPr>
          <w:p>
            <w:pPr>
              <w:jc w:val="right"/>
              <w:spacing w:after="0"/>
              <w:rPr>
                <w:sz w:val="20"/>
                <w:szCs w:val="20"/>
                <w:color w:val="auto"/>
              </w:rPr>
            </w:pPr>
            <w:r>
              <w:rPr>
                <w:rFonts w:ascii="Arial" w:cs="Arial" w:eastAsia="Arial" w:hAnsi="Arial"/>
                <w:sz w:val="16"/>
                <w:szCs w:val="16"/>
                <w:color w:val="auto"/>
              </w:rPr>
              <w:t>6.83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6.75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6.56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600" w:right="80" w:hanging="403"/>
        <w:spacing w:after="0" w:line="252" w:lineRule="auto"/>
        <w:tabs>
          <w:tab w:leader="none" w:pos="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120"/>
          </w:cols>
          <w:pgMar w:left="240" w:top="813" w:right="539" w:bottom="1440" w:gutter="0" w:footer="0" w:header="0"/>
        </w:sectPr>
      </w:pPr>
    </w:p>
    <w:bookmarkStart w:id="78" w:name="page79"/>
    <w:bookmarkEnd w:id="78"/>
    <w:p>
      <w:pPr>
        <w:jc w:val="right"/>
        <w:spacing w:after="0"/>
        <w:rPr>
          <w:sz w:val="20"/>
          <w:szCs w:val="20"/>
          <w:color w:val="auto"/>
        </w:rPr>
      </w:pPr>
      <w:r>
        <w:rPr>
          <w:rFonts w:ascii="Arial" w:cs="Arial" w:eastAsia="Arial" w:hAnsi="Arial"/>
          <w:sz w:val="19"/>
          <w:szCs w:val="19"/>
          <w:i w:val="1"/>
          <w:iCs w:val="1"/>
          <w:color w:val="auto"/>
        </w:rPr>
        <w:t>EXHIBIT 31.1</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Donald E. Felsinger, certify that:</w:t>
      </w:r>
    </w:p>
    <w:p>
      <w:pPr>
        <w:spacing w:after="0" w:line="244" w:lineRule="exact"/>
        <w:rPr>
          <w:sz w:val="20"/>
          <w:szCs w:val="20"/>
          <w:color w:val="auto"/>
        </w:rPr>
      </w:pPr>
    </w:p>
    <w:p>
      <w:pPr>
        <w:ind w:left="283" w:hanging="283"/>
        <w:spacing w:after="0"/>
        <w:tabs>
          <w:tab w:leader="none" w:pos="283" w:val="left"/>
        </w:tabs>
        <w:numPr>
          <w:ilvl w:val="0"/>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Sempra Energy;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3"/>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9863"/>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29845</wp:posOffset>
            </wp:positionV>
            <wp:extent cx="23037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03780" cy="7620"/>
                    </a:xfrm>
                    <a:prstGeom prst="rect">
                      <a:avLst/>
                    </a:prstGeom>
                    <a:noFill/>
                  </pic:spPr>
                </pic:pic>
              </a:graphicData>
            </a:graphic>
          </wp:anchor>
        </w:drawing>
      </w:r>
    </w:p>
    <w:p>
      <w:pPr>
        <w:spacing w:after="0" w:line="39" w:lineRule="exact"/>
        <w:rPr>
          <w:sz w:val="20"/>
          <w:szCs w:val="20"/>
          <w:color w:val="auto"/>
        </w:rPr>
      </w:pPr>
    </w:p>
    <w:p>
      <w:pPr>
        <w:ind w:left="10123"/>
        <w:spacing w:after="0"/>
        <w:rPr>
          <w:sz w:val="20"/>
          <w:szCs w:val="20"/>
          <w:color w:val="auto"/>
        </w:rPr>
      </w:pPr>
      <w:r>
        <w:rPr>
          <w:rFonts w:ascii="Arial" w:cs="Arial" w:eastAsia="Arial" w:hAnsi="Arial"/>
          <w:sz w:val="15"/>
          <w:szCs w:val="15"/>
          <w:color w:val="auto"/>
        </w:rPr>
        <w:t>Donald E. Felsinger</w:t>
      </w:r>
    </w:p>
    <w:p>
      <w:pPr>
        <w:spacing w:after="0" w:line="47" w:lineRule="exact"/>
        <w:rPr>
          <w:sz w:val="20"/>
          <w:szCs w:val="20"/>
          <w:color w:val="auto"/>
        </w:rPr>
      </w:pPr>
    </w:p>
    <w:p>
      <w:pPr>
        <w:ind w:left="9863"/>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3"/>
          </w:cols>
          <w:pgMar w:left="237" w:top="120"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9"/>
          <w:szCs w:val="19"/>
          <w:i w:val="1"/>
          <w:iCs w:val="1"/>
          <w:color w:val="auto"/>
        </w:rPr>
        <w:t>EXHIBIT 31.2</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Mark A. Snell, certify that:</w:t>
      </w:r>
    </w:p>
    <w:p>
      <w:pPr>
        <w:spacing w:after="0" w:line="244" w:lineRule="exact"/>
        <w:rPr>
          <w:sz w:val="20"/>
          <w:szCs w:val="20"/>
          <w:color w:val="auto"/>
        </w:rPr>
      </w:pPr>
    </w:p>
    <w:p>
      <w:pPr>
        <w:ind w:left="283" w:hanging="283"/>
        <w:spacing w:after="0"/>
        <w:tabs>
          <w:tab w:leader="none" w:pos="283" w:val="left"/>
        </w:tabs>
        <w:numPr>
          <w:ilvl w:val="0"/>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Sempra Energy;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4"/>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4"/>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10243"/>
        <w:spacing w:after="0"/>
        <w:rPr>
          <w:sz w:val="20"/>
          <w:szCs w:val="20"/>
          <w:color w:val="auto"/>
        </w:rPr>
      </w:pPr>
      <w:r>
        <w:rPr>
          <w:rFonts w:ascii="Arial" w:cs="Arial" w:eastAsia="Arial" w:hAnsi="Arial"/>
          <w:sz w:val="16"/>
          <w:szCs w:val="16"/>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22860</wp:posOffset>
            </wp:positionV>
            <wp:extent cx="225742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57425" cy="7620"/>
                    </a:xfrm>
                    <a:prstGeom prst="rect">
                      <a:avLst/>
                    </a:prstGeom>
                    <a:noFill/>
                  </pic:spPr>
                </pic:pic>
              </a:graphicData>
            </a:graphic>
          </wp:anchor>
        </w:drawing>
      </w:r>
    </w:p>
    <w:p>
      <w:pPr>
        <w:spacing w:after="0" w:line="27" w:lineRule="exact"/>
        <w:rPr>
          <w:sz w:val="20"/>
          <w:szCs w:val="20"/>
          <w:color w:val="auto"/>
        </w:rPr>
      </w:pPr>
    </w:p>
    <w:p>
      <w:pPr>
        <w:ind w:left="10503"/>
        <w:spacing w:after="0"/>
        <w:rPr>
          <w:sz w:val="20"/>
          <w:szCs w:val="20"/>
          <w:color w:val="auto"/>
        </w:rPr>
      </w:pPr>
      <w:r>
        <w:rPr>
          <w:rFonts w:ascii="Arial" w:cs="Arial" w:eastAsia="Arial" w:hAnsi="Arial"/>
          <w:sz w:val="15"/>
          <w:szCs w:val="15"/>
          <w:color w:val="auto"/>
        </w:rPr>
        <w:t>Mark A. Snell</w:t>
      </w:r>
    </w:p>
    <w:p>
      <w:pPr>
        <w:spacing w:after="0" w:line="47" w:lineRule="exact"/>
        <w:rPr>
          <w:sz w:val="20"/>
          <w:szCs w:val="20"/>
          <w:color w:val="auto"/>
        </w:rPr>
      </w:pPr>
    </w:p>
    <w:p>
      <w:pPr>
        <w:ind w:left="9903"/>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3"/>
          </w:cols>
          <w:pgMar w:left="237" w:top="120"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9"/>
          <w:szCs w:val="19"/>
          <w:i w:val="1"/>
          <w:iCs w:val="1"/>
          <w:color w:val="auto"/>
        </w:rPr>
        <w:t>EXHIBIT 31.3</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Jessie J. Knight, Jr., certify that:</w:t>
      </w:r>
    </w:p>
    <w:p>
      <w:pPr>
        <w:spacing w:after="0" w:line="244" w:lineRule="exact"/>
        <w:rPr>
          <w:sz w:val="20"/>
          <w:szCs w:val="20"/>
          <w:color w:val="auto"/>
        </w:rPr>
      </w:pPr>
    </w:p>
    <w:p>
      <w:pPr>
        <w:ind w:left="283" w:hanging="283"/>
        <w:spacing w:after="0"/>
        <w:tabs>
          <w:tab w:leader="none" w:pos="283" w:val="left"/>
        </w:tabs>
        <w:numPr>
          <w:ilvl w:val="0"/>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San Diego Gas &amp; Electric Company;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5"/>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9903"/>
        <w:spacing w:after="0"/>
        <w:rPr>
          <w:sz w:val="20"/>
          <w:szCs w:val="20"/>
          <w:color w:val="auto"/>
        </w:rPr>
      </w:pPr>
      <w:r>
        <w:rPr>
          <w:rFonts w:ascii="Arial" w:cs="Arial" w:eastAsia="Arial" w:hAnsi="Arial"/>
          <w:sz w:val="15"/>
          <w:szCs w:val="15"/>
          <w:color w:val="auto"/>
        </w:rPr>
        <w:t>/S/ Jessie J. Knight, Jr</w:t>
      </w:r>
      <w:r>
        <w:rPr>
          <w:rFonts w:ascii="Arial" w:cs="Arial" w:eastAsia="Arial" w:hAnsi="Arial"/>
          <w:sz w:val="15"/>
          <w:szCs w:val="15"/>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29845</wp:posOffset>
            </wp:positionV>
            <wp:extent cx="23501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50135" cy="7620"/>
                    </a:xfrm>
                    <a:prstGeom prst="rect">
                      <a:avLst/>
                    </a:prstGeom>
                    <a:noFill/>
                  </pic:spPr>
                </pic:pic>
              </a:graphicData>
            </a:graphic>
          </wp:anchor>
        </w:drawing>
      </w:r>
    </w:p>
    <w:p>
      <w:pPr>
        <w:spacing w:after="0" w:line="39" w:lineRule="exact"/>
        <w:rPr>
          <w:sz w:val="20"/>
          <w:szCs w:val="20"/>
          <w:color w:val="auto"/>
        </w:rPr>
      </w:pPr>
    </w:p>
    <w:p>
      <w:pPr>
        <w:ind w:left="10183"/>
        <w:spacing w:after="0"/>
        <w:rPr>
          <w:sz w:val="20"/>
          <w:szCs w:val="20"/>
          <w:color w:val="auto"/>
        </w:rPr>
      </w:pPr>
      <w:r>
        <w:rPr>
          <w:rFonts w:ascii="Arial" w:cs="Arial" w:eastAsia="Arial" w:hAnsi="Arial"/>
          <w:sz w:val="14"/>
          <w:szCs w:val="14"/>
          <w:color w:val="auto"/>
        </w:rPr>
        <w:t>Jessie J. Knight, Jr.</w:t>
      </w:r>
    </w:p>
    <w:p>
      <w:pPr>
        <w:spacing w:after="0" w:line="58" w:lineRule="exact"/>
        <w:rPr>
          <w:sz w:val="20"/>
          <w:szCs w:val="20"/>
          <w:color w:val="auto"/>
        </w:rPr>
      </w:pPr>
    </w:p>
    <w:p>
      <w:pPr>
        <w:ind w:left="9863"/>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3"/>
          </w:cols>
          <w:pgMar w:left="237" w:top="120"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i w:val="1"/>
          <w:iCs w:val="1"/>
          <w:color w:val="auto"/>
        </w:rPr>
        <w:t>EXHIBIT 31.4</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Robert M. Schlax, certify that:</w:t>
      </w:r>
    </w:p>
    <w:p>
      <w:pPr>
        <w:spacing w:after="0" w:line="244" w:lineRule="exact"/>
        <w:rPr>
          <w:sz w:val="20"/>
          <w:szCs w:val="20"/>
          <w:color w:val="auto"/>
        </w:rPr>
      </w:pPr>
    </w:p>
    <w:p>
      <w:pPr>
        <w:ind w:left="283" w:hanging="283"/>
        <w:spacing w:after="0"/>
        <w:tabs>
          <w:tab w:leader="none" w:pos="283" w:val="left"/>
        </w:tabs>
        <w:numPr>
          <w:ilvl w:val="0"/>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San Diego Gas &amp; Electric Company;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6"/>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10003"/>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29845</wp:posOffset>
            </wp:positionV>
            <wp:extent cx="22110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11070" cy="7620"/>
                    </a:xfrm>
                    <a:prstGeom prst="rect">
                      <a:avLst/>
                    </a:prstGeom>
                    <a:noFill/>
                  </pic:spPr>
                </pic:pic>
              </a:graphicData>
            </a:graphic>
          </wp:anchor>
        </w:drawing>
      </w:r>
    </w:p>
    <w:p>
      <w:pPr>
        <w:spacing w:after="0" w:line="39" w:lineRule="exact"/>
        <w:rPr>
          <w:sz w:val="20"/>
          <w:szCs w:val="20"/>
          <w:color w:val="auto"/>
        </w:rPr>
      </w:pPr>
    </w:p>
    <w:p>
      <w:pPr>
        <w:ind w:left="10263"/>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3"/>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3"/>
          </w:cols>
          <w:pgMar w:left="237" w:top="120"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i w:val="1"/>
          <w:iCs w:val="1"/>
          <w:color w:val="auto"/>
        </w:rPr>
        <w:t>EXHIBIT 31.5</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Michael W. Allman, certify that:</w:t>
      </w:r>
    </w:p>
    <w:p>
      <w:pPr>
        <w:spacing w:after="0" w:line="244" w:lineRule="exact"/>
        <w:rPr>
          <w:sz w:val="20"/>
          <w:szCs w:val="20"/>
          <w:color w:val="auto"/>
        </w:rPr>
      </w:pPr>
    </w:p>
    <w:p>
      <w:pPr>
        <w:ind w:left="283" w:hanging="283"/>
        <w:spacing w:after="0"/>
        <w:tabs>
          <w:tab w:leader="none" w:pos="283" w:val="left"/>
        </w:tabs>
        <w:numPr>
          <w:ilvl w:val="0"/>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Pacific Enterprises;</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7"/>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9883"/>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5327015</wp:posOffset>
            </wp:positionH>
            <wp:positionV relativeFrom="paragraph">
              <wp:posOffset>29845</wp:posOffset>
            </wp:positionV>
            <wp:extent cx="193294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32940" cy="7620"/>
                    </a:xfrm>
                    <a:prstGeom prst="rect">
                      <a:avLst/>
                    </a:prstGeom>
                    <a:noFill/>
                  </pic:spPr>
                </pic:pic>
              </a:graphicData>
            </a:graphic>
          </wp:anchor>
        </w:drawing>
      </w:r>
    </w:p>
    <w:p>
      <w:pPr>
        <w:spacing w:after="0" w:line="39" w:lineRule="exact"/>
        <w:rPr>
          <w:sz w:val="20"/>
          <w:szCs w:val="20"/>
          <w:color w:val="auto"/>
        </w:rPr>
      </w:pPr>
    </w:p>
    <w:p>
      <w:pPr>
        <w:ind w:left="10143"/>
        <w:spacing w:after="0"/>
        <w:rPr>
          <w:sz w:val="20"/>
          <w:szCs w:val="20"/>
          <w:color w:val="auto"/>
        </w:rPr>
      </w:pPr>
      <w:r>
        <w:rPr>
          <w:rFonts w:ascii="Arial" w:cs="Arial" w:eastAsia="Arial" w:hAnsi="Arial"/>
          <w:sz w:val="15"/>
          <w:szCs w:val="15"/>
          <w:color w:val="auto"/>
        </w:rPr>
        <w:t>Michael W. Allman</w:t>
      </w:r>
    </w:p>
    <w:p>
      <w:pPr>
        <w:spacing w:after="0" w:line="47" w:lineRule="exact"/>
        <w:rPr>
          <w:sz w:val="20"/>
          <w:szCs w:val="20"/>
          <w:color w:val="auto"/>
        </w:rPr>
      </w:pPr>
    </w:p>
    <w:p>
      <w:pPr>
        <w:ind w:left="9863"/>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3"/>
          </w:cols>
          <w:pgMar w:left="237" w:top="120"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i w:val="1"/>
          <w:iCs w:val="1"/>
          <w:color w:val="auto"/>
        </w:rPr>
        <w:t>EXHIBIT 31.6</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Robert M. Schlax, certify that:</w:t>
      </w:r>
    </w:p>
    <w:p>
      <w:pPr>
        <w:spacing w:after="0" w:line="244" w:lineRule="exact"/>
        <w:rPr>
          <w:sz w:val="20"/>
          <w:szCs w:val="20"/>
          <w:color w:val="auto"/>
        </w:rPr>
      </w:pPr>
    </w:p>
    <w:p>
      <w:pPr>
        <w:ind w:left="283" w:hanging="283"/>
        <w:spacing w:after="0"/>
        <w:tabs>
          <w:tab w:leader="none" w:pos="283" w:val="left"/>
        </w:tabs>
        <w:numPr>
          <w:ilvl w:val="0"/>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Pacific Enterprises;</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8"/>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8"/>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10003"/>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5512435</wp:posOffset>
            </wp:positionH>
            <wp:positionV relativeFrom="paragraph">
              <wp:posOffset>29845</wp:posOffset>
            </wp:positionV>
            <wp:extent cx="174752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47520" cy="7620"/>
                    </a:xfrm>
                    <a:prstGeom prst="rect">
                      <a:avLst/>
                    </a:prstGeom>
                    <a:noFill/>
                  </pic:spPr>
                </pic:pic>
              </a:graphicData>
            </a:graphic>
          </wp:anchor>
        </w:drawing>
      </w:r>
    </w:p>
    <w:p>
      <w:pPr>
        <w:spacing w:after="0" w:line="39" w:lineRule="exact"/>
        <w:rPr>
          <w:sz w:val="20"/>
          <w:szCs w:val="20"/>
          <w:color w:val="auto"/>
        </w:rPr>
      </w:pPr>
    </w:p>
    <w:p>
      <w:pPr>
        <w:ind w:left="10263"/>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3"/>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3"/>
          </w:cols>
          <w:pgMar w:left="237" w:top="120"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9"/>
          <w:szCs w:val="19"/>
          <w:i w:val="1"/>
          <w:iCs w:val="1"/>
          <w:color w:val="auto"/>
        </w:rPr>
        <w:t>EXHIBIT 31.7</w:t>
      </w:r>
    </w:p>
    <w:p>
      <w:pPr>
        <w:spacing w:after="0" w:line="18"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Michael W. Allman, certify that:</w:t>
      </w:r>
    </w:p>
    <w:p>
      <w:pPr>
        <w:spacing w:after="0" w:line="244" w:lineRule="exact"/>
        <w:rPr>
          <w:sz w:val="20"/>
          <w:szCs w:val="20"/>
          <w:color w:val="auto"/>
        </w:rPr>
      </w:pPr>
    </w:p>
    <w:p>
      <w:pPr>
        <w:ind w:left="283" w:hanging="283"/>
        <w:spacing w:after="0"/>
        <w:tabs>
          <w:tab w:leader="none" w:pos="283" w:val="left"/>
        </w:tabs>
        <w:numPr>
          <w:ilvl w:val="0"/>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Southern California Gas Company;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09"/>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9883"/>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29845</wp:posOffset>
            </wp:positionV>
            <wp:extent cx="216471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64715" cy="7620"/>
                    </a:xfrm>
                    <a:prstGeom prst="rect">
                      <a:avLst/>
                    </a:prstGeom>
                    <a:noFill/>
                  </pic:spPr>
                </pic:pic>
              </a:graphicData>
            </a:graphic>
          </wp:anchor>
        </w:drawing>
      </w:r>
    </w:p>
    <w:p>
      <w:pPr>
        <w:spacing w:after="0" w:line="39" w:lineRule="exact"/>
        <w:rPr>
          <w:sz w:val="20"/>
          <w:szCs w:val="20"/>
          <w:color w:val="auto"/>
        </w:rPr>
      </w:pPr>
    </w:p>
    <w:p>
      <w:pPr>
        <w:ind w:left="10143"/>
        <w:spacing w:after="0"/>
        <w:rPr>
          <w:sz w:val="20"/>
          <w:szCs w:val="20"/>
          <w:color w:val="auto"/>
        </w:rPr>
      </w:pPr>
      <w:r>
        <w:rPr>
          <w:rFonts w:ascii="Arial" w:cs="Arial" w:eastAsia="Arial" w:hAnsi="Arial"/>
          <w:sz w:val="15"/>
          <w:szCs w:val="15"/>
          <w:color w:val="auto"/>
        </w:rPr>
        <w:t>Michael W. Allman</w:t>
      </w:r>
    </w:p>
    <w:p>
      <w:pPr>
        <w:spacing w:after="0" w:line="47" w:lineRule="exact"/>
        <w:rPr>
          <w:sz w:val="20"/>
          <w:szCs w:val="20"/>
          <w:color w:val="auto"/>
        </w:rPr>
      </w:pPr>
    </w:p>
    <w:p>
      <w:pPr>
        <w:ind w:left="9863"/>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3"/>
          </w:cols>
          <w:pgMar w:left="237" w:top="120" w:right="219" w:bottom="1440" w:gutter="0" w:footer="0" w:header="0"/>
        </w:sectPr>
      </w:pPr>
    </w:p>
    <w:bookmarkStart w:id="85" w:name="page86"/>
    <w:bookmarkEnd w:id="85"/>
    <w:p>
      <w:pPr>
        <w:jc w:val="right"/>
        <w:spacing w:after="0"/>
        <w:rPr>
          <w:sz w:val="20"/>
          <w:szCs w:val="20"/>
          <w:color w:val="auto"/>
        </w:rPr>
      </w:pPr>
      <w:r>
        <w:rPr>
          <w:rFonts w:ascii="Arial" w:cs="Arial" w:eastAsia="Arial" w:hAnsi="Arial"/>
          <w:sz w:val="19"/>
          <w:szCs w:val="19"/>
          <w:i w:val="1"/>
          <w:iCs w:val="1"/>
          <w:color w:val="auto"/>
        </w:rPr>
        <w:t>EXHIBIT 31.8</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9"/>
          <w:szCs w:val="19"/>
          <w:i w:val="1"/>
          <w:iCs w:val="1"/>
          <w:color w:val="auto"/>
        </w:rPr>
        <w:t>CERTIFICATION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I, Robert M. Schlax, certify that:</w:t>
      </w:r>
    </w:p>
    <w:p>
      <w:pPr>
        <w:spacing w:after="0" w:line="244" w:lineRule="exact"/>
        <w:rPr>
          <w:sz w:val="20"/>
          <w:szCs w:val="20"/>
          <w:color w:val="auto"/>
        </w:rPr>
      </w:pPr>
    </w:p>
    <w:p>
      <w:pPr>
        <w:ind w:left="283" w:hanging="283"/>
        <w:spacing w:after="0"/>
        <w:tabs>
          <w:tab w:leader="none" w:pos="283" w:val="left"/>
        </w:tabs>
        <w:numPr>
          <w:ilvl w:val="0"/>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I have reviewed this report on Form 10-Q of Southern California Gas Company;</w:t>
      </w:r>
    </w:p>
    <w:p>
      <w:pPr>
        <w:spacing w:after="0" w:line="244" w:lineRule="exact"/>
        <w:rPr>
          <w:rFonts w:ascii="Arial" w:cs="Arial" w:eastAsia="Arial" w:hAnsi="Arial"/>
          <w:sz w:val="19"/>
          <w:szCs w:val="19"/>
          <w:i w:val="1"/>
          <w:iCs w:val="1"/>
          <w:color w:val="auto"/>
        </w:rPr>
      </w:pPr>
    </w:p>
    <w:p>
      <w:pPr>
        <w:ind w:left="283" w:right="40" w:hanging="283"/>
        <w:spacing w:after="0" w:line="256" w:lineRule="auto"/>
        <w:tabs>
          <w:tab w:leader="none" w:pos="283" w:val="left"/>
        </w:tabs>
        <w:numPr>
          <w:ilvl w:val="0"/>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i w:val="1"/>
          <w:iCs w:val="1"/>
          <w:color w:val="auto"/>
        </w:rPr>
      </w:pPr>
    </w:p>
    <w:p>
      <w:pPr>
        <w:ind w:left="283" w:hanging="283"/>
        <w:spacing w:after="0" w:line="301" w:lineRule="auto"/>
        <w:tabs>
          <w:tab w:leader="none" w:pos="283"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i w:val="1"/>
          <w:iCs w:val="1"/>
          <w:color w:val="auto"/>
        </w:rPr>
      </w:pPr>
    </w:p>
    <w:p>
      <w:pPr>
        <w:jc w:val="both"/>
        <w:ind w:left="283" w:right="140" w:hanging="283"/>
        <w:spacing w:after="0" w:line="256" w:lineRule="auto"/>
        <w:tabs>
          <w:tab w:leader="none" w:pos="283" w:val="left"/>
        </w:tabs>
        <w:numPr>
          <w:ilvl w:val="0"/>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9"/>
          <w:szCs w:val="19"/>
          <w:i w:val="1"/>
          <w:iCs w:val="1"/>
          <w:color w:val="auto"/>
        </w:rPr>
      </w:pPr>
    </w:p>
    <w:p>
      <w:pPr>
        <w:ind w:left="883" w:right="100" w:hanging="298"/>
        <w:spacing w:after="0" w:line="256" w:lineRule="auto"/>
        <w:tabs>
          <w:tab w:leader="none" w:pos="883" w:val="left"/>
        </w:tabs>
        <w:numPr>
          <w:ilvl w:val="1"/>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i w:val="1"/>
          <w:iCs w:val="1"/>
          <w:color w:val="auto"/>
        </w:rPr>
      </w:pPr>
    </w:p>
    <w:p>
      <w:pPr>
        <w:ind w:left="883" w:right="120" w:hanging="298"/>
        <w:spacing w:after="0" w:line="256" w:lineRule="auto"/>
        <w:tabs>
          <w:tab w:leader="none" w:pos="883" w:val="left"/>
        </w:tabs>
        <w:numPr>
          <w:ilvl w:val="1"/>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i w:val="1"/>
          <w:iCs w:val="1"/>
          <w:color w:val="auto"/>
        </w:rPr>
      </w:pPr>
    </w:p>
    <w:p>
      <w:pPr>
        <w:ind w:left="883" w:right="20" w:hanging="298"/>
        <w:spacing w:after="0" w:line="256" w:lineRule="auto"/>
        <w:tabs>
          <w:tab w:leader="none" w:pos="883" w:val="left"/>
        </w:tabs>
        <w:numPr>
          <w:ilvl w:val="1"/>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i w:val="1"/>
          <w:iCs w:val="1"/>
          <w:color w:val="auto"/>
        </w:rPr>
      </w:pPr>
    </w:p>
    <w:p>
      <w:pPr>
        <w:ind w:left="883" w:right="320" w:hanging="298"/>
        <w:spacing w:after="0" w:line="256" w:lineRule="auto"/>
        <w:tabs>
          <w:tab w:leader="none" w:pos="883" w:val="left"/>
        </w:tabs>
        <w:numPr>
          <w:ilvl w:val="1"/>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9"/>
          <w:szCs w:val="19"/>
          <w:i w:val="1"/>
          <w:iCs w:val="1"/>
          <w:color w:val="auto"/>
        </w:rPr>
      </w:pPr>
    </w:p>
    <w:p>
      <w:pPr>
        <w:ind w:left="283" w:right="120" w:hanging="283"/>
        <w:spacing w:after="0" w:line="333" w:lineRule="auto"/>
        <w:tabs>
          <w:tab w:leader="none" w:pos="283" w:val="left"/>
        </w:tabs>
        <w:numPr>
          <w:ilvl w:val="0"/>
          <w:numId w:val="110"/>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7"/>
          <w:szCs w:val="17"/>
          <w:i w:val="1"/>
          <w:iCs w:val="1"/>
          <w:color w:val="auto"/>
        </w:rPr>
      </w:pPr>
    </w:p>
    <w:p>
      <w:pPr>
        <w:ind w:left="883" w:right="240" w:hanging="298"/>
        <w:spacing w:after="0" w:line="301" w:lineRule="auto"/>
        <w:tabs>
          <w:tab w:leader="none" w:pos="883" w:val="left"/>
        </w:tabs>
        <w:numPr>
          <w:ilvl w:val="1"/>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i w:val="1"/>
          <w:iCs w:val="1"/>
          <w:color w:val="auto"/>
        </w:rPr>
      </w:pPr>
    </w:p>
    <w:p>
      <w:pPr>
        <w:ind w:left="883" w:right="580" w:hanging="298"/>
        <w:spacing w:after="0" w:line="272" w:lineRule="auto"/>
        <w:tabs>
          <w:tab w:leader="none" w:pos="883" w:val="left"/>
        </w:tabs>
        <w:numPr>
          <w:ilvl w:val="1"/>
          <w:numId w:val="110"/>
        </w:numPr>
        <w:rPr>
          <w:rFonts w:ascii="Arial" w:cs="Arial" w:eastAsia="Arial" w:hAnsi="Arial"/>
          <w:sz w:val="19"/>
          <w:szCs w:val="19"/>
          <w:i w:val="1"/>
          <w:iCs w:val="1"/>
          <w:color w:val="auto"/>
        </w:rPr>
      </w:pPr>
      <w:r>
        <w:rPr>
          <w:rFonts w:ascii="Arial" w:cs="Arial" w:eastAsia="Arial" w:hAnsi="Arial"/>
          <w:sz w:val="19"/>
          <w:szCs w:val="19"/>
          <w:i w:val="1"/>
          <w:iCs w:val="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9"/>
          <w:szCs w:val="19"/>
          <w:i w:val="1"/>
          <w:iCs w:val="1"/>
          <w:color w:val="auto"/>
        </w:rPr>
        <w:t>August 3, 2010</w:t>
      </w:r>
    </w:p>
    <w:p>
      <w:pPr>
        <w:spacing w:after="0" w:line="263" w:lineRule="exact"/>
        <w:rPr>
          <w:sz w:val="20"/>
          <w:szCs w:val="20"/>
          <w:color w:val="auto"/>
        </w:rPr>
      </w:pPr>
    </w:p>
    <w:p>
      <w:pPr>
        <w:ind w:left="10003"/>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5187950</wp:posOffset>
            </wp:positionH>
            <wp:positionV relativeFrom="paragraph">
              <wp:posOffset>29845</wp:posOffset>
            </wp:positionV>
            <wp:extent cx="207200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72005" cy="7620"/>
                    </a:xfrm>
                    <a:prstGeom prst="rect">
                      <a:avLst/>
                    </a:prstGeom>
                    <a:noFill/>
                  </pic:spPr>
                </pic:pic>
              </a:graphicData>
            </a:graphic>
          </wp:anchor>
        </w:drawing>
      </w:r>
    </w:p>
    <w:p>
      <w:pPr>
        <w:spacing w:after="0" w:line="39" w:lineRule="exact"/>
        <w:rPr>
          <w:sz w:val="20"/>
          <w:szCs w:val="20"/>
          <w:color w:val="auto"/>
        </w:rPr>
      </w:pPr>
    </w:p>
    <w:p>
      <w:pPr>
        <w:ind w:left="10263"/>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3"/>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3"/>
          </w:cols>
          <w:pgMar w:left="237" w:top="120" w:right="219" w:bottom="1440" w:gutter="0" w:footer="0" w:header="0"/>
        </w:sectPr>
      </w:pPr>
    </w:p>
    <w:bookmarkStart w:id="86" w:name="page87"/>
    <w:bookmarkEnd w:id="86"/>
    <w:p>
      <w:pPr>
        <w:jc w:val="right"/>
        <w:spacing w:after="0"/>
        <w:rPr>
          <w:sz w:val="20"/>
          <w:szCs w:val="20"/>
          <w:color w:val="auto"/>
        </w:rPr>
      </w:pPr>
      <w:r>
        <w:rPr>
          <w:rFonts w:ascii="Arial" w:cs="Arial" w:eastAsia="Arial" w:hAnsi="Arial"/>
          <w:sz w:val="19"/>
          <w:szCs w:val="19"/>
          <w:i w:val="1"/>
          <w:i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Executive Officer</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Executive Officer of Sempra Energy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1"/>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1"/>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9860"/>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29845</wp:posOffset>
            </wp:positionV>
            <wp:extent cx="20256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25650" cy="7620"/>
                    </a:xfrm>
                    <a:prstGeom prst="rect">
                      <a:avLst/>
                    </a:prstGeom>
                    <a:noFill/>
                  </pic:spPr>
                </pic:pic>
              </a:graphicData>
            </a:graphic>
          </wp:anchor>
        </w:drawing>
      </w:r>
    </w:p>
    <w:p>
      <w:pPr>
        <w:spacing w:after="0" w:line="39"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Donald E. Felsinger</w:t>
      </w:r>
    </w:p>
    <w:p>
      <w:pPr>
        <w:spacing w:after="0" w:line="47" w:lineRule="exact"/>
        <w:rPr>
          <w:sz w:val="20"/>
          <w:szCs w:val="20"/>
          <w:color w:val="auto"/>
        </w:rPr>
      </w:pPr>
    </w:p>
    <w:p>
      <w:pPr>
        <w:ind w:left="98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0"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i w:val="1"/>
          <w:i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Financial Officer</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Financial Officer of Sempra Energy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2"/>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2"/>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22860</wp:posOffset>
            </wp:positionV>
            <wp:extent cx="21183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18360" cy="7620"/>
                    </a:xfrm>
                    <a:prstGeom prst="rect">
                      <a:avLst/>
                    </a:prstGeom>
                    <a:noFill/>
                  </pic:spPr>
                </pic:pic>
              </a:graphicData>
            </a:graphic>
          </wp:anchor>
        </w:drawing>
      </w:r>
    </w:p>
    <w:p>
      <w:pPr>
        <w:spacing w:after="0" w:line="27" w:lineRule="exact"/>
        <w:rPr>
          <w:sz w:val="20"/>
          <w:szCs w:val="20"/>
          <w:color w:val="auto"/>
        </w:rPr>
      </w:pPr>
    </w:p>
    <w:p>
      <w:pPr>
        <w:ind w:left="10500"/>
        <w:spacing w:after="0"/>
        <w:rPr>
          <w:sz w:val="20"/>
          <w:szCs w:val="20"/>
          <w:color w:val="auto"/>
        </w:rPr>
      </w:pPr>
      <w:r>
        <w:rPr>
          <w:rFonts w:ascii="Arial" w:cs="Arial" w:eastAsia="Arial" w:hAnsi="Arial"/>
          <w:sz w:val="15"/>
          <w:szCs w:val="15"/>
          <w:color w:val="auto"/>
        </w:rPr>
        <w:t>Mark A. Snell</w:t>
      </w:r>
    </w:p>
    <w:p>
      <w:pPr>
        <w:spacing w:after="0" w:line="47"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0"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i w:val="1"/>
          <w:iCs w:val="1"/>
          <w:color w:val="auto"/>
        </w:rPr>
        <w:t>Exhibit 32.3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Executive Officer</w:t>
      </w:r>
    </w:p>
    <w:p>
      <w:pPr>
        <w:spacing w:after="0" w:line="220" w:lineRule="exact"/>
        <w:rPr>
          <w:sz w:val="20"/>
          <w:szCs w:val="20"/>
          <w:color w:val="auto"/>
        </w:rPr>
      </w:pPr>
    </w:p>
    <w:p>
      <w:pPr>
        <w:ind w:right="38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Executive Officer of San Diego Gas &amp; Electric Company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37465</wp:posOffset>
            </wp:positionV>
            <wp:extent cx="216471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4715" cy="7620"/>
                    </a:xfrm>
                    <a:prstGeom prst="rect">
                      <a:avLst/>
                    </a:prstGeom>
                    <a:noFill/>
                  </pic:spPr>
                </pic:pic>
              </a:graphicData>
            </a:graphic>
          </wp:anchor>
        </w:drawing>
      </w:r>
    </w:p>
    <w:p>
      <w:pPr>
        <w:spacing w:after="0" w:line="50" w:lineRule="exact"/>
        <w:rPr>
          <w:sz w:val="20"/>
          <w:szCs w:val="20"/>
          <w:color w:val="auto"/>
        </w:rPr>
      </w:pPr>
    </w:p>
    <w:p>
      <w:pPr>
        <w:ind w:left="10180"/>
        <w:spacing w:after="0"/>
        <w:rPr>
          <w:sz w:val="20"/>
          <w:szCs w:val="20"/>
          <w:color w:val="auto"/>
        </w:rPr>
      </w:pPr>
      <w:r>
        <w:rPr>
          <w:rFonts w:ascii="Arial" w:cs="Arial" w:eastAsia="Arial" w:hAnsi="Arial"/>
          <w:sz w:val="14"/>
          <w:szCs w:val="14"/>
          <w:color w:val="auto"/>
        </w:rPr>
        <w:t>Jessie J. Knight, Jr.</w:t>
      </w:r>
    </w:p>
    <w:p>
      <w:pPr>
        <w:spacing w:after="0" w:line="58" w:lineRule="exact"/>
        <w:rPr>
          <w:sz w:val="20"/>
          <w:szCs w:val="20"/>
          <w:color w:val="auto"/>
        </w:rPr>
      </w:pPr>
    </w:p>
    <w:p>
      <w:pPr>
        <w:ind w:left="98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0"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9"/>
          <w:szCs w:val="19"/>
          <w:i w:val="1"/>
          <w:iCs w:val="1"/>
          <w:color w:val="auto"/>
        </w:rPr>
        <w:t>Exhibit 32.4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Financial Officer</w:t>
      </w:r>
    </w:p>
    <w:p>
      <w:pPr>
        <w:spacing w:after="0" w:line="220" w:lineRule="exact"/>
        <w:rPr>
          <w:sz w:val="20"/>
          <w:szCs w:val="20"/>
          <w:color w:val="auto"/>
        </w:rPr>
      </w:pPr>
    </w:p>
    <w:p>
      <w:pPr>
        <w:ind w:right="38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Financial Officer of San Diego Gas &amp; Electric Company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4"/>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4"/>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29845</wp:posOffset>
            </wp:positionV>
            <wp:extent cx="211836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18360" cy="7620"/>
                    </a:xfrm>
                    <a:prstGeom prst="rect">
                      <a:avLst/>
                    </a:prstGeom>
                    <a:noFill/>
                  </pic:spPr>
                </pic:pic>
              </a:graphicData>
            </a:graphic>
          </wp:anchor>
        </w:drawing>
      </w:r>
    </w:p>
    <w:p>
      <w:pPr>
        <w:spacing w:after="0" w:line="39"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0"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i w:val="1"/>
          <w:iCs w:val="1"/>
          <w:color w:val="auto"/>
        </w:rPr>
        <w:t>Exhibit 32.5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Executive Officer</w:t>
      </w:r>
    </w:p>
    <w:p>
      <w:pPr>
        <w:spacing w:after="0" w:line="220"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Executive Officer of Pacific Enterprises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5"/>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5"/>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179387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93875" cy="7620"/>
                    </a:xfrm>
                    <a:prstGeom prst="rect">
                      <a:avLst/>
                    </a:prstGeom>
                    <a:noFill/>
                  </pic:spPr>
                </pic:pic>
              </a:graphicData>
            </a:graphic>
          </wp:anchor>
        </w:drawing>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Michael W. Allman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0"/>
          </w:cols>
          <w:pgMar w:left="240" w:top="120"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9"/>
          <w:szCs w:val="19"/>
          <w:i w:val="1"/>
          <w:iCs w:val="1"/>
          <w:color w:val="auto"/>
        </w:rPr>
        <w:t>Exhibit 32.6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Financial Officer</w:t>
      </w:r>
    </w:p>
    <w:p>
      <w:pPr>
        <w:spacing w:after="0" w:line="220"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i w:val="1"/>
          <w:iCs w:val="1"/>
          <w:color w:val="auto"/>
        </w:rPr>
        <w:t>Pursuant to 18 U.S.C. Sec 1350, as created by Section 906 of the Sarbanes-Oxley Act of 2002, the undersigned Chief Financial Officer of Pacific Enterprises (the "Company") certifies that:</w:t>
      </w:r>
    </w:p>
    <w:p>
      <w:pPr>
        <w:spacing w:after="0" w:line="187" w:lineRule="exact"/>
        <w:rPr>
          <w:sz w:val="20"/>
          <w:szCs w:val="20"/>
          <w:color w:val="auto"/>
        </w:rPr>
      </w:pPr>
    </w:p>
    <w:p>
      <w:pPr>
        <w:ind w:left="1160" w:right="40" w:hanging="578"/>
        <w:spacing w:after="0" w:line="256" w:lineRule="auto"/>
        <w:tabs>
          <w:tab w:leader="none" w:pos="1160" w:val="left"/>
        </w:tabs>
        <w:numPr>
          <w:ilvl w:val="0"/>
          <w:numId w:val="116"/>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6"/>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5511165</wp:posOffset>
            </wp:positionH>
            <wp:positionV relativeFrom="paragraph">
              <wp:posOffset>29845</wp:posOffset>
            </wp:positionV>
            <wp:extent cx="17475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47520" cy="7620"/>
                    </a:xfrm>
                    <a:prstGeom prst="rect">
                      <a:avLst/>
                    </a:prstGeom>
                    <a:noFill/>
                  </pic:spPr>
                </pic:pic>
              </a:graphicData>
            </a:graphic>
          </wp:anchor>
        </w:drawing>
      </w:r>
    </w:p>
    <w:p>
      <w:pPr>
        <w:spacing w:after="0" w:line="39"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0"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i w:val="1"/>
          <w:iCs w:val="1"/>
          <w:color w:val="auto"/>
        </w:rPr>
        <w:t>Exhibit 32.7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Pursuant to 18 U.S.C. Sec 1350, as created by Section 906 of the Sarbanes-Oxley Act of 2002, the undersigned Chief Executive Officer of</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Southern California Gas Company (the "Company") certifies that:</w:t>
      </w:r>
    </w:p>
    <w:p>
      <w:pPr>
        <w:spacing w:after="0" w:line="228" w:lineRule="exact"/>
        <w:rPr>
          <w:sz w:val="20"/>
          <w:szCs w:val="20"/>
          <w:color w:val="auto"/>
        </w:rPr>
      </w:pPr>
    </w:p>
    <w:p>
      <w:pPr>
        <w:ind w:left="1160" w:right="40" w:hanging="578"/>
        <w:spacing w:after="0" w:line="256" w:lineRule="auto"/>
        <w:tabs>
          <w:tab w:leader="none" w:pos="1160" w:val="left"/>
        </w:tabs>
        <w:numPr>
          <w:ilvl w:val="0"/>
          <w:numId w:val="117"/>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7"/>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348"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29845</wp:posOffset>
            </wp:positionV>
            <wp:extent cx="207200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72005" cy="7620"/>
                    </a:xfrm>
                    <a:prstGeom prst="rect">
                      <a:avLst/>
                    </a:prstGeom>
                    <a:noFill/>
                  </pic:spPr>
                </pic:pic>
              </a:graphicData>
            </a:graphic>
          </wp:anchor>
        </w:drawing>
      </w:r>
    </w:p>
    <w:p>
      <w:pPr>
        <w:spacing w:after="0" w:line="39"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Michael W. Allman</w:t>
      </w:r>
    </w:p>
    <w:p>
      <w:pPr>
        <w:spacing w:after="0" w:line="47" w:lineRule="exact"/>
        <w:rPr>
          <w:sz w:val="20"/>
          <w:szCs w:val="20"/>
          <w:color w:val="auto"/>
        </w:rPr>
      </w:pPr>
    </w:p>
    <w:p>
      <w:pPr>
        <w:ind w:left="98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20"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i w:val="1"/>
          <w:iCs w:val="1"/>
          <w:color w:val="auto"/>
        </w:rPr>
        <w:t>Exhibit 32.8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Statement of Chief Financial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Pursuant to 18 U.S.C. Sec 1350, as created by Section 906 of the Sarbanes-Oxley Act of 2002, the undersigned Chief Financial Officer of</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Southern California Gas Company (the "Company") certifies that:</w:t>
      </w:r>
    </w:p>
    <w:p>
      <w:pPr>
        <w:spacing w:after="0" w:line="228" w:lineRule="exact"/>
        <w:rPr>
          <w:sz w:val="20"/>
          <w:szCs w:val="20"/>
          <w:color w:val="auto"/>
        </w:rPr>
      </w:pPr>
    </w:p>
    <w:p>
      <w:pPr>
        <w:ind w:left="1160" w:right="40" w:hanging="578"/>
        <w:spacing w:after="0" w:line="256" w:lineRule="auto"/>
        <w:tabs>
          <w:tab w:leader="none" w:pos="1160" w:val="left"/>
        </w:tabs>
        <w:numPr>
          <w:ilvl w:val="0"/>
          <w:numId w:val="118"/>
        </w:numPr>
        <w:rPr>
          <w:rFonts w:ascii="Arial" w:cs="Arial" w:eastAsia="Arial" w:hAnsi="Arial"/>
          <w:sz w:val="19"/>
          <w:szCs w:val="19"/>
          <w:i w:val="1"/>
          <w:iCs w:val="1"/>
          <w:color w:val="auto"/>
        </w:rPr>
      </w:pPr>
      <w:r>
        <w:rPr>
          <w:rFonts w:ascii="Arial" w:cs="Arial" w:eastAsia="Arial" w:hAnsi="Arial"/>
          <w:sz w:val="19"/>
          <w:szCs w:val="19"/>
          <w:i w:val="1"/>
          <w:iCs w:val="1"/>
          <w:color w:val="auto"/>
        </w:rPr>
        <w:t>the Quarterly Report on Form 10-Q of the Company filed with the Securities and Exchange Commission for the quarter ended June 30, 2010 (the "Quarterly Report") fully complies with the requirements of Section 13(a) or Section 15(d), as applicable, of the Securities Exchange Act of 1934, as amended; and</w:t>
      </w:r>
    </w:p>
    <w:p>
      <w:pPr>
        <w:spacing w:after="0" w:line="201" w:lineRule="exact"/>
        <w:rPr>
          <w:rFonts w:ascii="Arial" w:cs="Arial" w:eastAsia="Arial" w:hAnsi="Arial"/>
          <w:sz w:val="19"/>
          <w:szCs w:val="19"/>
          <w:i w:val="1"/>
          <w:iCs w:val="1"/>
          <w:color w:val="auto"/>
        </w:rPr>
      </w:pPr>
    </w:p>
    <w:p>
      <w:pPr>
        <w:ind w:left="1160" w:right="340" w:hanging="578"/>
        <w:spacing w:after="0" w:line="272" w:lineRule="auto"/>
        <w:tabs>
          <w:tab w:leader="none" w:pos="1160" w:val="left"/>
        </w:tabs>
        <w:numPr>
          <w:ilvl w:val="0"/>
          <w:numId w:val="118"/>
        </w:numPr>
        <w:rPr>
          <w:rFonts w:ascii="Arial" w:cs="Arial" w:eastAsia="Arial" w:hAnsi="Arial"/>
          <w:sz w:val="19"/>
          <w:szCs w:val="19"/>
          <w:i w:val="1"/>
          <w:iCs w:val="1"/>
          <w:color w:val="auto"/>
        </w:rPr>
      </w:pPr>
      <w:r>
        <w:rPr>
          <w:rFonts w:ascii="Arial" w:cs="Arial" w:eastAsia="Arial" w:hAnsi="Arial"/>
          <w:sz w:val="19"/>
          <w:szCs w:val="19"/>
          <w:i w:val="1"/>
          <w:iCs w:val="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August 3, 2010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29845</wp:posOffset>
            </wp:positionV>
            <wp:extent cx="20720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72005" cy="7620"/>
                    </a:xfrm>
                    <a:prstGeom prst="rect">
                      <a:avLst/>
                    </a:prstGeom>
                    <a:noFill/>
                  </pic:spPr>
                </pic:pic>
              </a:graphicData>
            </a:graphic>
          </wp:anchor>
        </w:drawing>
      </w:r>
    </w:p>
    <w:p>
      <w:pPr>
        <w:spacing w:after="0" w:line="39"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Robert M. Schlax</w:t>
      </w:r>
    </w:p>
    <w:p>
      <w:pPr>
        <w:spacing w:after="0" w:line="47"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20" w:right="21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upperLetter"/>
      <w:start w:val="24"/>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lt;"/>
      <w:numFmt w:val="bullet"/>
      <w:start w:val="1"/>
    </w:lvl>
  </w:abstractNum>
  <w:abstractNum w:abstractNumId="3">
    <w:nsid w:val="10233C99"/>
    <w:multiLevelType w:val="hybridMultilevel"/>
    <w:lvl w:ilvl="0">
      <w:lvlJc w:val="left"/>
      <w:lvlText w:val="&lt;"/>
      <w:numFmt w:val="bullet"/>
      <w:start w:val="1"/>
    </w:lvl>
  </w:abstractNum>
  <w:abstractNum w:abstractNumId="4">
    <w:nsid w:val="3F6AB60F"/>
    <w:multiLevelType w:val="hybridMultilevel"/>
    <w:lvl w:ilvl="0">
      <w:lvlJc w:val="left"/>
      <w:lvlText w:val="&lt;"/>
      <w:numFmt w:val="bullet"/>
      <w:start w:val="1"/>
    </w:lvl>
  </w:abstractNum>
  <w:abstractNum w:abstractNumId="5">
    <w:nsid w:val="61574095"/>
    <w:multiLevelType w:val="hybridMultilevel"/>
    <w:lvl w:ilvl="0">
      <w:lvlJc w:val="left"/>
      <w:lvlText w:val="&lt;"/>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1"/>
      <w:numFmt w:val="decimal"/>
      <w:start w:val="1"/>
    </w:lvl>
    <w:lvl w:ilvl="1">
      <w:lvlJc w:val="left"/>
      <w:lvlText w:val="%2"/>
      <w:numFmt w:val="decimal"/>
      <w:start w:val="14"/>
    </w:lvl>
  </w:abstractNum>
  <w:abstractNum w:abstractNumId="8">
    <w:nsid w:val="579BE4F1"/>
    <w:multiLevelType w:val="hybridMultilevel"/>
    <w:lvl w:ilvl="0">
      <w:lvlJc w:val="left"/>
      <w:lvlText w:val="(%1)"/>
      <w:numFmt w:val="decimal"/>
      <w:start w:val="2"/>
    </w:lvl>
    <w:lvl w:ilvl="1">
      <w:lvlJc w:val="left"/>
      <w:lvlText w:val="%2"/>
      <w:numFmt w:val="decimal"/>
      <w:start w:val="1"/>
    </w:lvl>
  </w:abstractNum>
  <w:abstractNum w:abstractNumId="9">
    <w:nsid w:val="310C50B3"/>
    <w:multiLevelType w:val="hybridMultilevel"/>
    <w:lvl w:ilvl="0">
      <w:lvlJc w:val="left"/>
      <w:lvlText w:val="4"/>
      <w:numFmt w:val="bullet"/>
      <w:start w:val="1"/>
    </w:lvl>
  </w:abstractNum>
  <w:abstractNum w:abstractNumId="10">
    <w:nsid w:val="5FF87E05"/>
    <w:multiLevelType w:val="hybridMultilevel"/>
    <w:lvl w:ilvl="0">
      <w:lvlJc w:val="left"/>
      <w:lvlText w:val="(%1)"/>
      <w:numFmt w:val="decimal"/>
      <w:start w:val="10"/>
    </w:lvl>
  </w:abstractNum>
  <w:abstractNum w:abstractNumId="11">
    <w:nsid w:val="2F305DEF"/>
    <w:multiLevelType w:val="hybridMultilevel"/>
    <w:lvl w:ilvl="0">
      <w:lvlJc w:val="left"/>
      <w:lvlText w:val="(%1)"/>
      <w:numFmt w:val="decimal"/>
      <w:start w:val="216"/>
    </w:lvl>
  </w:abstractNum>
  <w:abstractNum w:abstractNumId="12">
    <w:nsid w:val="25A70BF7"/>
    <w:multiLevelType w:val="hybridMultilevel"/>
    <w:lvl w:ilvl="0">
      <w:lvlJc w:val="left"/>
      <w:lvlText w:val="(%1)"/>
      <w:numFmt w:val="decimal"/>
      <w:start w:val="239"/>
    </w:lvl>
  </w:abstractNum>
  <w:abstractNum w:abstractNumId="13">
    <w:nsid w:val="1DBABF00"/>
    <w:multiLevelType w:val="hybridMultilevel"/>
    <w:lvl w:ilvl="0">
      <w:lvlJc w:val="left"/>
      <w:lvlText w:val="(%1)"/>
      <w:numFmt w:val="decimal"/>
      <w:start w:val="455"/>
    </w:lvl>
  </w:abstractNum>
  <w:abstractNum w:abstractNumId="14">
    <w:nsid w:val="4AD084E9"/>
    <w:multiLevelType w:val="hybridMultilevel"/>
    <w:lvl w:ilvl="0">
      <w:lvlJc w:val="left"/>
      <w:lvlText w:val="(%1)"/>
      <w:numFmt w:val="decimal"/>
      <w:start w:val="100"/>
    </w:lvl>
  </w:abstractNum>
  <w:abstractNum w:abstractNumId="15">
    <w:nsid w:val="1F48EAA1"/>
    <w:multiLevelType w:val="hybridMultilevel"/>
    <w:lvl w:ilvl="0">
      <w:lvlJc w:val="left"/>
      <w:lvlText w:val="(%1)"/>
      <w:numFmt w:val="decimal"/>
      <w:start w:val="2"/>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decimal"/>
      <w:start w:val="103"/>
    </w:lvl>
  </w:abstractNum>
  <w:abstractNum w:abstractNumId="18">
    <w:nsid w:val="100F8FCA"/>
    <w:multiLevelType w:val="hybridMultilevel"/>
    <w:lvl w:ilvl="0">
      <w:lvlJc w:val="left"/>
      <w:lvlText w:val="&lt;"/>
      <w:numFmt w:val="bullet"/>
      <w:start w:val="1"/>
    </w:lvl>
  </w:abstractNum>
  <w:abstractNum w:abstractNumId="19">
    <w:nsid w:val="6590700B"/>
    <w:multiLevelType w:val="hybridMultilevel"/>
    <w:lvl w:ilvl="0">
      <w:lvlJc w:val="left"/>
      <w:lvlText w:val="%1"/>
      <w:numFmt w:val="decimal"/>
      <w:start w:val="49"/>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lt;"/>
      <w:numFmt w:val="bullet"/>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abstractNum>
  <w:abstractNum w:abstractNumId="24">
    <w:nsid w:val="6B94764"/>
    <w:multiLevelType w:val="hybridMultilevel"/>
    <w:lvl w:ilvl="0">
      <w:lvlJc w:val="left"/>
      <w:lvlText w:val="&lt;"/>
      <w:numFmt w:val="bullet"/>
      <w:start w:val="1"/>
    </w:lvl>
  </w:abstractNum>
  <w:abstractNum w:abstractNumId="25">
    <w:nsid w:val="42C296BD"/>
    <w:multiLevelType w:val="hybridMultilevel"/>
    <w:lvl w:ilvl="0">
      <w:lvlJc w:val="left"/>
      <w:lvlText w:val="&lt;"/>
      <w:numFmt w:val="bullet"/>
      <w:start w:val="1"/>
    </w:lvl>
  </w:abstractNum>
  <w:abstractNum w:abstractNumId="26">
    <w:nsid w:val="168E121F"/>
    <w:multiLevelType w:val="hybridMultilevel"/>
    <w:lvl w:ilvl="0">
      <w:lvlJc w:val="left"/>
      <w:lvlText w:val="&lt;"/>
      <w:numFmt w:val="bullet"/>
      <w:start w:val="1"/>
    </w:lvl>
    <w:lvl w:ilvl="1">
      <w:lvlJc w:val="left"/>
      <w:lvlText w:val="&lt;"/>
      <w:numFmt w:val="bullet"/>
      <w:start w:val="1"/>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lt;"/>
      <w:numFmt w:val="bullet"/>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lt;"/>
      <w:numFmt w:val="bullet"/>
      <w:start w:val="1"/>
    </w:lvl>
  </w:abstractNum>
  <w:abstractNum w:abstractNumId="41">
    <w:nsid w:val="68EB2F63"/>
    <w:multiLevelType w:val="hybridMultilevel"/>
    <w:lvl w:ilvl="0">
      <w:lvlJc w:val="left"/>
      <w:lvlText w:val="&lt;"/>
      <w:numFmt w:val="bullet"/>
      <w:start w:val="1"/>
    </w:lvl>
    <w:lvl w:ilvl="1">
      <w:lvlJc w:val="left"/>
      <w:lvlText w:val="(%2)"/>
      <w:numFmt w:val="decimal"/>
      <w:start w:val="1"/>
    </w:lvl>
  </w:abstractNum>
  <w:abstractNum w:abstractNumId="42">
    <w:nsid w:val="4962813B"/>
    <w:multiLevelType w:val="hybridMultilevel"/>
    <w:lvl w:ilvl="0">
      <w:lvlJc w:val="left"/>
      <w:lvlText w:val="&lt;"/>
      <w:numFmt w:val="bullet"/>
      <w:start w:val="1"/>
    </w:lvl>
  </w:abstractNum>
  <w:abstractNum w:abstractNumId="43">
    <w:nsid w:val="60B6DF70"/>
    <w:multiLevelType w:val="hybridMultilevel"/>
    <w:lvl w:ilvl="0">
      <w:lvlJc w:val="left"/>
      <w:lvlText w:val="&lt;"/>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2"/>
    </w:lvl>
  </w:abstractNum>
  <w:abstractNum w:abstractNumId="46">
    <w:nsid w:val="7FFFCA11"/>
    <w:multiLevelType w:val="hybridMultilevel"/>
    <w:lvl w:ilvl="0">
      <w:lvlJc w:val="left"/>
      <w:lvlText w:val="%1."/>
      <w:numFmt w:val="decimal"/>
      <w:start w:val="4"/>
    </w:lvl>
  </w:abstractNum>
  <w:abstractNum w:abstractNumId="47">
    <w:nsid w:val="1A27709E"/>
    <w:multiLevelType w:val="hybridMultilevel"/>
    <w:lvl w:ilvl="0">
      <w:lvlJc w:val="left"/>
      <w:lvlText w:val="&lt;"/>
      <w:numFmt w:val="bullet"/>
      <w:start w:val="1"/>
    </w:lvl>
  </w:abstractNum>
  <w:abstractNum w:abstractNumId="48">
    <w:nsid w:val="71EA1109"/>
    <w:multiLevelType w:val="hybridMultilevel"/>
    <w:lvl w:ilvl="0">
      <w:lvlJc w:val="left"/>
      <w:lvlText w:val="&lt;"/>
      <w:numFmt w:val="bullet"/>
      <w:start w:val="1"/>
    </w:lvl>
  </w:abstractNum>
  <w:abstractNum w:abstractNumId="49">
    <w:nsid w:val="100F59DC"/>
    <w:multiLevelType w:val="hybridMultilevel"/>
    <w:lvl w:ilvl="0">
      <w:lvlJc w:val="left"/>
      <w:lvlText w:val="&lt;"/>
      <w:numFmt w:val="bullet"/>
      <w:start w:val="1"/>
    </w:lvl>
  </w:abstractNum>
  <w:abstractNum w:abstractNumId="50">
    <w:nsid w:val="7FB7E0AA"/>
    <w:multiLevelType w:val="hybridMultilevel"/>
    <w:lvl w:ilvl="0">
      <w:lvlJc w:val="left"/>
      <w:lvlText w:val="(%1)"/>
      <w:numFmt w:val="decimal"/>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
    </w:lvl>
    <w:lvl w:ilvl="1">
      <w:lvlJc w:val="left"/>
      <w:lvlText w:val="%2"/>
      <w:numFmt w:val="upperLetter"/>
      <w:start w:val="1"/>
    </w:lvl>
  </w:abstractNum>
  <w:abstractNum w:abstractNumId="53">
    <w:nsid w:val="94211F2"/>
    <w:multiLevelType w:val="hybridMultilevel"/>
    <w:lvl w:ilvl="0">
      <w:lvlJc w:val="left"/>
      <w:lvlText w:val="%1."/>
      <w:numFmt w:val="decimal"/>
      <w:start w:val="3"/>
    </w:lvl>
  </w:abstractNum>
  <w:abstractNum w:abstractNumId="54">
    <w:nsid w:val="885E1B"/>
    <w:multiLevelType w:val="hybridMultilevel"/>
    <w:lvl w:ilvl="0">
      <w:lvlJc w:val="left"/>
      <w:lvlText w:val="%1."/>
      <w:numFmt w:val="decimal"/>
      <w:start w:val="5"/>
    </w:lvl>
  </w:abstractNum>
  <w:abstractNum w:abstractNumId="55">
    <w:nsid w:val="76272110"/>
    <w:multiLevelType w:val="hybridMultilevel"/>
    <w:lvl w:ilvl="0">
      <w:lvlJc w:val="left"/>
      <w:lvlText w:val="%1."/>
      <w:numFmt w:val="decimal"/>
      <w:start w:val="6"/>
    </w:lvl>
  </w:abstractNum>
  <w:abstractNum w:abstractNumId="56">
    <w:nsid w:val="4C04A8AF"/>
    <w:multiLevelType w:val="hybridMultilevel"/>
    <w:lvl w:ilvl="0">
      <w:lvlJc w:val="left"/>
      <w:lvlText w:val="%1."/>
      <w:numFmt w:val="decimal"/>
      <w:start w:val="7"/>
    </w:lvl>
  </w:abstractNum>
  <w:abstractNum w:abstractNumId="57">
    <w:nsid w:val="1716703B"/>
    <w:multiLevelType w:val="hybridMultilevel"/>
    <w:lvl w:ilvl="0">
      <w:lvlJc w:val="left"/>
      <w:lvlText w:val="%1."/>
      <w:numFmt w:val="decimal"/>
      <w:start w:val="13"/>
    </w:lvl>
    <w:lvl w:ilvl="1">
      <w:lvlJc w:val="left"/>
      <w:lvlText w:val="%2."/>
      <w:numFmt w:val="upperLetter"/>
      <w:start w:val="1"/>
    </w:lvl>
  </w:abstractNum>
  <w:abstractNum w:abstractNumId="58">
    <w:nsid w:val="14E17E33"/>
    <w:multiLevelType w:val="hybridMultilevel"/>
    <w:lvl w:ilvl="0">
      <w:lvlJc w:val="left"/>
      <w:lvlText w:val="%1."/>
      <w:numFmt w:val="decimal"/>
      <w:start w:val="14"/>
    </w:lvl>
  </w:abstractNum>
  <w:abstractNum w:abstractNumId="59">
    <w:nsid w:val="3222E7CD"/>
    <w:multiLevelType w:val="hybridMultilevel"/>
    <w:lvl w:ilvl="0">
      <w:lvlJc w:val="left"/>
      <w:lvlText w:val="%1."/>
      <w:numFmt w:val="decimal"/>
      <w:start w:val="16"/>
    </w:lvl>
  </w:abstractNum>
  <w:abstractNum w:abstractNumId="60">
    <w:nsid w:val="74DE0EE3"/>
    <w:multiLevelType w:val="hybridMultilevel"/>
    <w:lvl w:ilvl="0">
      <w:lvlJc w:val="left"/>
      <w:lvlText w:val="%1."/>
      <w:numFmt w:val="decimal"/>
      <w:start w:val="17"/>
    </w:lvl>
    <w:lvl w:ilvl="1">
      <w:lvlJc w:val="left"/>
      <w:lvlText w:val="%2."/>
      <w:numFmt w:val="upperLetter"/>
      <w:start w:val="1"/>
    </w:lvl>
  </w:abstractNum>
  <w:abstractNum w:abstractNumId="61">
    <w:nsid w:val="68EBC550"/>
    <w:multiLevelType w:val="hybridMultilevel"/>
    <w:lvl w:ilvl="0">
      <w:lvlJc w:val="left"/>
      <w:lvlText w:val="%1."/>
      <w:numFmt w:val="upperLetter"/>
      <w:start w:val="3"/>
    </w:lvl>
  </w:abstractNum>
  <w:abstractNum w:abstractNumId="62">
    <w:nsid w:val="2DF6D648"/>
    <w:multiLevelType w:val="hybridMultilevel"/>
    <w:lvl w:ilvl="0">
      <w:lvlJc w:val="left"/>
      <w:lvlText w:val="%1."/>
      <w:numFmt w:val="upperLetter"/>
      <w:start w:val="4"/>
    </w:lvl>
  </w:abstractNum>
  <w:abstractNum w:abstractNumId="63">
    <w:nsid w:val="46B7D447"/>
    <w:multiLevelType w:val="hybridMultilevel"/>
    <w:lvl w:ilvl="0">
      <w:lvlJc w:val="left"/>
      <w:lvlText w:val="%1."/>
      <w:numFmt w:val="decimal"/>
      <w:start w:val="18"/>
    </w:lvl>
    <w:lvl w:ilvl="1">
      <w:lvlJc w:val="left"/>
      <w:lvlText w:val="%2."/>
      <w:numFmt w:val="upperLetter"/>
      <w:start w:val="1"/>
    </w:lvl>
  </w:abstractNum>
  <w:abstractNum w:abstractNumId="64">
    <w:nsid w:val="4A2AC315"/>
    <w:multiLevelType w:val="hybridMultilevel"/>
    <w:lvl w:ilvl="0">
      <w:lvlJc w:val="left"/>
      <w:lvlText w:val="%1."/>
      <w:numFmt w:val="decimal"/>
      <w:start w:val="19"/>
    </w:lvl>
    <w:lvl w:ilvl="1">
      <w:lvlJc w:val="left"/>
      <w:lvlText w:val="%2"/>
      <w:numFmt w:val="upperLetter"/>
      <w:start w:val="1"/>
    </w:lvl>
  </w:abstractNum>
  <w:abstractNum w:abstractNumId="65">
    <w:nsid w:val="39EE015C"/>
    <w:multiLevelType w:val="hybridMultilevel"/>
    <w:lvl w:ilvl="0">
      <w:lvlJc w:val="left"/>
      <w:lvlText w:val="%1."/>
      <w:numFmt w:val="decimal"/>
      <w:start w:val="21"/>
    </w:lvl>
  </w:abstractNum>
  <w:abstractNum w:abstractNumId="66">
    <w:nsid w:val="57FC4FBB"/>
    <w:multiLevelType w:val="hybridMultilevel"/>
    <w:lvl w:ilvl="0">
      <w:lvlJc w:val="left"/>
      <w:lvlText w:val="%1."/>
      <w:numFmt w:val="decimal"/>
      <w:start w:val="26"/>
    </w:lvl>
  </w:abstractNum>
  <w:abstractNum w:abstractNumId="67">
    <w:nsid w:val="CC1016F"/>
    <w:multiLevelType w:val="hybridMultilevel"/>
    <w:lvl w:ilvl="0">
      <w:lvlJc w:val="left"/>
      <w:lvlText w:val="(%1)"/>
      <w:numFmt w:val="lowerLetter"/>
      <w:start w:val="8"/>
    </w:lvl>
  </w:abstractNum>
  <w:abstractNum w:abstractNumId="68">
    <w:nsid w:val="43F18422"/>
    <w:multiLevelType w:val="hybridMultilevel"/>
    <w:lvl w:ilvl="0">
      <w:lvlJc w:val="left"/>
      <w:lvlText w:val="(%1)"/>
      <w:numFmt w:val="lowerLetter"/>
      <w:start w:val="10"/>
    </w:lvl>
  </w:abstractNum>
  <w:abstractNum w:abstractNumId="69">
    <w:nsid w:val="60EF0119"/>
    <w:multiLevelType w:val="hybridMultilevel"/>
    <w:lvl w:ilvl="0">
      <w:lvlJc w:val="left"/>
      <w:lvlText w:val="%1"/>
      <w:numFmt w:val="lowerLetter"/>
      <w:start w:val="1"/>
    </w:lvl>
    <w:lvl w:ilvl="1">
      <w:lvlJc w:val="left"/>
      <w:lvlText w:val="(%2)"/>
      <w:numFmt w:val="lowerLetter"/>
      <w:start w:val="11"/>
    </w:lvl>
  </w:abstractNum>
  <w:abstractNum w:abstractNumId="70">
    <w:nsid w:val="26F324BA"/>
    <w:multiLevelType w:val="hybridMultilevel"/>
    <w:lvl w:ilvl="0">
      <w:lvlJc w:val="left"/>
      <w:lvlText w:val="(%1)"/>
      <w:numFmt w:val="lowerLetter"/>
      <w:start w:val="12"/>
    </w:lvl>
    <w:lvl w:ilvl="1">
      <w:lvlJc w:val="left"/>
      <w:lvlText w:val="%2"/>
      <w:numFmt w:val="lowerLetter"/>
      <w:start w:val="1"/>
    </w:lvl>
  </w:abstractNum>
  <w:abstractNum w:abstractNumId="71">
    <w:nsid w:val="7F01579B"/>
    <w:multiLevelType w:val="hybridMultilevel"/>
    <w:lvl w:ilvl="0">
      <w:lvlJc w:val="left"/>
      <w:lvlText w:val="%1."/>
      <w:numFmt w:val="decimal"/>
      <w:start w:val="27"/>
    </w:lvl>
  </w:abstractNum>
  <w:abstractNum w:abstractNumId="72">
    <w:nsid w:val="49DA307D"/>
    <w:multiLevelType w:val="hybridMultilevel"/>
    <w:lvl w:ilvl="0">
      <w:lvlJc w:val="left"/>
      <w:lvlText w:val="%1."/>
      <w:numFmt w:val="decimal"/>
      <w:start w:val="31"/>
    </w:lvl>
  </w:abstractNum>
  <w:abstractNum w:abstractNumId="73">
    <w:nsid w:val="7055A5F5"/>
    <w:multiLevelType w:val="hybridMultilevel"/>
    <w:lvl w:ilvl="0">
      <w:lvlJc w:val="left"/>
      <w:lvlText w:val="%1."/>
      <w:numFmt w:val="decimal"/>
      <w:start w:val="32"/>
    </w:lvl>
  </w:abstractNum>
  <w:abstractNum w:abstractNumId="74">
    <w:nsid w:val="5FB8370B"/>
    <w:multiLevelType w:val="hybridMultilevel"/>
    <w:lvl w:ilvl="0">
      <w:lvlJc w:val="left"/>
      <w:lvlText w:val="%1."/>
      <w:numFmt w:val="decimal"/>
      <w:start w:val="33"/>
    </w:lvl>
  </w:abstractNum>
  <w:abstractNum w:abstractNumId="75">
    <w:nsid w:val="50801EE1"/>
    <w:multiLevelType w:val="hybridMultilevel"/>
    <w:lvl w:ilvl="0">
      <w:lvlJc w:val="left"/>
      <w:lvlText w:val="%1."/>
      <w:numFmt w:val="decimal"/>
      <w:start w:val="34"/>
    </w:lvl>
  </w:abstractNum>
  <w:abstractNum w:abstractNumId="76">
    <w:nsid w:val="488AC1A"/>
    <w:multiLevelType w:val="hybridMultilevel"/>
    <w:lvl w:ilvl="0">
      <w:lvlJc w:val="left"/>
      <w:lvlText w:val="%1."/>
      <w:numFmt w:val="decimal"/>
      <w:start w:val="35"/>
    </w:lvl>
  </w:abstractNum>
  <w:abstractNum w:abstractNumId="77">
    <w:nsid w:val="5FB8011C"/>
    <w:multiLevelType w:val="hybridMultilevel"/>
    <w:lvl w:ilvl="0">
      <w:lvlJc w:val="left"/>
      <w:lvlText w:val="%1."/>
      <w:numFmt w:val="decimal"/>
      <w:start w:val="36"/>
    </w:lvl>
  </w:abstractNum>
  <w:abstractNum w:abstractNumId="78">
    <w:nsid w:val="6AA78F7F"/>
    <w:multiLevelType w:val="hybridMultilevel"/>
    <w:lvl w:ilvl="0">
      <w:lvlJc w:val="left"/>
      <w:lvlText w:val="%1."/>
      <w:numFmt w:val="decimal"/>
      <w:start w:val="37"/>
    </w:lvl>
  </w:abstractNum>
  <w:abstractNum w:abstractNumId="79">
    <w:nsid w:val="7672BD23"/>
    <w:multiLevelType w:val="hybridMultilevel"/>
    <w:lvl w:ilvl="0">
      <w:lvlJc w:val="left"/>
      <w:lvlText w:val="%1."/>
      <w:numFmt w:val="decimal"/>
      <w:start w:val="41"/>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decimal"/>
      <w:start w:val="42"/>
    </w:lvl>
  </w:abstractNum>
  <w:abstractNum w:abstractNumId="82">
    <w:nsid w:val="7D5E18F8"/>
    <w:multiLevelType w:val="hybridMultilevel"/>
    <w:lvl w:ilvl="0">
      <w:lvlJc w:val="left"/>
      <w:lvlText w:val="%1."/>
      <w:numFmt w:val="decimal"/>
      <w:start w:val="44"/>
    </w:lvl>
  </w:abstractNum>
  <w:abstractNum w:abstractNumId="83">
    <w:nsid w:val="5F3534A4"/>
    <w:multiLevelType w:val="hybridMultilevel"/>
    <w:lvl w:ilvl="0">
      <w:lvlJc w:val="left"/>
      <w:lvlText w:val="%1."/>
      <w:numFmt w:val="decimal"/>
      <w:start w:val="45"/>
    </w:lvl>
  </w:abstractNum>
  <w:abstractNum w:abstractNumId="84">
    <w:nsid w:val="73A1821B"/>
    <w:multiLevelType w:val="hybridMultilevel"/>
    <w:lvl w:ilvl="0">
      <w:lvlJc w:val="left"/>
      <w:lvlText w:val="%1."/>
      <w:numFmt w:val="decimal"/>
      <w:start w:val="46"/>
    </w:lvl>
  </w:abstractNum>
  <w:abstractNum w:abstractNumId="85">
    <w:nsid w:val="7DE67713"/>
    <w:multiLevelType w:val="hybridMultilevel"/>
    <w:lvl w:ilvl="0">
      <w:lvlJc w:val="left"/>
      <w:lvlText w:val="%1."/>
      <w:numFmt w:val="decimal"/>
      <w:start w:val="47"/>
    </w:lvl>
  </w:abstractNum>
  <w:abstractNum w:abstractNumId="86">
    <w:nsid w:val="555C55B5"/>
    <w:multiLevelType w:val="hybridMultilevel"/>
    <w:lvl w:ilvl="0">
      <w:lvlJc w:val="left"/>
      <w:lvlText w:val="%1."/>
      <w:numFmt w:val="decimal"/>
      <w:start w:val="49"/>
    </w:lvl>
  </w:abstractNum>
  <w:abstractNum w:abstractNumId="87">
    <w:nsid w:val="3FA62ACA"/>
    <w:multiLevelType w:val="hybridMultilevel"/>
    <w:lvl w:ilvl="0">
      <w:lvlJc w:val="left"/>
      <w:lvlText w:val="%1."/>
      <w:numFmt w:val="decimal"/>
      <w:start w:val="51"/>
    </w:lvl>
  </w:abstractNum>
  <w:abstractNum w:abstractNumId="88">
    <w:nsid w:val="14FCE74E"/>
    <w:multiLevelType w:val="hybridMultilevel"/>
    <w:lvl w:ilvl="0">
      <w:lvlJc w:val="left"/>
      <w:lvlText w:val="%1."/>
      <w:numFmt w:val="decimal"/>
      <w:start w:val="52"/>
    </w:lvl>
    <w:lvl w:ilvl="1">
      <w:lvlJc w:val="left"/>
      <w:lvlText w:val="%2."/>
      <w:numFmt w:val="upperLetter"/>
      <w:start w:val="1"/>
    </w:lvl>
  </w:abstractNum>
  <w:abstractNum w:abstractNumId="89">
    <w:nsid w:val="6A3DD3E8"/>
    <w:multiLevelType w:val="hybridMultilevel"/>
    <w:lvl w:ilvl="0">
      <w:lvlJc w:val="left"/>
      <w:lvlText w:val="%1."/>
      <w:numFmt w:val="decimal"/>
      <w:start w:val="54"/>
    </w:lvl>
  </w:abstractNum>
  <w:abstractNum w:abstractNumId="90">
    <w:nsid w:val="71C91298"/>
    <w:multiLevelType w:val="hybridMultilevel"/>
    <w:lvl w:ilvl="0">
      <w:lvlJc w:val="left"/>
      <w:lvlText w:val="%1."/>
      <w:numFmt w:val="decimal"/>
      <w:start w:val="55"/>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8"/>
    </w:lvl>
  </w:abstractNum>
  <w:abstractNum w:abstractNumId="93">
    <w:nsid w:val="1FBFE8E0"/>
    <w:multiLevelType w:val="hybridMultilevel"/>
    <w:lvl w:ilvl="0">
      <w:lvlJc w:val="left"/>
      <w:lvlText w:val="%1."/>
      <w:numFmt w:val="decimal"/>
      <w:start w:val="17"/>
    </w:lvl>
  </w:abstractNum>
  <w:abstractNum w:abstractNumId="94">
    <w:nsid w:val="5092CA79"/>
    <w:multiLevelType w:val="hybridMultilevel"/>
    <w:lvl w:ilvl="0">
      <w:lvlJc w:val="left"/>
      <w:lvlText w:val="o"/>
      <w:numFmt w:val="bullet"/>
      <w:start w:val="1"/>
    </w:lvl>
  </w:abstractNum>
  <w:abstractNum w:abstractNumId="95">
    <w:nsid w:val="1D545C4D"/>
    <w:multiLevelType w:val="hybridMultilevel"/>
    <w:lvl w:ilvl="0">
      <w:lvlJc w:val="left"/>
      <w:lvlText w:val="1"/>
      <w:numFmt w:val="bullet"/>
      <w:start w:val="1"/>
    </w:lvl>
  </w:abstractNum>
  <w:abstractNum w:abstractNumId="96">
    <w:nsid w:val="59ADEA3D"/>
    <w:multiLevelType w:val="hybridMultilevel"/>
    <w:lvl w:ilvl="0">
      <w:lvlJc w:val="left"/>
      <w:lvlText w:val="2"/>
      <w:numFmt w:val="bullet"/>
      <w:start w:val="1"/>
    </w:lvl>
  </w:abstractNum>
  <w:abstractNum w:abstractNumId="97">
    <w:nsid w:val="288F1A34"/>
    <w:multiLevelType w:val="hybridMultilevel"/>
    <w:lvl w:ilvl="0">
      <w:lvlJc w:val="left"/>
      <w:lvlText w:val="3"/>
      <w:numFmt w:val="bullet"/>
      <w:start w:val="1"/>
    </w:lvl>
  </w:abstractNum>
  <w:abstractNum w:abstractNumId="98">
    <w:nsid w:val="2A155DBC"/>
    <w:multiLevelType w:val="hybridMultilevel"/>
    <w:lvl w:ilvl="0">
      <w:lvlJc w:val="left"/>
      <w:lvlText w:val="(%1)"/>
      <w:numFmt w:val="decimal"/>
      <w:start w:val="1"/>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decimal"/>
      <w:start w:val="1"/>
    </w:lvl>
  </w:abstractNum>
  <w:abstractNum w:abstractNumId="101">
    <w:nsid w:val="51088277"/>
    <w:multiLevelType w:val="hybridMultilevel"/>
    <w:lvl w:ilvl="0">
      <w:lvlJc w:val="left"/>
      <w:lvlText w:val="(%1)"/>
      <w:numFmt w:val="decimal"/>
      <w:start w:val="1"/>
    </w:lvl>
  </w:abstractNum>
  <w:abstractNum w:abstractNumId="102">
    <w:nsid w:val="1CA0C5FA"/>
    <w:multiLevelType w:val="hybridMultilevel"/>
    <w:lvl w:ilvl="0">
      <w:lvlJc w:val="left"/>
      <w:lvlText w:val="%1."/>
      <w:numFmt w:val="decimal"/>
      <w:start w:val="1"/>
    </w:lvl>
    <w:lvl w:ilvl="1">
      <w:lvlJc w:val="left"/>
      <w:lvlText w:val="%2)"/>
      <w:numFmt w:val="lowerLetter"/>
      <w:start w:val="1"/>
    </w:lvl>
  </w:abstractNum>
  <w:abstractNum w:abstractNumId="103">
    <w:nsid w:val="53584BCB"/>
    <w:multiLevelType w:val="hybridMultilevel"/>
    <w:lvl w:ilvl="0">
      <w:lvlJc w:val="left"/>
      <w:lvlText w:val="%1."/>
      <w:numFmt w:val="decimal"/>
      <w:start w:val="1"/>
    </w:lvl>
    <w:lvl w:ilvl="1">
      <w:lvlJc w:val="left"/>
      <w:lvlText w:val="%2)"/>
      <w:numFmt w:val="lowerLetter"/>
      <w:start w:val="1"/>
    </w:lvl>
  </w:abstractNum>
  <w:abstractNum w:abstractNumId="104">
    <w:nsid w:val="415E286C"/>
    <w:multiLevelType w:val="hybridMultilevel"/>
    <w:lvl w:ilvl="0">
      <w:lvlJc w:val="left"/>
      <w:lvlText w:val="%1."/>
      <w:numFmt w:val="decimal"/>
      <w:start w:val="1"/>
    </w:lvl>
    <w:lvl w:ilvl="1">
      <w:lvlJc w:val="left"/>
      <w:lvlText w:val="%2)"/>
      <w:numFmt w:val="lowerLetter"/>
      <w:start w:val="1"/>
    </w:lvl>
  </w:abstractNum>
  <w:abstractNum w:abstractNumId="105">
    <w:nsid w:val="7C58FD05"/>
    <w:multiLevelType w:val="hybridMultilevel"/>
    <w:lvl w:ilvl="0">
      <w:lvlJc w:val="left"/>
      <w:lvlText w:val="%1."/>
      <w:numFmt w:val="decimal"/>
      <w:start w:val="1"/>
    </w:lvl>
    <w:lvl w:ilvl="1">
      <w:lvlJc w:val="left"/>
      <w:lvlText w:val="%2)"/>
      <w:numFmt w:val="lowerLetter"/>
      <w:start w:val="1"/>
    </w:lvl>
  </w:abstractNum>
  <w:abstractNum w:abstractNumId="106">
    <w:nsid w:val="23D86AAC"/>
    <w:multiLevelType w:val="hybridMultilevel"/>
    <w:lvl w:ilvl="0">
      <w:lvlJc w:val="left"/>
      <w:lvlText w:val="%1."/>
      <w:numFmt w:val="decimal"/>
      <w:start w:val="1"/>
    </w:lvl>
    <w:lvl w:ilvl="1">
      <w:lvlJc w:val="left"/>
      <w:lvlText w:val="%2)"/>
      <w:numFmt w:val="lowerLetter"/>
      <w:start w:val="1"/>
    </w:lvl>
  </w:abstractNum>
  <w:abstractNum w:abstractNumId="107">
    <w:nsid w:val="45E6D486"/>
    <w:multiLevelType w:val="hybridMultilevel"/>
    <w:lvl w:ilvl="0">
      <w:lvlJc w:val="left"/>
      <w:lvlText w:val="%1."/>
      <w:numFmt w:val="decimal"/>
      <w:start w:val="1"/>
    </w:lvl>
    <w:lvl w:ilvl="1">
      <w:lvlJc w:val="left"/>
      <w:lvlText w:val="%2)"/>
      <w:numFmt w:val="lowerLetter"/>
      <w:start w:val="1"/>
    </w:lvl>
  </w:abstractNum>
  <w:abstractNum w:abstractNumId="108">
    <w:nsid w:val="5C10FE21"/>
    <w:multiLevelType w:val="hybridMultilevel"/>
    <w:lvl w:ilvl="0">
      <w:lvlJc w:val="left"/>
      <w:lvlText w:val="%1."/>
      <w:numFmt w:val="decimal"/>
      <w:start w:val="1"/>
    </w:lvl>
    <w:lvl w:ilvl="1">
      <w:lvlJc w:val="left"/>
      <w:lvlText w:val="%2)"/>
      <w:numFmt w:val="lowerLetter"/>
      <w:start w:val="1"/>
    </w:lvl>
  </w:abstractNum>
  <w:abstractNum w:abstractNumId="109">
    <w:nsid w:val="E7FFA2B"/>
    <w:multiLevelType w:val="hybridMultilevel"/>
    <w:lvl w:ilvl="0">
      <w:lvlJc w:val="left"/>
      <w:lvlText w:val="%1."/>
      <w:numFmt w:val="decimal"/>
      <w:start w:val="1"/>
    </w:lvl>
    <w:lvl w:ilvl="1">
      <w:lvlJc w:val="left"/>
      <w:lvlText w:val="%2)"/>
      <w:numFmt w:val="lowerLetter"/>
      <w:start w:val="1"/>
    </w:lvl>
  </w:abstractNum>
  <w:abstractNum w:abstractNumId="110">
    <w:nsid w:val="3C5991AA"/>
    <w:multiLevelType w:val="hybridMultilevel"/>
    <w:lvl w:ilvl="0">
      <w:lvlJc w:val="left"/>
      <w:lvlText w:val="(%1)"/>
      <w:numFmt w:val="lowerRoman"/>
      <w:start w:val="1"/>
    </w:lvl>
  </w:abstractNum>
  <w:abstractNum w:abstractNumId="111">
    <w:nsid w:val="4BD8591A"/>
    <w:multiLevelType w:val="hybridMultilevel"/>
    <w:lvl w:ilvl="0">
      <w:lvlJc w:val="left"/>
      <w:lvlText w:val="(%1)"/>
      <w:numFmt w:val="lowerRoman"/>
      <w:start w:val="1"/>
    </w:lvl>
  </w:abstractNum>
  <w:abstractNum w:abstractNumId="112">
    <w:nsid w:val="78DF6A55"/>
    <w:multiLevelType w:val="hybridMultilevel"/>
    <w:lvl w:ilvl="0">
      <w:lvlJc w:val="left"/>
      <w:lvlText w:val="(%1)"/>
      <w:numFmt w:val="lowerRoman"/>
      <w:start w:val="1"/>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1)"/>
      <w:numFmt w:val="lowerRoman"/>
      <w:start w:val="1"/>
    </w:lvl>
  </w:abstractNum>
  <w:abstractNum w:abstractNumId="115">
    <w:nsid w:val="6C80EC70"/>
    <w:multiLevelType w:val="hybridMultilevel"/>
    <w:lvl w:ilvl="0">
      <w:lvlJc w:val="left"/>
      <w:lvlText w:val="(%1)"/>
      <w:numFmt w:val="lowerRoman"/>
      <w:start w:val="1"/>
    </w:lvl>
  </w:abstractNum>
  <w:abstractNum w:abstractNumId="116">
    <w:nsid w:val="379E21B5"/>
    <w:multiLevelType w:val="hybridMultilevel"/>
    <w:lvl w:ilvl="0">
      <w:lvlJc w:val="left"/>
      <w:lvlText w:val="(%1)"/>
      <w:numFmt w:val="lowerRoman"/>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2019-12-10T02:39:17Z</dcterms:created>
  <dcterms:modified xsi:type="dcterms:W3CDTF">2019-12-10T02:39:17Z</dcterms:modified>
</cp:coreProperties>
</file>