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188595</wp:posOffset>
            </wp:positionV>
            <wp:extent cx="1414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7600" w:type="dxa"/>
            <w:vAlign w:val="bottom"/>
            <w:gridSpan w:val="6"/>
          </w:tcPr>
          <w:p>
            <w:pPr>
              <w:ind w:left="940"/>
              <w:spacing w:after="0"/>
              <w:rPr>
                <w:sz w:val="20"/>
                <w:szCs w:val="20"/>
                <w:color w:val="auto"/>
              </w:rPr>
            </w:pPr>
            <w:r>
              <w:rPr>
                <w:rFonts w:ascii="Arial" w:cs="Arial" w:eastAsia="Arial" w:hAnsi="Arial"/>
                <w:sz w:val="18"/>
                <w:szCs w:val="18"/>
                <w:color w:val="auto"/>
              </w:rPr>
              <w:t>Date of Report (Date of earliest event reported):</w:t>
            </w:r>
          </w:p>
        </w:tc>
        <w:tc>
          <w:tcPr>
            <w:tcW w:w="3480" w:type="dxa"/>
            <w:vAlign w:val="bottom"/>
            <w:gridSpan w:val="4"/>
          </w:tcPr>
          <w:p>
            <w:pPr>
              <w:ind w:left="100"/>
              <w:spacing w:after="0"/>
              <w:rPr>
                <w:sz w:val="20"/>
                <w:szCs w:val="20"/>
                <w:color w:val="auto"/>
              </w:rPr>
            </w:pPr>
            <w:r>
              <w:rPr>
                <w:rFonts w:ascii="Arial" w:cs="Arial" w:eastAsia="Arial" w:hAnsi="Arial"/>
                <w:sz w:val="18"/>
                <w:szCs w:val="18"/>
                <w:color w:val="auto"/>
              </w:rPr>
              <w:t>March 30, 2020</w:t>
            </w:r>
          </w:p>
        </w:tc>
      </w:tr>
      <w:tr>
        <w:trPr>
          <w:trHeight w:val="27"/>
        </w:trPr>
        <w:tc>
          <w:tcPr>
            <w:tcW w:w="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858"/>
        </w:trPr>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4"/>
          </w:tcPr>
          <w:p>
            <w:pPr>
              <w:jc w:val="center"/>
              <w:ind w:right="480"/>
              <w:spacing w:after="0"/>
              <w:rPr>
                <w:sz w:val="20"/>
                <w:szCs w:val="20"/>
                <w:color w:val="auto"/>
              </w:rPr>
            </w:pPr>
            <w:r>
              <w:rPr>
                <w:rFonts w:ascii="Arial" w:cs="Arial" w:eastAsia="Arial" w:hAnsi="Arial"/>
                <w:sz w:val="18"/>
                <w:szCs w:val="18"/>
                <w:color w:val="auto"/>
                <w:w w:val="95"/>
              </w:rPr>
              <w:t>SEMPRA ENERGY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36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161"/>
        </w:trPr>
        <w:tc>
          <w:tcPr>
            <w:tcW w:w="160" w:type="dxa"/>
            <w:vAlign w:val="bottom"/>
          </w:tcPr>
          <w:p>
            <w:pPr>
              <w:spacing w:after="0"/>
              <w:rPr>
                <w:sz w:val="24"/>
                <w:szCs w:val="24"/>
                <w:color w:val="auto"/>
              </w:rPr>
            </w:pPr>
          </w:p>
        </w:tc>
        <w:tc>
          <w:tcPr>
            <w:tcW w:w="3240" w:type="dxa"/>
            <w:vAlign w:val="bottom"/>
          </w:tcPr>
          <w:p>
            <w:pPr>
              <w:jc w:val="center"/>
              <w:ind w:right="50"/>
              <w:spacing w:after="0"/>
              <w:rPr>
                <w:sz w:val="20"/>
                <w:szCs w:val="20"/>
                <w:color w:val="auto"/>
              </w:rPr>
            </w:pPr>
            <w:r>
              <w:rPr>
                <w:rFonts w:ascii="Arial" w:cs="Arial" w:eastAsia="Arial" w:hAnsi="Arial"/>
                <w:sz w:val="18"/>
                <w:szCs w:val="18"/>
                <w:color w:val="auto"/>
                <w:w w:val="97"/>
              </w:rPr>
              <w:t>California</w:t>
            </w:r>
          </w:p>
        </w:tc>
        <w:tc>
          <w:tcPr>
            <w:tcW w:w="3240" w:type="dxa"/>
            <w:vAlign w:val="bottom"/>
            <w:gridSpan w:val="3"/>
          </w:tcPr>
          <w:p>
            <w:pPr>
              <w:jc w:val="right"/>
              <w:ind w:right="680"/>
              <w:spacing w:after="0"/>
              <w:rPr>
                <w:sz w:val="20"/>
                <w:szCs w:val="20"/>
                <w:color w:val="auto"/>
              </w:rPr>
            </w:pPr>
            <w:r>
              <w:rPr>
                <w:rFonts w:ascii="Arial" w:cs="Arial" w:eastAsia="Arial" w:hAnsi="Arial"/>
                <w:sz w:val="18"/>
                <w:szCs w:val="18"/>
                <w:color w:val="auto"/>
              </w:rPr>
              <w:t>1-14201</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gridSpan w:val="3"/>
          </w:tcPr>
          <w:p>
            <w:pPr>
              <w:jc w:val="right"/>
              <w:ind w:right="1010"/>
              <w:spacing w:after="0"/>
              <w:rPr>
                <w:sz w:val="20"/>
                <w:szCs w:val="20"/>
                <w:color w:val="auto"/>
              </w:rPr>
            </w:pPr>
            <w:r>
              <w:rPr>
                <w:rFonts w:ascii="Arial" w:cs="Arial" w:eastAsia="Arial" w:hAnsi="Arial"/>
                <w:sz w:val="18"/>
                <w:szCs w:val="18"/>
                <w:color w:val="auto"/>
              </w:rPr>
              <w:t>33-0732627</w:t>
            </w:r>
          </w:p>
        </w:tc>
        <w:tc>
          <w:tcPr>
            <w:tcW w:w="140" w:type="dxa"/>
            <w:vAlign w:val="bottom"/>
          </w:tcPr>
          <w:p>
            <w:pPr>
              <w:spacing w:after="0"/>
              <w:rPr>
                <w:sz w:val="24"/>
                <w:szCs w:val="24"/>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7"/>
        </w:trPr>
        <w:tc>
          <w:tcPr>
            <w:tcW w:w="3400" w:type="dxa"/>
            <w:vAlign w:val="bottom"/>
            <w:gridSpan w:val="2"/>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580" w:type="dxa"/>
            <w:vAlign w:val="bottom"/>
          </w:tcPr>
          <w:p>
            <w:pPr>
              <w:spacing w:after="0"/>
              <w:rPr>
                <w:sz w:val="20"/>
                <w:szCs w:val="20"/>
                <w:color w:val="auto"/>
              </w:rPr>
            </w:pPr>
          </w:p>
        </w:tc>
        <w:tc>
          <w:tcPr>
            <w:tcW w:w="378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20"/>
                <w:szCs w:val="20"/>
                <w:color w:val="auto"/>
              </w:rPr>
            </w:pPr>
          </w:p>
        </w:tc>
        <w:tc>
          <w:tcPr>
            <w:tcW w:w="336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958"/>
        </w:trPr>
        <w:tc>
          <w:tcPr>
            <w:tcW w:w="160" w:type="dxa"/>
            <w:vAlign w:val="bottom"/>
          </w:tcPr>
          <w:p>
            <w:pPr>
              <w:spacing w:after="0"/>
              <w:rPr>
                <w:sz w:val="24"/>
                <w:szCs w:val="24"/>
                <w:color w:val="auto"/>
              </w:rPr>
            </w:pPr>
          </w:p>
        </w:tc>
        <w:tc>
          <w:tcPr>
            <w:tcW w:w="6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488 8th Avenue, San Diego, California</w:t>
            </w:r>
          </w:p>
        </w:tc>
        <w:tc>
          <w:tcPr>
            <w:tcW w:w="112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22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92101</w:t>
            </w:r>
          </w:p>
        </w:tc>
        <w:tc>
          <w:tcPr>
            <w:tcW w:w="140" w:type="dxa"/>
            <w:vAlign w:val="bottom"/>
          </w:tcPr>
          <w:p>
            <w:pPr>
              <w:spacing w:after="0"/>
              <w:rPr>
                <w:sz w:val="24"/>
                <w:szCs w:val="24"/>
                <w:color w:val="auto"/>
              </w:rPr>
            </w:pPr>
          </w:p>
        </w:tc>
      </w:tr>
      <w:tr>
        <w:trPr>
          <w:trHeight w:val="237"/>
        </w:trPr>
        <w:tc>
          <w:tcPr>
            <w:tcW w:w="160" w:type="dxa"/>
            <w:vAlign w:val="bottom"/>
          </w:tcPr>
          <w:p>
            <w:pPr>
              <w:spacing w:after="0"/>
              <w:rPr>
                <w:sz w:val="20"/>
                <w:szCs w:val="20"/>
                <w:color w:val="auto"/>
              </w:rPr>
            </w:pPr>
          </w:p>
        </w:tc>
        <w:tc>
          <w:tcPr>
            <w:tcW w:w="7600" w:type="dxa"/>
            <w:vAlign w:val="bottom"/>
            <w:gridSpan w:val="6"/>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(Zip Code)</w:t>
            </w:r>
          </w:p>
        </w:tc>
      </w:tr>
      <w:tr>
        <w:trPr>
          <w:trHeight w:val="1242"/>
        </w:trPr>
        <w:tc>
          <w:tcPr>
            <w:tcW w:w="160" w:type="dxa"/>
            <w:vAlign w:val="bottom"/>
          </w:tcPr>
          <w:p>
            <w:pPr>
              <w:spacing w:after="0"/>
              <w:rPr>
                <w:sz w:val="24"/>
                <w:szCs w:val="24"/>
                <w:color w:val="auto"/>
              </w:rPr>
            </w:pPr>
          </w:p>
        </w:tc>
        <w:tc>
          <w:tcPr>
            <w:tcW w:w="7600" w:type="dxa"/>
            <w:vAlign w:val="bottom"/>
            <w:gridSpan w:val="6"/>
          </w:tcPr>
          <w:p>
            <w:pPr>
              <w:ind w:left="1880"/>
              <w:spacing w:after="0"/>
              <w:rPr>
                <w:sz w:val="20"/>
                <w:szCs w:val="20"/>
                <w:color w:val="auto"/>
              </w:rPr>
            </w:pPr>
            <w:r>
              <w:rPr>
                <w:rFonts w:ascii="Arial" w:cs="Arial" w:eastAsia="Arial" w:hAnsi="Arial"/>
                <w:sz w:val="18"/>
                <w:szCs w:val="18"/>
                <w:color w:val="auto"/>
              </w:rPr>
              <w:t>Registrant's telephone number, including area code</w:t>
            </w:r>
          </w:p>
        </w:tc>
        <w:tc>
          <w:tcPr>
            <w:tcW w:w="33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(619) 696-2000</w:t>
            </w:r>
          </w:p>
        </w:tc>
        <w:tc>
          <w:tcPr>
            <w:tcW w:w="1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ind w:left="20"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65" w:lineRule="exact"/>
        <w:rPr>
          <w:sz w:val="20"/>
          <w:szCs w:val="20"/>
          <w:color w:val="auto"/>
        </w:rPr>
      </w:pPr>
    </w:p>
    <w:p>
      <w:pPr>
        <w:ind w:left="840" w:hanging="508"/>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840" w:hanging="508"/>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840" w:hanging="508"/>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840" w:hanging="508"/>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Pr>
          <w:p>
            <w:pPr>
              <w:ind w:left="20"/>
              <w:spacing w:after="0"/>
              <w:rPr>
                <w:sz w:val="20"/>
                <w:szCs w:val="20"/>
                <w:color w:val="auto"/>
              </w:rPr>
            </w:pPr>
            <w:r>
              <w:rPr>
                <w:rFonts w:ascii="Arial" w:cs="Arial" w:eastAsia="Arial" w:hAnsi="Arial"/>
                <w:sz w:val="16"/>
                <w:szCs w:val="16"/>
                <w:color w:val="auto"/>
              </w:rPr>
              <w:t>Title of Each Class</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Trading Symbol</w:t>
            </w:r>
          </w:p>
        </w:tc>
        <w:tc>
          <w:tcPr>
            <w:tcW w:w="3380" w:type="dxa"/>
            <w:vAlign w:val="bottom"/>
          </w:tcPr>
          <w:p>
            <w:pPr>
              <w:jc w:val="center"/>
              <w:ind w:right="12"/>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6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493"/>
        </w:trPr>
        <w:tc>
          <w:tcPr>
            <w:tcW w:w="6600" w:type="dxa"/>
            <w:vAlign w:val="bottom"/>
          </w:tcPr>
          <w:p>
            <w:pPr>
              <w:ind w:left="20"/>
              <w:spacing w:after="0"/>
              <w:rPr>
                <w:sz w:val="20"/>
                <w:szCs w:val="20"/>
                <w:color w:val="auto"/>
              </w:rPr>
            </w:pPr>
            <w:r>
              <w:rPr>
                <w:rFonts w:ascii="Arial" w:cs="Arial" w:eastAsia="Arial" w:hAnsi="Arial"/>
                <w:sz w:val="18"/>
                <w:szCs w:val="18"/>
                <w:color w:val="auto"/>
              </w:rPr>
              <w:t>Sempra Energy Common Stock, without par value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SRE</w:t>
            </w:r>
          </w:p>
        </w:tc>
        <w:tc>
          <w:tcPr>
            <w:tcW w:w="3380" w:type="dxa"/>
            <w:vAlign w:val="bottom"/>
          </w:tcPr>
          <w:p>
            <w:pPr>
              <w:jc w:val="center"/>
              <w:ind w:right="12"/>
              <w:spacing w:after="0"/>
              <w:rPr>
                <w:sz w:val="20"/>
                <w:szCs w:val="20"/>
                <w:color w:val="auto"/>
              </w:rPr>
            </w:pPr>
            <w:r>
              <w:rPr>
                <w:rFonts w:ascii="Arial" w:cs="Arial" w:eastAsia="Arial" w:hAnsi="Arial"/>
                <w:sz w:val="18"/>
                <w:szCs w:val="18"/>
                <w:color w:val="auto"/>
                <w:w w:val="97"/>
              </w:rPr>
              <w:t>NYSE</w:t>
            </w:r>
          </w:p>
        </w:tc>
      </w:tr>
      <w:tr>
        <w:trPr>
          <w:trHeight w:val="404"/>
        </w:trPr>
        <w:tc>
          <w:tcPr>
            <w:tcW w:w="6600" w:type="dxa"/>
            <w:vAlign w:val="bottom"/>
          </w:tcPr>
          <w:p>
            <w:pPr>
              <w:ind w:left="20"/>
              <w:spacing w:after="0"/>
              <w:rPr>
                <w:sz w:val="20"/>
                <w:szCs w:val="20"/>
                <w:color w:val="auto"/>
              </w:rPr>
            </w:pPr>
            <w:r>
              <w:rPr>
                <w:rFonts w:ascii="Arial" w:cs="Arial" w:eastAsia="Arial" w:hAnsi="Arial"/>
                <w:sz w:val="18"/>
                <w:szCs w:val="18"/>
                <w:color w:val="auto"/>
                <w:w w:val="95"/>
              </w:rPr>
              <w:t>Sempra Energy 6% Mandatory Convertible Preferred Stock, Series A, $100 liquidation</w:t>
            </w:r>
          </w:p>
        </w:tc>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preference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SREPRA</w:t>
            </w:r>
          </w:p>
        </w:tc>
        <w:tc>
          <w:tcPr>
            <w:tcW w:w="3380" w:type="dxa"/>
            <w:vAlign w:val="bottom"/>
          </w:tcPr>
          <w:p>
            <w:pPr>
              <w:jc w:val="center"/>
              <w:ind w:right="12"/>
              <w:spacing w:after="0"/>
              <w:rPr>
                <w:sz w:val="20"/>
                <w:szCs w:val="20"/>
                <w:color w:val="auto"/>
              </w:rPr>
            </w:pPr>
            <w:r>
              <w:rPr>
                <w:rFonts w:ascii="Arial" w:cs="Arial" w:eastAsia="Arial" w:hAnsi="Arial"/>
                <w:sz w:val="18"/>
                <w:szCs w:val="18"/>
                <w:color w:val="auto"/>
                <w:w w:val="97"/>
              </w:rPr>
              <w:t>NYSE</w:t>
            </w:r>
          </w:p>
        </w:tc>
      </w:tr>
      <w:tr>
        <w:trPr>
          <w:trHeight w:val="404"/>
        </w:trPr>
        <w:tc>
          <w:tcPr>
            <w:tcW w:w="6600" w:type="dxa"/>
            <w:vAlign w:val="bottom"/>
          </w:tcPr>
          <w:p>
            <w:pPr>
              <w:ind w:left="20"/>
              <w:spacing w:after="0"/>
              <w:rPr>
                <w:sz w:val="20"/>
                <w:szCs w:val="20"/>
                <w:color w:val="auto"/>
              </w:rPr>
            </w:pPr>
            <w:r>
              <w:rPr>
                <w:rFonts w:ascii="Arial" w:cs="Arial" w:eastAsia="Arial" w:hAnsi="Arial"/>
                <w:sz w:val="18"/>
                <w:szCs w:val="18"/>
                <w:color w:val="auto"/>
                <w:w w:val="92"/>
              </w:rPr>
              <w:t>Sempra Energy 6.75% Mandatory Convertible Preferred Stock, Series B, $100 liquidation</w:t>
            </w:r>
          </w:p>
        </w:tc>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preference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SREPRB</w:t>
            </w:r>
          </w:p>
        </w:tc>
        <w:tc>
          <w:tcPr>
            <w:tcW w:w="3380" w:type="dxa"/>
            <w:vAlign w:val="bottom"/>
          </w:tcPr>
          <w:p>
            <w:pPr>
              <w:jc w:val="center"/>
              <w:ind w:right="12"/>
              <w:spacing w:after="0"/>
              <w:rPr>
                <w:sz w:val="20"/>
                <w:szCs w:val="20"/>
                <w:color w:val="auto"/>
              </w:rPr>
            </w:pPr>
            <w:r>
              <w:rPr>
                <w:rFonts w:ascii="Arial" w:cs="Arial" w:eastAsia="Arial" w:hAnsi="Arial"/>
                <w:sz w:val="18"/>
                <w:szCs w:val="18"/>
                <w:color w:val="auto"/>
                <w:w w:val="97"/>
              </w:rPr>
              <w:t>NYSE</w:t>
            </w:r>
          </w:p>
        </w:tc>
      </w:tr>
      <w:tr>
        <w:trPr>
          <w:trHeight w:val="418"/>
        </w:trPr>
        <w:tc>
          <w:tcPr>
            <w:tcW w:w="6600" w:type="dxa"/>
            <w:vAlign w:val="bottom"/>
          </w:tcPr>
          <w:p>
            <w:pPr>
              <w:ind w:left="20"/>
              <w:spacing w:after="0"/>
              <w:rPr>
                <w:sz w:val="20"/>
                <w:szCs w:val="20"/>
                <w:color w:val="auto"/>
              </w:rPr>
            </w:pPr>
            <w:r>
              <w:rPr>
                <w:rFonts w:ascii="Arial" w:cs="Arial" w:eastAsia="Arial" w:hAnsi="Arial"/>
                <w:sz w:val="18"/>
                <w:szCs w:val="18"/>
                <w:color w:val="auto"/>
              </w:rPr>
              <w:t>Sempra Energy 5.75% Junior Subordinated Notes Due 2079, $25 par value</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SREA</w:t>
            </w:r>
          </w:p>
        </w:tc>
        <w:tc>
          <w:tcPr>
            <w:tcW w:w="3380" w:type="dxa"/>
            <w:vAlign w:val="bottom"/>
          </w:tcPr>
          <w:p>
            <w:pPr>
              <w:jc w:val="center"/>
              <w:ind w:right="12"/>
              <w:spacing w:after="0"/>
              <w:rPr>
                <w:sz w:val="20"/>
                <w:szCs w:val="20"/>
                <w:color w:val="auto"/>
              </w:rPr>
            </w:pPr>
            <w:r>
              <w:rPr>
                <w:rFonts w:ascii="Arial" w:cs="Arial" w:eastAsia="Arial" w:hAnsi="Arial"/>
                <w:sz w:val="18"/>
                <w:szCs w:val="18"/>
                <w:color w:val="auto"/>
                <w:w w:val="97"/>
              </w:rPr>
              <w:t>NYSE</w:t>
            </w:r>
          </w:p>
        </w:tc>
      </w:tr>
    </w:tbl>
    <w:p>
      <w:pPr>
        <w:spacing w:after="0" w:line="200" w:lineRule="exact"/>
        <w:rPr>
          <w:sz w:val="20"/>
          <w:szCs w:val="20"/>
          <w:color w:val="auto"/>
        </w:rPr>
      </w:pPr>
    </w:p>
    <w:p>
      <w:pPr>
        <w:spacing w:after="0" w:line="366" w:lineRule="exact"/>
        <w:rPr>
          <w:sz w:val="20"/>
          <w:szCs w:val="20"/>
          <w:color w:val="auto"/>
        </w:rPr>
      </w:pPr>
    </w:p>
    <w:p>
      <w:pPr>
        <w:ind w:left="60" w:right="18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19" w:lineRule="exact"/>
        <w:rPr>
          <w:sz w:val="20"/>
          <w:szCs w:val="20"/>
          <w:color w:val="auto"/>
        </w:rPr>
      </w:pPr>
    </w:p>
    <w:p>
      <w:pPr>
        <w:ind w:left="60" w:right="1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1522730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 w:name="page3"/>
    <w:bookmarkEnd w:id="2"/>
    <w:p>
      <w:pPr>
        <w:ind w:right="680"/>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March 30, 2020, George W. Bilicic informed Sempra Energy (the “Company” or “Sempra”) that he will resign as the President and Chief Legal Officer of the Company effective March 30, 2020. Mr. Bilicic and the Company have agreed to treat such resignation as a resignation for “Good Reason” as defined in his Severance Pay Agreement with the Company dated June 2019 (the “Severance Pay Agreement”).</w:t>
      </w:r>
    </w:p>
    <w:p>
      <w:pPr>
        <w:spacing w:after="0" w:line="17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Mr. Bilicic will (i) receive a cash payment in the amount of $3,248,000, (ii) receive medical benefits for 24 months consisting primarily of health insurance coverage for Mr. Bilicic and his dependents, (iii) receive outplacement services for up to 24 months not to exceed $50,000,</w:t>
      </w:r>
    </w:p>
    <w:p>
      <w:pPr>
        <w:jc w:val="both"/>
        <w:ind w:firstLine="8"/>
        <w:spacing w:after="0" w:line="245" w:lineRule="auto"/>
        <w:tabs>
          <w:tab w:leader="none" w:pos="335"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receive financial planning services for 24 months not to exceed $25,000 per year, and (v) have 31,427 shares of restricted stock units vest (not including any future reinvested dividends), which in each case are benefits to which he is entitled for a resignation for “Good Reason” as defined under the Severance Pay Agreement. The value of the medical benefits is approximately $40,250.</w:t>
      </w:r>
    </w:p>
    <w:p>
      <w:pPr>
        <w:spacing w:after="0" w:line="20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On March 30, 2020, in addition to his role as Chairman and Chief Executive Officer and a director of the Company, the Company’s board of directors (the “Board”) appointed Jeffrey W. Martin, 58, to serve as President effective March 31, 2020. Mr. Martin has served as Sempra’s Chairman since December 2018 and as its Chief Executive Officer since May 2018. Previously, Mr. Martin served as Executive Vice President and Chief Financial Officer of the Company from January 2017 to April 2018. Prior to that, he served at San Diego Gas &amp; Electric Company, a wholly owned subsidiary of the Company, as the Chief Executive Officer and as a director beginning in January 2014. Continuing in those roles, he also was appointed as President in October 2015 and as Chairman in November 2015, serving in each of these offices through December 2016. Mr. Martin currently serves as a director of Oncor Electric Delivery Company LLC, of which the Company indirectly owns 80.45%.</w:t>
      </w:r>
    </w:p>
    <w:p>
      <w:pPr>
        <w:spacing w:after="0" w:line="216"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Mr. Martin, in his position as Chairman and Chief Executive Officer of Sempra Energy and, as of March 31, 2020, President, oversees the management of all aspects of Sempra’s business. His performance and leadership in previous senior executive positions at Sempra, his experience as an employee of the company and its subsidiaries for more than 15 years, and his broad understanding of the energy industry, make Mr. Martin a valuable member of Sempra’s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SEMPRA ENERGY,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2040"/>
        <w:spacing w:after="0"/>
        <w:tabs>
          <w:tab w:leader="none" w:pos="564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6"/>
          <w:szCs w:val="16"/>
          <w:color w:val="auto"/>
        </w:rPr>
        <w:t>By: /s/ Peter 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557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R. Wall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1200"/>
      </w:cols>
      <w:pgMar w:left="32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2020-03-31T05:15:51Z</dcterms:created>
  <dcterms:modified xsi:type="dcterms:W3CDTF">2020-03-31T05:15:51Z</dcterms:modified>
</cp:coreProperties>
</file>