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68199d424b2.htm"/>
        <w:bookmarkStart w:id="1" w:name="ksd168199d424b2"/>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424(b)(2)</w:t>
        <w:br/>
        <w:t xml:space="preserve">Registration No. 333-295219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April 21, 2026) </w:t>
      </w:r>
    </w:p>
    <w:p>
      <w:pPr>
        <w:pStyle w:val="TextBody"/>
        <w:bidi w:val="0"/>
        <w:spacing w:before="240" w:after="0"/>
        <w:jc w:val="center"/>
        <w:rPr>
          <w:rFonts w:ascii="Times New Roman" w:hAnsi="Times New Roman"/>
          <w:b/>
          <w:sz w:val="24"/>
        </w:rPr>
      </w:pPr>
      <w:r>
        <w:rPr>
          <w:rFonts w:ascii="Times New Roman" w:hAnsi="Times New Roman"/>
          <w:b/>
          <w:sz w:val="24"/>
        </w:rPr>
        <w:t xml:space="preserve">$500,000,000 </w:t>
      </w:r>
    </w:p>
    <w:p>
      <w:pPr>
        <w:pStyle w:val="TextBody"/>
        <w:bidi w:val="0"/>
        <w:spacing w:before="240" w:after="0"/>
        <w:jc w:val="center"/>
        <w:rPr>
          <w:rFonts w:ascii="Times New Roman" w:hAnsi="Times New Roman"/>
          <w:b/>
          <w:sz w:val="36"/>
        </w:rPr>
      </w:pPr>
      <w:r>
        <w:rPr>
          <w:rFonts w:ascii="Times New Roman" w:hAnsi="Times New Roman"/>
          <w:b/>
          <w:sz w:val="36"/>
        </w:rPr>
        <w:t xml:space="preserve">Southern California Gas Company </w:t>
      </w:r>
    </w:p>
    <w:p>
      <w:pPr>
        <w:pStyle w:val="TextBody"/>
        <w:bidi w:val="0"/>
        <w:spacing w:before="240" w:after="0"/>
        <w:jc w:val="center"/>
        <w:rPr>
          <w:rFonts w:ascii="Times New Roman" w:hAnsi="Times New Roman"/>
          <w:b/>
          <w:sz w:val="24"/>
        </w:rPr>
      </w:pPr>
      <w:r>
        <w:rPr>
          <w:rFonts w:ascii="Times New Roman" w:hAnsi="Times New Roman"/>
          <w:b/>
          <w:sz w:val="24"/>
        </w:rPr>
        <w:t xml:space="preserve">5.500% First Mortgage Bonds, Series GGG, due 2036 </w:t>
      </w:r>
    </w:p>
    <w:p>
      <w:pPr>
        <w:pStyle w:val="TextBody"/>
        <w:bidi w:val="0"/>
        <w:spacing w:before="0" w:after="0"/>
        <w:jc w:val="left"/>
        <w:rPr/>
      </w:pPr>
      <w:r>
        <w:rPr/>
        <w:t> </w:t>
      </w:r>
    </w:p>
    <w:p>
      <w:pPr>
        <w:pStyle w:val="TextBody"/>
        <w:bidi w:val="0"/>
        <w:spacing w:lineRule="atLeast" w:line="142" w:before="0" w:after="40"/>
        <w:jc w:val="center"/>
        <w:rPr>
          <w:bdr w:val="single" w:sz="12" w:space="1" w:color="000000"/>
        </w:rPr>
      </w:pPr>
      <w:r>
        <w:rPr>
          <w:bdr w:val="single" w:sz="1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5.500% First Mortgage Bonds, Series GGG, due 2036 (the “Series GGG bonds”) will mature on September 1, 2036. Interest on the Series GGG bonds will accrue from August 21, 2026 and will be payable on March 1 and September 1 of each year, beginning on March 1, 2027. The Series GGG bonds will be redeemable prior to maturity, at our option, at the redemption prices described in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supplement and the accompanying prospectus are not intended to constitute an offer to, and the Series GGG bonds should not be purchased, held or otherwise acquired, directly or indirectly, by a “specified foreign entity” as defined in Section 7701(a)(51)(B) of the Internal Revenue Code of 1986, as amended (“specified foreign entity”). Each purchaser of the Series GGG bonds (including all affiliated entities that participate in such purchase), by accepting such Series GGG bonds, will be deemed to have represented, warranted and agreed that it is not, and will not be, for its taxable year that includes the date of the original issuance of the Series GGG bonds, a “specified foreign entity.” </w:t>
      </w:r>
    </w:p>
    <w:p>
      <w:pPr>
        <w:pStyle w:val="TextBody"/>
        <w:bidi w:val="0"/>
        <w:spacing w:before="0" w:after="0"/>
        <w:jc w:val="left"/>
        <w:rPr/>
      </w:pPr>
      <w:r>
        <w:rPr/>
        <w:t> </w:t>
      </w:r>
    </w:p>
    <w:p>
      <w:pPr>
        <w:pStyle w:val="TextBody"/>
        <w:bidi w:val="0"/>
        <w:spacing w:lineRule="atLeast" w:line="142" w:before="0" w:after="40"/>
        <w:jc w:val="center"/>
        <w:rPr>
          <w:bdr w:val="single" w:sz="12" w:space="1" w:color="000000"/>
        </w:rPr>
      </w:pPr>
      <w:r>
        <w:rPr>
          <w:bdr w:val="single" w:sz="12" w:space="1" w:color="000000"/>
        </w:rPr>
        <w:t> </w:t>
      </w:r>
    </w:p>
    <w:p>
      <w:pPr>
        <w:pStyle w:val="TextBody"/>
        <w:bidi w:val="0"/>
        <w:spacing w:before="240" w:after="0"/>
        <w:jc w:val="left"/>
        <w:rPr/>
      </w:pPr>
      <w:r>
        <w:rPr>
          <w:rFonts w:ascii="Times New Roman" w:hAnsi="Times New Roman"/>
          <w:b/>
          <w:sz w:val="20"/>
        </w:rPr>
        <w:t>Investing in the Series GGG bonds involves risks. See the “</w:t>
      </w:r>
      <w:hyperlink w:anchor="srom168199_3">
        <w:r>
          <w:rPr>
            <w:rStyle w:val="InternetLink"/>
            <w:rFonts w:ascii="Times New Roman" w:hAnsi="Times New Roman"/>
            <w:b/>
            <w:sz w:val="20"/>
          </w:rPr>
          <w:t>Risk Factors</w:t>
        </w:r>
      </w:hyperlink>
      <w:r>
        <w:rPr>
          <w:rFonts w:ascii="Times New Roman" w:hAnsi="Times New Roman"/>
          <w:b/>
          <w:sz w:val="20"/>
        </w:rPr>
        <w:t xml:space="preserve">” on page S-4 of 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056"/>
        <w:gridCol w:w="60"/>
        <w:gridCol w:w="95"/>
        <w:gridCol w:w="1090"/>
        <w:gridCol w:w="110"/>
        <w:gridCol w:w="311"/>
        <w:gridCol w:w="60"/>
        <w:gridCol w:w="1359"/>
        <w:gridCol w:w="64"/>
      </w:tblGrid>
      <w:tr>
        <w:trPr/>
        <w:tc>
          <w:tcPr>
            <w:tcW w:w="70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0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5" w:type="dxa"/>
            <w:gridSpan w:val="2"/>
            <w:tcBorders>
              <w:bottom w:val="single" w:sz="2" w:space="0" w:color="000000"/>
            </w:tcBorders>
            <w:tcMar>
              <w:bottom w:w="28" w:type="dxa"/>
            </w:tcMar>
            <w:vAlign w:val="bottom"/>
          </w:tcPr>
          <w:p>
            <w:pPr>
              <w:pStyle w:val="TableContents"/>
              <w:bidi w:val="0"/>
              <w:spacing w:before="0" w:after="283"/>
              <w:jc w:val="center"/>
              <w:rPr/>
            </w:pPr>
            <w:r>
              <w:rPr>
                <w:b/>
              </w:rPr>
              <w:t>Per Series</w:t>
            </w:r>
            <w:r>
              <w:rPr/>
              <w:br/>
            </w:r>
            <w:r>
              <w:rPr>
                <w:b/>
              </w:rPr>
              <w:t>GGG Bond</w:t>
            </w:r>
          </w:p>
        </w:tc>
        <w:tc>
          <w:tcPr>
            <w:tcW w:w="11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1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Public offering price(1)</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99.405%</w:t>
            </w:r>
          </w:p>
        </w:tc>
        <w:tc>
          <w:tcPr>
            <w:tcW w:w="11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$497,025,000</w:t>
            </w:r>
          </w:p>
        </w:tc>
        <w:tc>
          <w:tcPr>
            <w:tcW w:w="64" w:type="dxa"/>
            <w:tcBorders/>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0.650%</w:t>
            </w:r>
          </w:p>
        </w:tc>
        <w:tc>
          <w:tcPr>
            <w:tcW w:w="11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$3,250,000</w:t>
            </w:r>
          </w:p>
        </w:tc>
        <w:tc>
          <w:tcPr>
            <w:tcW w:w="64" w:type="dxa"/>
            <w:tcBorders/>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Proceeds to Southern California Gas Company (before expenses)(1)</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98.755%</w:t>
            </w:r>
          </w:p>
        </w:tc>
        <w:tc>
          <w:tcPr>
            <w:tcW w:w="11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$493,775,000</w:t>
            </w:r>
          </w:p>
        </w:tc>
        <w:tc>
          <w:tcPr>
            <w:tcW w:w="64" w:type="dxa"/>
            <w:tcBorders/>
            <w:vAlign w:val="bottom"/>
          </w:tcPr>
          <w:p>
            <w:pPr>
              <w:pStyle w:val="TableContents"/>
              <w:bidi w:val="0"/>
              <w:spacing w:before="0" w:after="283"/>
              <w:jc w:val="left"/>
              <w:rPr/>
            </w:pPr>
            <w:r>
              <w:rPr/>
              <w:t> </w:t>
            </w:r>
          </w:p>
        </w:tc>
      </w:tr>
    </w:tbl>
    <w:p>
      <w:pPr>
        <w:pStyle w:val="TextBody"/>
        <w:bidi w:val="0"/>
        <w:spacing w:lineRule="atLeast" w:line="24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August 21, 2026 if settlement occurs after that date.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We expect the Series GGG bonds will be ready for delivery through The Depository Trust Company for the accounts of its participants, including Clearstream Banking S.A. and Euroclear Bank SA/NV, as operator of the Euroclear System, on or about August 21, 2026. </w:t>
      </w:r>
    </w:p>
    <w:p>
      <w:pPr>
        <w:pStyle w:val="TextBody"/>
        <w:bidi w:val="0"/>
        <w:spacing w:before="0" w:after="0"/>
        <w:jc w:val="left"/>
        <w:rPr/>
      </w:pPr>
      <w:r>
        <w:rPr/>
        <w:t> </w:t>
      </w:r>
    </w:p>
    <w:p>
      <w:pPr>
        <w:pStyle w:val="TextBody"/>
        <w:bidi w:val="0"/>
        <w:spacing w:lineRule="atLeast" w:line="142" w:before="0" w:after="40"/>
        <w:jc w:val="center"/>
        <w:rPr>
          <w:bdr w:val="single" w:sz="12" w:space="1" w:color="000000"/>
        </w:rPr>
      </w:pPr>
      <w:r>
        <w:rPr>
          <w:bdr w:val="single" w:sz="1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7"/>
        <w:gridCol w:w="107"/>
        <w:gridCol w:w="2548"/>
        <w:gridCol w:w="120"/>
        <w:gridCol w:w="2144"/>
        <w:gridCol w:w="60"/>
        <w:gridCol w:w="2579"/>
      </w:tblGrid>
      <w:tr>
        <w:trPr/>
        <w:tc>
          <w:tcPr>
            <w:tcW w:w="264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r>
      <w:tr>
        <w:trPr/>
        <w:tc>
          <w:tcPr>
            <w:tcW w:w="2647" w:type="dxa"/>
            <w:tcBorders/>
          </w:tcPr>
          <w:p>
            <w:pPr>
              <w:pStyle w:val="TableContents"/>
              <w:bidi w:val="0"/>
              <w:spacing w:before="0" w:after="283"/>
              <w:jc w:val="center"/>
              <w:rPr>
                <w:b/>
              </w:rPr>
            </w:pPr>
            <w:r>
              <w:rPr>
                <w:b/>
              </w:rPr>
              <w:t>Barclays</w:t>
            </w:r>
          </w:p>
        </w:tc>
        <w:tc>
          <w:tcPr>
            <w:tcW w:w="107" w:type="dxa"/>
            <w:tcBorders/>
            <w:vAlign w:val="bottom"/>
          </w:tcPr>
          <w:p>
            <w:pPr>
              <w:pStyle w:val="TableContents"/>
              <w:bidi w:val="0"/>
              <w:spacing w:before="0" w:after="283"/>
              <w:jc w:val="left"/>
              <w:rPr/>
            </w:pPr>
            <w:r>
              <w:rPr/>
              <w:t> </w:t>
            </w:r>
          </w:p>
        </w:tc>
        <w:tc>
          <w:tcPr>
            <w:tcW w:w="2548" w:type="dxa"/>
            <w:tcBorders/>
          </w:tcPr>
          <w:p>
            <w:pPr>
              <w:pStyle w:val="TableContents"/>
              <w:bidi w:val="0"/>
              <w:spacing w:before="0" w:after="283"/>
              <w:jc w:val="center"/>
              <w:rPr>
                <w:b/>
              </w:rPr>
            </w:pPr>
            <w:r>
              <w:rPr>
                <w:b/>
              </w:rPr>
              <w:t>Credit Agricole CIB</w:t>
            </w:r>
          </w:p>
        </w:tc>
        <w:tc>
          <w:tcPr>
            <w:tcW w:w="120" w:type="dxa"/>
            <w:tcBorders/>
            <w:vAlign w:val="bottom"/>
          </w:tcPr>
          <w:p>
            <w:pPr>
              <w:pStyle w:val="TableContents"/>
              <w:bidi w:val="0"/>
              <w:spacing w:before="0" w:after="283"/>
              <w:jc w:val="left"/>
              <w:rPr/>
            </w:pPr>
            <w:r>
              <w:rPr/>
              <w:t>  </w:t>
            </w:r>
          </w:p>
        </w:tc>
        <w:tc>
          <w:tcPr>
            <w:tcW w:w="2144" w:type="dxa"/>
            <w:tcBorders/>
          </w:tcPr>
          <w:p>
            <w:pPr>
              <w:pStyle w:val="TableContents"/>
              <w:bidi w:val="0"/>
              <w:spacing w:before="0" w:after="283"/>
              <w:jc w:val="center"/>
              <w:rPr>
                <w:b/>
              </w:rPr>
            </w:pPr>
            <w:r>
              <w:rPr>
                <w:b/>
              </w:rPr>
              <w:t>MUFG</w:t>
            </w:r>
          </w:p>
        </w:tc>
        <w:tc>
          <w:tcPr>
            <w:tcW w:w="60" w:type="dxa"/>
            <w:tcBorders/>
            <w:vAlign w:val="bottom"/>
          </w:tcPr>
          <w:p>
            <w:pPr>
              <w:pStyle w:val="TableContents"/>
              <w:bidi w:val="0"/>
              <w:spacing w:before="0" w:after="283"/>
              <w:jc w:val="left"/>
              <w:rPr/>
            </w:pPr>
            <w:r>
              <w:rPr/>
              <w:t> </w:t>
            </w:r>
          </w:p>
        </w:tc>
        <w:tc>
          <w:tcPr>
            <w:tcW w:w="2579" w:type="dxa"/>
            <w:tcBorders/>
          </w:tcPr>
          <w:p>
            <w:pPr>
              <w:pStyle w:val="TableContents"/>
              <w:bidi w:val="0"/>
              <w:spacing w:before="0" w:after="283"/>
              <w:jc w:val="center"/>
              <w:rPr>
                <w:b/>
              </w:rPr>
            </w:pPr>
            <w:r>
              <w:rPr>
                <w:b/>
              </w:rPr>
              <w:t>TD Securities</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Penserra Securities LLC </w:t>
      </w:r>
    </w:p>
    <w:p>
      <w:pPr>
        <w:pStyle w:val="TextBody"/>
        <w:bidi w:val="0"/>
        <w:spacing w:before="0" w:after="0"/>
        <w:jc w:val="left"/>
        <w:rPr/>
      </w:pPr>
      <w:r>
        <w:rPr/>
        <w:t> </w:t>
      </w:r>
    </w:p>
    <w:p>
      <w:pPr>
        <w:pStyle w:val="TextBody"/>
        <w:bidi w:val="0"/>
        <w:spacing w:lineRule="atLeast" w:line="142" w:before="0" w:after="40"/>
        <w:jc w:val="center"/>
        <w:rPr>
          <w:bdr w:val="single" w:sz="12" w:space="1" w:color="000000"/>
        </w:rPr>
      </w:pPr>
      <w:r>
        <w:rPr>
          <w:bdr w:val="single" w:sz="12"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00"/>
        <w:gridCol w:w="102"/>
        <w:gridCol w:w="5103"/>
      </w:tblGrid>
      <w:tr>
        <w:trPr/>
        <w:tc>
          <w:tcPr>
            <w:tcW w:w="500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103" w:type="dxa"/>
            <w:tcBorders/>
            <w:vAlign w:val="center"/>
          </w:tcPr>
          <w:p>
            <w:pPr>
              <w:pStyle w:val="TableContents"/>
              <w:bidi w:val="0"/>
              <w:spacing w:before="0" w:after="283"/>
              <w:jc w:val="left"/>
              <w:rPr>
                <w:sz w:val="4"/>
                <w:szCs w:val="4"/>
              </w:rPr>
            </w:pPr>
            <w:r>
              <w:rPr>
                <w:sz w:val="4"/>
                <w:szCs w:val="4"/>
              </w:rPr>
            </w:r>
          </w:p>
        </w:tc>
      </w:tr>
      <w:tr>
        <w:trPr/>
        <w:tc>
          <w:tcPr>
            <w:tcW w:w="5000" w:type="dxa"/>
            <w:tcBorders/>
          </w:tcPr>
          <w:p>
            <w:pPr>
              <w:pStyle w:val="TableContents"/>
              <w:bidi w:val="0"/>
              <w:spacing w:before="0" w:after="283"/>
              <w:jc w:val="center"/>
              <w:rPr>
                <w:b/>
              </w:rPr>
            </w:pPr>
            <w:r>
              <w:rPr>
                <w:b/>
              </w:rPr>
              <w:t>Blaylock Van, LLC</w:t>
            </w:r>
          </w:p>
        </w:tc>
        <w:tc>
          <w:tcPr>
            <w:tcW w:w="102" w:type="dxa"/>
            <w:tcBorders/>
            <w:vAlign w:val="bottom"/>
          </w:tcPr>
          <w:p>
            <w:pPr>
              <w:pStyle w:val="TableContents"/>
              <w:bidi w:val="0"/>
              <w:spacing w:before="0" w:after="283"/>
              <w:jc w:val="left"/>
              <w:rPr/>
            </w:pPr>
            <w:r>
              <w:rPr/>
              <w:t> </w:t>
            </w:r>
          </w:p>
        </w:tc>
        <w:tc>
          <w:tcPr>
            <w:tcW w:w="5103" w:type="dxa"/>
            <w:tcBorders/>
          </w:tcPr>
          <w:p>
            <w:pPr>
              <w:pStyle w:val="TableContents"/>
              <w:bidi w:val="0"/>
              <w:spacing w:before="0" w:after="283"/>
              <w:jc w:val="center"/>
              <w:rPr>
                <w:b/>
              </w:rPr>
            </w:pPr>
            <w:r>
              <w:rPr>
                <w:b/>
              </w:rPr>
              <w:t>MFR Securities, Inc.</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12" w:space="1" w:color="000000"/>
        </w:rPr>
      </w:pPr>
      <w:r>
        <w:rPr>
          <w:bdr w:val="single" w:sz="1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August 17</w:t>
      </w:r>
      <w:r>
        <w:rPr>
          <w:rFonts w:ascii="Times New Roman" w:hAnsi="Times New Roman"/>
          <w:b/>
          <w:sz w:val="20"/>
        </w:rPr>
        <w:t xml:space="preserve">, </w:t>
      </w:r>
      <w:r>
        <w:rPr>
          <w:rFonts w:ascii="Times New Roman" w:hAnsi="Times New Roman"/>
          <w:sz w:val="20"/>
        </w:rPr>
        <w:t xml:space="preserve">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r>
        <w:rPr>
          <w:rFonts w:ascii="Times New Roman" w:hAnsi="Times New Roman"/>
          <w:b/>
          <w:sz w:val="24"/>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of the Series GGG bonds and also adds to and updates information contained in the accompanying prospectus and the documents incorporated by reference in this prospectus supplement and the accompanying prospectus. The second part is the accompanying prospectus, which gives more general information, some of which does not apply to the Series GGG bonds. If the description of the Series GGG bonds or this offering of the Series GGG bonds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the accompanying prospectus and any related free writing prospectus issued by us. We have not, and the underwriters have not, authorized anyone to provide you with different information. If anyone provides you with different or inconsistent information, you should not rely on it. We are offering to sell the Series GGG bonds and seeking offers to buy the Series GGG bonds only in jurisdictions where offers and sales are permitted. You should assume that the information contained in this prospectus supplement, the accompanying prospectus and any such free writing prospectus is accurate only as of their respective dates (or such other dates specified therein) and the information contained in documents incorporated by reference is accurate only as of the respective dates (or such other dates specified therein) of those documents, in each case regardless of the time of delivery of this prospectus supplement or the accompanying prospectus or any such free writing prospectus or any sale of the Series GGG bonds.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this prospectus supplement, the accompanying prospectus and any related free writing prospectus filed with the U.S. Securities and Exchange Commission (the “SEC”) and this offering of the Series GGG bonds in certain jurisdictions may be restricted by law. Persons into whose possession this prospectus supplement, the accompanying prospectus and any such free writing prospectus come should inform themselves about and observe any such restrictions. This prospectus supplement, the accompanying prospectus and any such free writing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240" w:after="0"/>
        <w:jc w:val="left"/>
        <w:rPr>
          <w:rFonts w:ascii="Times New Roman" w:hAnsi="Times New Roman"/>
          <w:sz w:val="20"/>
        </w:rPr>
      </w:pPr>
      <w:r>
        <w:rPr>
          <w:rFonts w:ascii="Times New Roman" w:hAnsi="Times New Roman"/>
          <w:sz w:val="20"/>
        </w:rPr>
        <w:t xml:space="preserve">None of this prospectus supplement, the accompanying prospectus or any related free writing prospectus or term sheet is a prospectus for the purposes of Regulation (EU) 2017/1129, as amended (the “Prospectus Regulation”). This prospectus supplement, the accompanying prospectus and any related free writing prospectus or term sheet have been prepared on the basis that any offer of Series GGG bonds in any Member State of the European Economic Area (the “EEA”) will only be made to a legal entity which is a qualified investor under the Prospectus Regulation (each, an “EEA Qualified Investor”). Accordingly, any person making or intending to make an offer in that Member State of Series GGG bonds may only do so with respect to EEA Qualified Investors. Neither Southern California Gas Company nor the underwriters have authorized, nor do they authorize, the making of any offer of Series GGG bonds in the EEA other than to EEA Qualified Investors. </w:t>
      </w:r>
    </w:p>
    <w:p>
      <w:pPr>
        <w:pStyle w:val="TextBody"/>
        <w:bidi w:val="0"/>
        <w:spacing w:before="240" w:after="0"/>
        <w:jc w:val="left"/>
        <w:rPr>
          <w:rFonts w:ascii="Times New Roman" w:hAnsi="Times New Roman"/>
          <w:sz w:val="20"/>
        </w:rPr>
      </w:pPr>
      <w:r>
        <w:rPr>
          <w:rFonts w:ascii="Times New Roman" w:hAnsi="Times New Roman"/>
          <w:b/>
          <w:sz w:val="20"/>
        </w:rPr>
        <w:t>PROHIBITION OF SALES TO EEA RETAIL INVESTORS</w:t>
      </w:r>
      <w:r>
        <w:rPr>
          <w:rFonts w:ascii="Times New Roman" w:hAnsi="Times New Roman"/>
          <w:sz w:val="20"/>
        </w:rPr>
        <w:t xml:space="preserve">—The Series GGG bonds are not intended to be offered, sold or otherwise made available to and should not be offered, sold or otherwise made available to any retail investor in the EEA. For these purposes: (a)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an EEA Qualified Investor; and (b) the expression “offer” includes the communication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form and by any means of sufficient information on the terms of the offer and the Series GGG bonds to be offered so as to enable an investor to decide to purchase or subscribe for the Series GGG bonds. Consequently, no key information document required by Regulation (EU) No 1286/2014, as amended (the “PRIIPs Regulation”) for offering or selling the Series GGG bonds or otherwise making them available to retail investors in the EEA has been prepared and therefore offering or selling the Series GGG bonds or otherwise making them available to any retail investor in the EEA may be unlawful under the PRIIPs Regulation.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any related free writing prospectus have been prepared on the basis that any offer of Series GGG bonds in the United Kingdom (“UK”) will only be made to a legal entity which is a qualified investor under paragraph 15 of Schedule 1 to the Public Offers and Admissions to Trading Regulations 2024 (each, a “UK Qualified Investor”). Accordingly, any person making or intending to make an offer in the UK of Series GGG bonds may only do so with respect to UK Qualified Investors. Neither Southern California Gas Company nor the underwriters have authorized, nor do they authorize, the making of any offer of Series GGG bonds in the UK other than to UK Qualified Investors. </w:t>
      </w:r>
    </w:p>
    <w:p>
      <w:pPr>
        <w:pStyle w:val="TextBody"/>
        <w:bidi w:val="0"/>
        <w:spacing w:before="240" w:after="0"/>
        <w:jc w:val="left"/>
        <w:rPr>
          <w:rFonts w:ascii="Times New Roman" w:hAnsi="Times New Roman"/>
          <w:sz w:val="20"/>
        </w:rPr>
      </w:pPr>
      <w:r>
        <w:rPr>
          <w:rFonts w:ascii="Times New Roman" w:hAnsi="Times New Roman"/>
          <w:sz w:val="20"/>
        </w:rPr>
        <w:t xml:space="preserve">The communication of this prospectus supplement, the accompanying prospectus, any related free writing prospectus and any other documents or materials relating to the issue of the Series GGG bonds offered hereby is not being made, and this prospectus supplement, the accompanying prospectus, any related free writing prospectus and such other documents and/or materials have not been approved by an authorized person for the purposes of Section 21 of the UK’s Financial Services and Markets Act 2000, as amended (the “FSMA”). Accordingly, this prospectus supplement, the accompanying prospectus, any related free writing prospectus and such other documents and/or materials are not being distributed to, and must not be passed on to, the general public in the UK. This prospectus supplement, the accompanying prospectus, any related free writing prospectus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UK, or (iv) are any other persons to whom it may otherwise lawfully be communicated or distributed under the Financial Promotion Order (all such persons together being referred to as “relevant persons”). This prospectus supplement, the accompanying prospectus, any related free writing prospectus and such other documents and/or materials are directed only at relevant persons and must not be acted on or relied on by persons who are not relevant persons. Any investment or investment activity to which this prospectus supplement, the accompanying prospectus, any related free writing prospectus and any such other documents or materials relate will be engaged in only with relevant persons. Any person in the UK that is not a relevant person should not act on or rely on this prospectus supplement, the accompanying prospectus, or any related free writing prospectus and any such other documents or materials or any of their contents. </w:t>
      </w:r>
    </w:p>
    <w:p>
      <w:pPr>
        <w:pStyle w:val="TextBody"/>
        <w:bidi w:val="0"/>
        <w:spacing w:before="240" w:after="0"/>
        <w:jc w:val="left"/>
        <w:rPr>
          <w:rFonts w:ascii="Times New Roman" w:hAnsi="Times New Roman"/>
          <w:sz w:val="20"/>
        </w:rPr>
      </w:pPr>
      <w:r>
        <w:rPr>
          <w:rFonts w:ascii="Times New Roman" w:hAnsi="Times New Roman"/>
          <w:b/>
          <w:sz w:val="20"/>
        </w:rPr>
        <w:t>PROHIBITION OF SALES TO UK RETAIL INVESTORS</w:t>
      </w:r>
      <w:r>
        <w:rPr>
          <w:rFonts w:ascii="Times New Roman" w:hAnsi="Times New Roman"/>
          <w:sz w:val="20"/>
        </w:rPr>
        <w:t xml:space="preserve"> – The Series GGG bonds are not intended to be offered, sold, distributed or otherwise made available to and should not be offered, sold, distributed or otherwise made available to any retail investor in the UK. For these purposes, a retail investor means a person who is either one (or both) of the following: (i) not a professional client, as defined in point (8) of Article 2(1) of Regulation (EU) No 600/2014 as it forms part of domestic law in the UK (“UK MiFIR”); or (ii) not a UK Qualified Investor. Consequently, no disclosure document required by the FCA Product Disclosure Sourcebook (“DISC”) for offering, selling or distributing the Series GGG bonds or otherwise making them available to retail investors in the UK has been prepared and therefore offering, selling or distributing the Series GGG bonds or otherwise making them available to any retail investor in the UK may be unlawful under the DISC and the Consumer Composite Investments (Designated Activities) Regulations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01"/>
        <w:gridCol w:w="305"/>
        <w:gridCol w:w="60"/>
        <w:gridCol w:w="477"/>
        <w:gridCol w:w="62"/>
      </w:tblGrid>
      <w:tr>
        <w:trPr/>
        <w:tc>
          <w:tcPr>
            <w:tcW w:w="9301"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0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537" w:type="dxa"/>
            <w:gridSpan w:val="2"/>
            <w:tcBorders/>
            <w:vAlign w:val="bottom"/>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Page</w:t>
            </w:r>
          </w:p>
        </w:tc>
        <w:tc>
          <w:tcPr>
            <w:tcW w:w="62"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srom168199_1">
              <w:r>
                <w:rPr>
                  <w:rStyle w:val="InternetLink"/>
                  <w:rFonts w:ascii="Times New Roman" w:hAnsi="Times New Roman"/>
                  <w:sz w:val="20"/>
                </w:rPr>
                <w:t>Forward-Looking Statements and Market Data</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rHeight w:val="120" w:hRule="atLeast"/>
        </w:trPr>
        <w:tc>
          <w:tcPr>
            <w:tcW w:w="9301" w:type="dxa"/>
            <w:tcBorders/>
            <w:vAlign w:val="center"/>
          </w:tcPr>
          <w:p>
            <w:pPr>
              <w:pStyle w:val="TableContents"/>
              <w:bidi w:val="0"/>
              <w:spacing w:before="0" w:after="283"/>
              <w:jc w:val="left"/>
              <w:rPr>
                <w:sz w:val="4"/>
                <w:szCs w:val="4"/>
              </w:rPr>
            </w:pPr>
            <w:r>
              <w:rPr>
                <w:sz w:val="4"/>
                <w:szCs w:val="4"/>
              </w:rPr>
            </w:r>
          </w:p>
        </w:tc>
        <w:tc>
          <w:tcPr>
            <w:tcW w:w="904" w:type="dxa"/>
            <w:gridSpan w:val="4"/>
            <w:tcBorders/>
            <w:vAlign w:val="center"/>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pPr>
            <w:hyperlink w:anchor="srom168199_2">
              <w:r>
                <w:rPr>
                  <w:rStyle w:val="InternetLink"/>
                  <w:rFonts w:ascii="Times New Roman" w:hAnsi="Times New Roman"/>
                  <w:sz w:val="20"/>
                </w:rPr>
                <w:t>Summary</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rHeight w:val="120" w:hRule="atLeast"/>
        </w:trPr>
        <w:tc>
          <w:tcPr>
            <w:tcW w:w="9301" w:type="dxa"/>
            <w:tcBorders/>
            <w:vAlign w:val="center"/>
          </w:tcPr>
          <w:p>
            <w:pPr>
              <w:pStyle w:val="TableContents"/>
              <w:bidi w:val="0"/>
              <w:spacing w:before="0" w:after="283"/>
              <w:jc w:val="left"/>
              <w:rPr>
                <w:sz w:val="4"/>
                <w:szCs w:val="4"/>
              </w:rPr>
            </w:pPr>
            <w:r>
              <w:rPr>
                <w:sz w:val="4"/>
                <w:szCs w:val="4"/>
              </w:rPr>
            </w:r>
          </w:p>
        </w:tc>
        <w:tc>
          <w:tcPr>
            <w:tcW w:w="904" w:type="dxa"/>
            <w:gridSpan w:val="4"/>
            <w:tcBorders/>
            <w:vAlign w:val="center"/>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pPr>
            <w:hyperlink w:anchor="srom168199_3">
              <w:r>
                <w:rPr>
                  <w:rStyle w:val="InternetLink"/>
                  <w:rFonts w:ascii="Times New Roman" w:hAnsi="Times New Roman"/>
                  <w:sz w:val="20"/>
                </w:rPr>
                <w:t>Risk Factors</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rHeight w:val="120" w:hRule="atLeast"/>
        </w:trPr>
        <w:tc>
          <w:tcPr>
            <w:tcW w:w="9301" w:type="dxa"/>
            <w:tcBorders/>
            <w:vAlign w:val="center"/>
          </w:tcPr>
          <w:p>
            <w:pPr>
              <w:pStyle w:val="TableContents"/>
              <w:bidi w:val="0"/>
              <w:spacing w:before="0" w:after="283"/>
              <w:jc w:val="left"/>
              <w:rPr>
                <w:sz w:val="4"/>
                <w:szCs w:val="4"/>
              </w:rPr>
            </w:pPr>
            <w:r>
              <w:rPr>
                <w:sz w:val="4"/>
                <w:szCs w:val="4"/>
              </w:rPr>
            </w:r>
          </w:p>
        </w:tc>
        <w:tc>
          <w:tcPr>
            <w:tcW w:w="904" w:type="dxa"/>
            <w:gridSpan w:val="4"/>
            <w:tcBorders/>
            <w:vAlign w:val="center"/>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pPr>
            <w:hyperlink w:anchor="srom168199_4">
              <w:r>
                <w:rPr>
                  <w:rStyle w:val="InternetLink"/>
                  <w:rFonts w:ascii="Times New Roman" w:hAnsi="Times New Roman"/>
                  <w:sz w:val="20"/>
                </w:rPr>
                <w:t>Use of Proceeds</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rHeight w:val="120" w:hRule="atLeast"/>
        </w:trPr>
        <w:tc>
          <w:tcPr>
            <w:tcW w:w="9301" w:type="dxa"/>
            <w:tcBorders/>
            <w:vAlign w:val="center"/>
          </w:tcPr>
          <w:p>
            <w:pPr>
              <w:pStyle w:val="TableContents"/>
              <w:bidi w:val="0"/>
              <w:spacing w:before="0" w:after="283"/>
              <w:jc w:val="left"/>
              <w:rPr>
                <w:sz w:val="4"/>
                <w:szCs w:val="4"/>
              </w:rPr>
            </w:pPr>
            <w:r>
              <w:rPr>
                <w:sz w:val="4"/>
                <w:szCs w:val="4"/>
              </w:rPr>
            </w:r>
          </w:p>
        </w:tc>
        <w:tc>
          <w:tcPr>
            <w:tcW w:w="904" w:type="dxa"/>
            <w:gridSpan w:val="4"/>
            <w:tcBorders/>
            <w:vAlign w:val="center"/>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pPr>
            <w:hyperlink w:anchor="srom168199_5">
              <w:r>
                <w:rPr>
                  <w:rStyle w:val="InternetLink"/>
                  <w:rFonts w:ascii="Times New Roman" w:hAnsi="Times New Roman"/>
                  <w:sz w:val="20"/>
                </w:rPr>
                <w:t>Supplemental Description of First Mortgage Bonds</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rHeight w:val="120" w:hRule="atLeast"/>
        </w:trPr>
        <w:tc>
          <w:tcPr>
            <w:tcW w:w="9301" w:type="dxa"/>
            <w:tcBorders/>
            <w:vAlign w:val="center"/>
          </w:tcPr>
          <w:p>
            <w:pPr>
              <w:pStyle w:val="TableContents"/>
              <w:bidi w:val="0"/>
              <w:spacing w:before="0" w:after="283"/>
              <w:jc w:val="left"/>
              <w:rPr>
                <w:sz w:val="4"/>
                <w:szCs w:val="4"/>
              </w:rPr>
            </w:pPr>
            <w:r>
              <w:rPr>
                <w:sz w:val="4"/>
                <w:szCs w:val="4"/>
              </w:rPr>
            </w:r>
          </w:p>
        </w:tc>
        <w:tc>
          <w:tcPr>
            <w:tcW w:w="904" w:type="dxa"/>
            <w:gridSpan w:val="4"/>
            <w:tcBorders/>
            <w:vAlign w:val="center"/>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pPr>
            <w:hyperlink w:anchor="srom168199_6">
              <w:r>
                <w:rPr>
                  <w:rStyle w:val="InternetLink"/>
                  <w:rFonts w:ascii="Times New Roman" w:hAnsi="Times New Roman"/>
                  <w:sz w:val="20"/>
                </w:rPr>
                <w:t>Underwriting (Conflicts of Interest)</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rHeight w:val="120" w:hRule="atLeast"/>
        </w:trPr>
        <w:tc>
          <w:tcPr>
            <w:tcW w:w="9301" w:type="dxa"/>
            <w:tcBorders/>
            <w:vAlign w:val="center"/>
          </w:tcPr>
          <w:p>
            <w:pPr>
              <w:pStyle w:val="TableContents"/>
              <w:bidi w:val="0"/>
              <w:spacing w:before="0" w:after="283"/>
              <w:jc w:val="left"/>
              <w:rPr>
                <w:sz w:val="4"/>
                <w:szCs w:val="4"/>
              </w:rPr>
            </w:pPr>
            <w:r>
              <w:rPr>
                <w:sz w:val="4"/>
                <w:szCs w:val="4"/>
              </w:rPr>
            </w:r>
          </w:p>
        </w:tc>
        <w:tc>
          <w:tcPr>
            <w:tcW w:w="904" w:type="dxa"/>
            <w:gridSpan w:val="4"/>
            <w:tcBorders/>
            <w:vAlign w:val="center"/>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pPr>
            <w:hyperlink w:anchor="srom168199_7">
              <w:r>
                <w:rPr>
                  <w:rStyle w:val="InternetLink"/>
                  <w:rFonts w:ascii="Times New Roman" w:hAnsi="Times New Roman"/>
                  <w:sz w:val="20"/>
                </w:rPr>
                <w:t>Legal Matters</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rHeight w:val="120" w:hRule="atLeast"/>
        </w:trPr>
        <w:tc>
          <w:tcPr>
            <w:tcW w:w="9301" w:type="dxa"/>
            <w:tcBorders/>
            <w:vAlign w:val="center"/>
          </w:tcPr>
          <w:p>
            <w:pPr>
              <w:pStyle w:val="TableContents"/>
              <w:bidi w:val="0"/>
              <w:spacing w:before="0" w:after="283"/>
              <w:jc w:val="left"/>
              <w:rPr>
                <w:sz w:val="4"/>
                <w:szCs w:val="4"/>
              </w:rPr>
            </w:pPr>
            <w:r>
              <w:rPr>
                <w:sz w:val="4"/>
                <w:szCs w:val="4"/>
              </w:rPr>
            </w:r>
          </w:p>
        </w:tc>
        <w:tc>
          <w:tcPr>
            <w:tcW w:w="904" w:type="dxa"/>
            <w:gridSpan w:val="4"/>
            <w:tcBorders/>
            <w:vAlign w:val="center"/>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pPr>
            <w:hyperlink w:anchor="srom168199_8">
              <w:r>
                <w:rPr>
                  <w:rStyle w:val="InternetLink"/>
                  <w:rFonts w:ascii="Times New Roman" w:hAnsi="Times New Roman"/>
                  <w:sz w:val="20"/>
                </w:rPr>
                <w:t>Experts</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13"/>
        <w:gridCol w:w="481"/>
        <w:gridCol w:w="82"/>
        <w:gridCol w:w="367"/>
        <w:gridCol w:w="62"/>
      </w:tblGrid>
      <w:tr>
        <w:trPr/>
        <w:tc>
          <w:tcPr>
            <w:tcW w:w="9213"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13"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449" w:type="dxa"/>
            <w:gridSpan w:val="2"/>
            <w:tcBorders/>
            <w:vAlign w:val="bottom"/>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Page</w:t>
            </w:r>
          </w:p>
        </w:tc>
        <w:tc>
          <w:tcPr>
            <w:tcW w:w="62" w:type="dxa"/>
            <w:tcBorders/>
            <w:vAlign w:val="bottom"/>
          </w:tcPr>
          <w:p>
            <w:pPr>
              <w:pStyle w:val="TableContents"/>
              <w:bidi w:val="0"/>
              <w:spacing w:before="0" w:after="283"/>
              <w:jc w:val="left"/>
              <w:rPr/>
            </w:pPr>
            <w:r>
              <w:rPr/>
              <w:t> </w:t>
            </w:r>
          </w:p>
        </w:tc>
      </w:tr>
      <w:tr>
        <w:trPr/>
        <w:tc>
          <w:tcPr>
            <w:tcW w:w="9213" w:type="dxa"/>
            <w:tcBorders/>
          </w:tcPr>
          <w:p>
            <w:pPr>
              <w:pStyle w:val="TableContents"/>
              <w:bidi w:val="0"/>
              <w:spacing w:before="0" w:after="0"/>
              <w:jc w:val="left"/>
              <w:rPr/>
            </w:pPr>
            <w:hyperlink w:anchor="tx168199_1">
              <w:r>
                <w:rPr>
                  <w:rStyle w:val="InternetLink"/>
                  <w:rFonts w:ascii="Times New Roman" w:hAnsi="Times New Roman"/>
                  <w:sz w:val="20"/>
                </w:rPr>
                <w:t>About this Prospectus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2">
              <w:r>
                <w:rPr>
                  <w:rStyle w:val="InternetLink"/>
                  <w:rFonts w:ascii="Times New Roman" w:hAnsi="Times New Roman"/>
                  <w:sz w:val="20"/>
                </w:rPr>
                <w:t>Forward-Looking Statements and Market Data</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3">
              <w:r>
                <w:rPr>
                  <w:rStyle w:val="InternetLink"/>
                  <w:rFonts w:ascii="Times New Roman" w:hAnsi="Times New Roman"/>
                  <w:sz w:val="20"/>
                </w:rPr>
                <w:t>Where You Can Find More Information</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4">
              <w:r>
                <w:rPr>
                  <w:rStyle w:val="InternetLink"/>
                  <w:rFonts w:ascii="Times New Roman" w:hAnsi="Times New Roman"/>
                  <w:sz w:val="20"/>
                </w:rPr>
                <w:t>Southern California Gas Company</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5">
              <w:r>
                <w:rPr>
                  <w:rStyle w:val="InternetLink"/>
                  <w:rFonts w:ascii="Times New Roman" w:hAnsi="Times New Roman"/>
                  <w:sz w:val="20"/>
                </w:rPr>
                <w:t>Risk Factors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6">
              <w:r>
                <w:rPr>
                  <w:rStyle w:val="InternetLink"/>
                  <w:rFonts w:ascii="Times New Roman" w:hAnsi="Times New Roman"/>
                  <w:sz w:val="20"/>
                </w:rPr>
                <w:t>Use of Proceeds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7">
              <w:r>
                <w:rPr>
                  <w:rStyle w:val="InternetLink"/>
                  <w:rFonts w:ascii="Times New Roman" w:hAnsi="Times New Roman"/>
                  <w:sz w:val="20"/>
                </w:rPr>
                <w:t>Description of First Mortgage Bonds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8">
              <w:r>
                <w:rPr>
                  <w:rStyle w:val="InternetLink"/>
                  <w:rFonts w:ascii="Times New Roman" w:hAnsi="Times New Roman"/>
                  <w:sz w:val="20"/>
                </w:rPr>
                <w:t>Description of Senior Debt Securities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9">
              <w:r>
                <w:rPr>
                  <w:rStyle w:val="InternetLink"/>
                  <w:rFonts w:ascii="Times New Roman" w:hAnsi="Times New Roman"/>
                  <w:sz w:val="20"/>
                </w:rPr>
                <w:t>Description of Series Preferred Stock</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10">
              <w:r>
                <w:rPr>
                  <w:rStyle w:val="InternetLink"/>
                  <w:rFonts w:ascii="Times New Roman" w:hAnsi="Times New Roman"/>
                  <w:sz w:val="20"/>
                </w:rPr>
                <w:t>Global Securities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11">
              <w:r>
                <w:rPr>
                  <w:rStyle w:val="InternetLink"/>
                  <w:rFonts w:ascii="Times New Roman" w:hAnsi="Times New Roman"/>
                  <w:sz w:val="20"/>
                </w:rPr>
                <w:t>Plan of Distribution</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12">
              <w:r>
                <w:rPr>
                  <w:rStyle w:val="InternetLink"/>
                  <w:rFonts w:ascii="Times New Roman" w:hAnsi="Times New Roman"/>
                  <w:sz w:val="20"/>
                </w:rPr>
                <w:t>Legal Matters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13">
              <w:r>
                <w:rPr>
                  <w:rStyle w:val="InternetLink"/>
                  <w:rFonts w:ascii="Times New Roman" w:hAnsi="Times New Roman"/>
                  <w:sz w:val="20"/>
                </w:rPr>
                <w:t>Experts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3" w:name="srom168199_1"/>
      <w:bookmarkEnd w:id="3"/>
      <w:r>
        <w:rPr>
          <w:rFonts w:ascii="Times New Roman" w:hAnsi="Times New Roman"/>
          <w:b/>
          <w:sz w:val="24"/>
        </w:rPr>
        <w:t xml:space="preserve">FORWARD-LOOKING STATEMENTS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they incorporate by reference contain, and any related free writing prospectus issued by us may contain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respective dates of the documents in which such forward-looking statements appear. We assume no obligation to update or revise any forward-looking statement as a result of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 </w:t>
      </w:r>
    </w:p>
    <w:p>
      <w:pPr>
        <w:pStyle w:val="TextBody"/>
        <w:bidi w:val="0"/>
        <w:spacing w:before="240" w:after="0"/>
        <w:jc w:val="left"/>
        <w:rPr>
          <w:rFonts w:ascii="Times New Roman" w:hAnsi="Times New Roman"/>
          <w:sz w:val="20"/>
        </w:rPr>
      </w:pPr>
      <w:r>
        <w:rPr>
          <w:rFonts w:ascii="Times New Roman" w:hAnsi="Times New Roman"/>
          <w:sz w:val="20"/>
        </w:rPr>
        <w:t xml:space="preserve">Factors, among others, that could cause actual results and events to differ materially from those expressed or implied in any forward-looking statement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101"/>
        <w:gridCol w:w="9800"/>
      </w:tblGrid>
      <w:tr>
        <w:trPr/>
        <w:tc>
          <w:tcPr>
            <w:tcW w:w="203"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California Public Utilities Commission, U.S. Department of Energy, U.S. Internal Revenue Service and other regulatory bodies and (ii) U.S. and states, counties, cities and other jurisdictions therein where we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1"/>
        <w:gridCol w:w="100"/>
        <w:gridCol w:w="9802"/>
      </w:tblGrid>
      <w:tr>
        <w:trPr/>
        <w:tc>
          <w:tcPr>
            <w:tcW w:w="202"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business development efforts and construction projects, including risks related to, as applicable, (i) negotiating pricing and other terms in definitive contracts, (ii) completing construction projects or other transactions on schedule and budget, (iii) realizing anticipated benefits from any of these efforts if completed, (iv) obtaining regulatory and other approvals and (v) third parties honoring their contracts and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2"/>
        <w:gridCol w:w="101"/>
        <w:gridCol w:w="9799"/>
      </w:tblGrid>
      <w:tr>
        <w:trPr/>
        <w:tc>
          <w:tcPr>
            <w:tcW w:w="203"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our capital expenditure plans and their potential impact on rate base or other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2"/>
        <w:gridCol w:w="101"/>
        <w:gridCol w:w="9799"/>
      </w:tblGrid>
      <w:tr>
        <w:trPr/>
        <w:tc>
          <w:tcPr>
            <w:tcW w:w="203"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and the energy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101"/>
        <w:gridCol w:w="9800"/>
      </w:tblGrid>
      <w:tr>
        <w:trPr/>
        <w:tc>
          <w:tcPr>
            <w:tcW w:w="203"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arbitration, property disputes and other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2"/>
        <w:gridCol w:w="101"/>
        <w:gridCol w:w="9800"/>
      </w:tblGrid>
      <w:tr>
        <w:trPr/>
        <w:tc>
          <w:tcPr>
            <w:tcW w:w="202"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threats, including by nation-state actors, of ransomware or other attacks on our systems, the energy grid or our other infrastructure, or the systems of third parties with which we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2"/>
        <w:gridCol w:w="101"/>
        <w:gridCol w:w="9799"/>
      </w:tblGrid>
      <w:tr>
        <w:trPr/>
        <w:tc>
          <w:tcPr>
            <w:tcW w:w="203"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102"/>
        <w:gridCol w:w="9799"/>
      </w:tblGrid>
      <w:tr>
        <w:trPr/>
        <w:tc>
          <w:tcPr>
            <w:tcW w:w="203"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efforts to increase affordability of U.S. utility customer rates on our ability to obtain cost recovery from applicable regulators, our capital expenditure and other growth plans and our ability to advance statewide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1"/>
        <w:gridCol w:w="102"/>
        <w:gridCol w:w="9799"/>
      </w:tblGrid>
      <w:tr>
        <w:trPr/>
        <w:tc>
          <w:tcPr>
            <w:tcW w:w="203"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on affordability of customer rates, cost of capital and operating margin due to (i) volatility in inflation, interest rates, commodity prices, tariff rates, and foreign currency exchange rates and (ii) the cost of meeting the demand for lower carbon and reliable energy in California;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101"/>
        <w:gridCol w:w="9800"/>
      </w:tblGrid>
      <w:tr>
        <w:trPr/>
        <w:tc>
          <w:tcPr>
            <w:tcW w:w="203"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air quality and climate-related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101"/>
        <w:gridCol w:w="9800"/>
      </w:tblGrid>
      <w:tr>
        <w:trPr/>
        <w:tc>
          <w:tcPr>
            <w:tcW w:w="203"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2"/>
        <w:gridCol w:w="102"/>
        <w:gridCol w:w="9798"/>
      </w:tblGrid>
      <w:tr>
        <w:trPr/>
        <w:tc>
          <w:tcPr>
            <w:tcW w:w="203"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and reliability of natural gas and natural gas storage and transportation capacity, including disruptions caused by failures in the pipeline and storage systems or limitations on the injection and withdrawal of natural gas from storage facilities;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1"/>
        <w:gridCol w:w="100"/>
        <w:gridCol w:w="9802"/>
      </w:tblGrid>
      <w:tr>
        <w:trPr/>
        <w:tc>
          <w:tcPr>
            <w:tcW w:w="202"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uncertainties, some of which are difficult to predict and beyond our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not to rely unduly on any forward-looking statements. You should review and consider carefully the risks, uncertainties and other factors that affect our business as described herein, in our Annual Report on Form 10-K for the year ended December 31, 2025, in our Quarterly Reports on Form 10-Q for the quarters ended March 31, 2026 and June 30, 2026, and in other reports and documents on file with the SEC that are incorporated by reference in this prospectus supplement and the accompanying prospectus and any related free writing prospectus issued by us. You may obtain copies of these reports and documents as described under “Where You Can Find More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the documents incorporated and deemed to be incorporated by reference in this prospectus supplement and the accompanying prospectus and any related free writing prospectus issued by us in connection with this offering may contain or incorporate by reference market, demographic and industry data and forecasts that are based on or derived from independent industry publications, publicly available information, government data and other information from third parties or that have been compiled or prepared by our management or employees. We do not guarantee the accuracy or completeness of any of this information, and we have not independently verified any of the information provided by third-party sources. In addition, market, demographic and industry data and forecasts that may be contained or incorporated by reference in this prospectus supplement, the accompanying prospectus, the documents incorporated and deemed to be incorporated by reference in this prospectus supplement and the accompanying prospectus and any related free writing prospectus may involve estimates, assumptions and other uncertainties and are subject to change based on various factors, including those discussed under this heading “Forward-Looking Statements and Market Data,” under the heading “Risk Factors,” and under similar headings in this prospectus supplement, the accompanying prospectus, any related free writing prospectus, and documents that are incorporated or deemed to be incorporated by reference in this prospectus supplement and the accompanying prospectus. Accordingly, you should not place undue reliance on any of this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4" w:name="srom168199_2"/>
      <w:bookmarkEnd w:id="4"/>
      <w:r>
        <w:rPr>
          <w:rFonts w:ascii="Times New Roman" w:hAnsi="Times New Roman"/>
          <w:b/>
          <w:sz w:val="24"/>
        </w:rPr>
        <w:t xml:space="preserve">SUMMARY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information supplements, and should be read together with, the information contained in the accompanying prospectus and the documents incorporated or deemed to be incorporated by reference herein and therein. You should carefully read this prospectus supplement and the accompanying prospectus, as well as the documents they incorporate by reference and any related free writing prospectus issued by us, before making an investment decision. In this prospectus supplement, references to “we,” “us,” “our” and similar terms mean, unless otherwise specified or the context otherwise requires, Southern California Gas Company, references to “you” mean the potential purchasers of the Series GGG bonds offered hereby, and references to currency amounts are in U.S. dollars. </w:t>
      </w:r>
    </w:p>
    <w:p>
      <w:pPr>
        <w:pStyle w:val="TextBody"/>
        <w:bidi w:val="0"/>
        <w:spacing w:before="240" w:after="0"/>
        <w:jc w:val="center"/>
        <w:rPr>
          <w:rFonts w:ascii="Times New Roman" w:hAnsi="Times New Roman"/>
          <w:b/>
          <w:sz w:val="20"/>
        </w:rPr>
      </w:pPr>
      <w:r>
        <w:rPr>
          <w:rFonts w:ascii="Times New Roman" w:hAnsi="Times New Roman"/>
          <w:b/>
          <w:sz w:val="20"/>
        </w:rPr>
        <w:t xml:space="preserve">Southern California Gas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regulated public utility that owns and operates a natural gas distribution, transmission and storage system that delivers natural gas to a service territory that encompasses Southern California and portions of central California (excluding San Diego County, the City of Long Beach and the desert area of San Bernardino County). We are an indirect subsidiary of Sempra, a holding company whose principal businesses are regulated utilities in California and Texas. For additional information concerning us, you should refer to the information under the heading “Where You Can Find More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555 West 5th Street, Los Angeles, California 90013 and our telephone number is (213) 244-1200. Our website is </w:t>
      </w:r>
      <w:r>
        <w:rPr>
          <w:rFonts w:ascii="Times New Roman" w:hAnsi="Times New Roman"/>
          <w:i/>
          <w:sz w:val="20"/>
        </w:rPr>
        <w:t>https://www.socalgas.com/.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for documents that are incorporated by reference in the accompanying prospectus as described therein under “Where You Can Find More Information” and that are available on the SEC website at </w:t>
      </w:r>
      <w:r>
        <w:rPr>
          <w:rFonts w:ascii="Times New Roman" w:hAnsi="Times New Roman"/>
          <w:i/>
          <w:sz w:val="20"/>
        </w:rPr>
        <w:t>www.sec.gov</w:t>
      </w:r>
      <w:r>
        <w:rPr>
          <w:rFonts w:ascii="Times New Roman" w:hAnsi="Times New Roman"/>
          <w:sz w:val="20"/>
        </w:rPr>
        <w:t xml:space="preserve">, the information contained on, or that can be accessed through, our website or any other website referenced herein is not a part of or incorporated by reference in this prospectus supplement, the accompanying prospectus or any document incorporated or deemed to be incorporated herein or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5" w:name="srom168199_3"/>
      <w:bookmarkEnd w:id="5"/>
      <w:r>
        <w:rPr>
          <w:rFonts w:ascii="Times New Roman" w:hAnsi="Times New Roman"/>
          <w:b/>
          <w:sz w:val="24"/>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the Series GGG bonds involves risks. Before deciding whether to purchase any of the Series GGG bonds, you should review and consider carefully the risk factors and other cautionary language incorporated in this prospectus supplement and the accompanying prospectus by reference to our most recent Annual Report on Form 10-K, any subsequent Quarterly Reports on Form 10-Q, and any Current Reports on Form 8-K filed (and not furnished) by us with the SEC subsequent to the last day of the fiscal year covered by our most recent Annual Report on Form 10-K and all other information contained or incorporated by reference in this prospectus supplement and the accompanying prospectus, as updated by our subsequent filings under the Securities Exchange Act of 1934, as amended, that are incorporated by reference in this prospectus supplement and the accompanying prospectus, as well as any free writing prospectus we may provide you in connection with this offering. Please also carefully read the information under the heading “Forward-Looking Statements and Market Data” and any similar headings in this prospectus supplement, the accompanying prospectus, our most recent Annual Report on Form 10-K and any subsequent Quarterly Reports on Form 10-Q and Current Reports on Form 8-K filed (and not furnished) by us with the SEC subsequent to the last day of the fiscal year covered by our most recent Annual Report on Form 10-K. There may be other risks and uncertainties not known to us or that we deem immaterial that also could impair our business operations, financial results and the value of our securities. The occurrence of any of these risks could have a material adverse effect on our results of operations, financial condition, cash flows and/or prospects and might cause you to lose all or part of your investment in the Series GGG bonds. In that regard, unless otherwise expressly stated or the context otherwise requires, references to our indebtedness generally or our secured indebtedness appearing under the heading “Risk Factors” and similar headings in our most recent Annual Report on Form 10-K and any subsequent Quarterly Reports on Form 10-Q include the Series GGG bonds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6" w:name="srom168199_4"/>
      <w:bookmarkEnd w:id="6"/>
      <w:r>
        <w:rPr>
          <w:rFonts w:ascii="Times New Roman" w:hAnsi="Times New Roman"/>
          <w:b/>
          <w:sz w:val="24"/>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sale of the Series GGG bonds will be approximately $493.8 million (after deducting the underwriting discount but before deducting estimated offering expenses payable by us). We intend to use a substantial portion of the net proceeds from this offering to repay outstanding indebtedness and to use any remaining net proceeds for other general corporate purposes. Such indebtedness may include a term loan that, as of August 14, 2026, bore interest at a rate of 4.426% per annum and maturing on December 9, 2026, the proceeds of which were used for working capital, capital expenditures and other general corporate purposes, as well as commercial paper that, as of August 14, 2026, bore interest at rates of 3.792% per annum or less and will mature at various dates through August 18, 2026. We estimate that the expenses for this offering payable by us, excluding the underwriting discount, will be approximately $1,100,000. </w:t>
      </w:r>
    </w:p>
    <w:p>
      <w:pPr>
        <w:pStyle w:val="TextBody"/>
        <w:bidi w:val="0"/>
        <w:spacing w:before="240" w:after="0"/>
        <w:jc w:val="left"/>
        <w:rPr>
          <w:rFonts w:ascii="Times New Roman" w:hAnsi="Times New Roman"/>
          <w:sz w:val="20"/>
        </w:rPr>
      </w:pPr>
      <w:r>
        <w:rPr>
          <w:rFonts w:ascii="Times New Roman" w:hAnsi="Times New Roman"/>
          <w:sz w:val="20"/>
        </w:rPr>
        <w:t xml:space="preserve">Pending application of the net proceeds from this offering for the foregoing intended purposes, we expect to invest such net proceeds in various instruments which may include, but would not be limited to, short- and intermediate-term, interest-bearing obligations, including bank deposits and certificates of deposit with financial institutions having investment-grade ratings, U.S. government obligations or money market funds primarily invested in securities issued by the U.S. government or its agencies. </w:t>
      </w:r>
    </w:p>
    <w:p>
      <w:pPr>
        <w:pStyle w:val="TextBody"/>
        <w:bidi w:val="0"/>
        <w:spacing w:before="240" w:after="0"/>
        <w:jc w:val="left"/>
        <w:rPr>
          <w:rFonts w:ascii="Times New Roman" w:hAnsi="Times New Roman"/>
          <w:sz w:val="20"/>
        </w:rPr>
      </w:pPr>
      <w:r>
        <w:rPr>
          <w:rFonts w:ascii="Times New Roman" w:hAnsi="Times New Roman"/>
          <w:sz w:val="20"/>
        </w:rPr>
        <w:t xml:space="preserve">As described above, we intend to use a substantial portion of the net proceeds from this offering to repay outstanding indebtedness, which may include a term loan and our commercial paper. One or more of the underwriters participating in this offering and/or their affiliates may hold positions in our commercial paper or other indebtedness of ours and affiliates of some of the underwriters participating in this offering are lenders under our credit facility. To the extent that net proceeds from this offering are applied to repay any of our outstanding indebtedness (including commercial paper, bank loans or other indebtedness) held by any of the underwriters or their affiliates, they will receive proceeds from this offering through the repayment of that indebtedness. If the amount of such proceeds so received by any underwriter or its affiliates is 5% or more of the net proceeds of this offering (not including the underwriting discount), such underwriter would be deemed to have a conflict of interest within the meaning of Financial Industry Regulatory Authority, Inc. (“FINRA”) Rule 5121. In such event, this offering would be conducted in compliance with FINRA Rule 5121 and such underwriter would not be permitted to make sales in this offering to any discretionary account without the prior written approval of the customer. Pursuant to that rule, the appointment of a “qualified independent underwriter” would not be required in connection with this offering, as the Series GGG bonds are “investment grade rated” (as defined in FINRA Rule 5121). See “Underwriting (Conflicts of Interest)—Other Relationships” and “Underwriting (Conflicts of Interest)—Conflicts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7" w:name="srom168199_5"/>
      <w:bookmarkEnd w:id="7"/>
      <w:r>
        <w:rPr>
          <w:rFonts w:ascii="Times New Roman" w:hAnsi="Times New Roman"/>
          <w:b/>
          <w:sz w:val="24"/>
        </w:rPr>
        <w:t xml:space="preserve">SUPPLEMENTAL DESCRIPTION OF FIRST MORTGAGE BONDS </w:t>
      </w:r>
    </w:p>
    <w:p>
      <w:pPr>
        <w:pStyle w:val="TextBody"/>
        <w:bidi w:val="0"/>
        <w:spacing w:before="240" w:after="0"/>
        <w:jc w:val="left"/>
        <w:rPr>
          <w:rFonts w:ascii="Times New Roman" w:hAnsi="Times New Roman"/>
          <w:i/>
          <w:sz w:val="20"/>
        </w:rPr>
      </w:pPr>
      <w:r>
        <w:rPr>
          <w:rFonts w:ascii="Times New Roman" w:hAnsi="Times New Roman"/>
          <w:i/>
          <w:sz w:val="20"/>
        </w:rPr>
        <w:t xml:space="preserve">The Series GGG bonds offered by this prospectus supplement are a series of our first mortgage bonds as described below and in the accompanying prospectus. The Series GGG bonds will be issued under a supplemental indenture and the first mortgage indenture referred to in the accompanying prospectus, each between us, as issuer, and U.S. Bank National Association, as successor trustee. Under this heading “Supplemental Description of First Mortgage Bonds,” references to the “indenture” mean the first mortgage indenture dated October 1, 1940, between us and U.S. Bank National Association, as successor trustee, relating to the issuance of each series of first mortgage bonds by us, as amended by supplemental indentures dated as of July 1, 1947, August 1, 1955, December 1, 1956, June 1, 1965, August 1, 1972, May 1, 1976 and September 15, 1981, references to “we,” “us,” “our” and similar terms mean, unless otherwise specified or the context otherwise requires, Southern California Gas Company excluding its consolidated entities (if any), and references to terms not defined herein have the meanings given to those terms in the accompanying prospectus or, if not defined in the accompanying prospectus, in the supplemental indenture or the indenture. </w:t>
      </w:r>
    </w:p>
    <w:p>
      <w:pPr>
        <w:pStyle w:val="TextBody"/>
        <w:bidi w:val="0"/>
        <w:spacing w:before="240" w:after="0"/>
        <w:jc w:val="left"/>
        <w:rPr>
          <w:rFonts w:ascii="Times New Roman" w:hAnsi="Times New Roman"/>
          <w:i/>
          <w:sz w:val="20"/>
        </w:rPr>
      </w:pPr>
      <w:r>
        <w:rPr>
          <w:rFonts w:ascii="Times New Roman" w:hAnsi="Times New Roman"/>
          <w:i/>
          <w:sz w:val="20"/>
        </w:rPr>
        <w:t xml:space="preserve">We have described below selected provisions of the Series GGG bonds and the supplemental indenture applicable to the Series GGG bonds. The description of selected provisions of the Series GGG bonds and the supplemental indenture appearing below supplements, and to the extent inconsistent, supersedes and replaces, the description of the general terms and conditions of our first mortgage bonds and the indenture contained in the accompanying prospectus. This description is a summary and is not complete and is qualified by reference to the provisions of the Series GGG bonds, the supplemental indenture and the indenture. Forms of the Series GGG bonds, the supplemental indenture and the indenture have been or will be filed with the SEC and you may obtain copies as described under “Where You Can Find More Information” in the accompanying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will constitute a series of first mortgage bonds under the indenture, initially limited to $500,000,000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will mature on September 1, 2036. The Series GGG bonds will bear interest at the rate of 5.500% per annum, accruing from August 21, 2026. Interest on the Series GGG bonds will be payable semiannually in arrears on March 1 and September 1 of each year (each, an “interest payment date”), commencing March 1, 2027, to the persons in whose names the Series GGG bonds are registered at the close of business on the February 15 or August 15, as the case may be (each, a “record date”), next preceding those interest payment dates. Interest on the Series GGG bonds will be calculated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will be redeemable prior to maturity, at our option, at the prices set forth below under the heading “Optional Redemption.” The Series GGG bonds will not be subject to a sinking fund. </w:t>
      </w:r>
    </w:p>
    <w:p>
      <w:pPr>
        <w:pStyle w:val="TextBody"/>
        <w:bidi w:val="0"/>
        <w:spacing w:before="240" w:after="0"/>
        <w:jc w:val="left"/>
        <w:rPr>
          <w:rFonts w:ascii="Times New Roman" w:hAnsi="Times New Roman"/>
          <w:sz w:val="20"/>
        </w:rPr>
      </w:pPr>
      <w:r>
        <w:rPr>
          <w:rFonts w:ascii="Times New Roman" w:hAnsi="Times New Roman"/>
          <w:sz w:val="20"/>
        </w:rPr>
        <w:t xml:space="preserve">At June 30, 2026, and without giving effect to the issuance of the Series GGG bonds offered hereby, we had outstanding $7.6 billion of first mortgage bonds issued under the indenture and the Net Investment in Mortgaged Property (as defined in the accompanying prospectus) subject to the lien of the indenture was approximately $17.7 billion. For the twelve months ended June 30, 2026 and without giving effect to the issuance of the Series GGG bonds, the Net Earnings of the Corporation Available for Interest (as defined in the accompanying prospectus) were approximately 6 times the annual interest charges on our first mortgage bonds outstanding under the indenture. The number in the immediately preceding sentence (i.e., the multiple of annual interest charges on our first mortgage bonds outstanding under the indenture as of June 30, 2026) would have been lower had it been calculated after giving effect to the issuance of the Series GGG bonds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240" w:after="0"/>
        <w:jc w:val="left"/>
        <w:rPr>
          <w:rFonts w:ascii="Times New Roman" w:hAnsi="Times New Roman"/>
          <w:sz w:val="20"/>
        </w:rPr>
      </w:pPr>
      <w:r>
        <w:rPr>
          <w:rFonts w:ascii="Times New Roman" w:hAnsi="Times New Roman"/>
          <w:sz w:val="20"/>
        </w:rPr>
        <w:t xml:space="preserve">Prior to June 1, 2036 (the “Par Call Date”), we may redeem the Series GGG bonds at our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Series GGG bonds matured on the Par Call Date) on a semi-annual basis (assuming a 360-day year consisting of twelve 30-day months) at the Treasury Rate (as defined below) plus 15 basis points less (b)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Series GGG bonds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and after the Par Call Date, we may redeem the Series GGG bonds at our option, in whole or in part, at any time and from time to time, at a redemption price equal to 100% of the principal amount of the Series GGG bonds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installments of interest on the Series GGG bonds that are due and payable on any interest payment date falling on or prior to a redemption date will be payable on that interest payment date to the registered holders thereof as of the close of business on the relevant record date according to the terms of the Series GGG bonds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at least 30 days, but not more than 60 days, before the redemption date to each registered holder of the Series GGG bonds to be redeemed. Once notice of redemption is mailed, the Series GGG bonds called for redemption will become due and payable on the redemption date at the applicable redemption price, plus accrued and unpaid interest to the redemption date. Redemption will not be conditional upon receipt by the trustee of monies sufficient to pay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the payment of the redemption price, on and after the redemption date the Series GGG bonds or portions thereof called for redemption will cease to bear interest and will cease to be entitled to the lien of the indenture. We will pay each registered holder of the Series GGG bonds to be redeemed the redemption price and any accrued and unpaid interest once the Series GGG bonds are surrendered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elect to redeem only a portion of the outstanding Series GGG bonds on any redemption date, (a) the Series GGG bonds to be redeemed shall be selected as provided in the indenture and, in the case of Series GGG bonds represented by a global security (as defined below), in accordance with the procedures of The Depository Trust Company (or its successor as depositary (as defined in the accompanying prospectus) for the Series GGG bonds), (b) in the case of any Series GGG bonds being redeemed in part, the principal amount redeemed must be $25,000 or an integral multiple of $25,000 and the unredeemed portion of the principal amount of such Series GGG bonds must be an authorized denomination, and (c) the trustee will deliver without charge one or more new Series GGG bonds in principal amount equal to the unredeemed portion of the principal amount of the Series GGG bonds surrendered for redemption.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(as defined below)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As used in this paragraph and the immediately succeeding paragraph, the term “business day” means any day (other than a Saturday or Sunday) on which banking institutions in The City of New York are not authorized or obligated by law or executive order to remain closed.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We will notify the trustee of the redemption price promptly after the calculation thereof and the trustee shall have no duty or obligation with respect to the calculation of the redemption price. </w:t>
      </w:r>
    </w:p>
    <w:p>
      <w:pPr>
        <w:pStyle w:val="TextBody"/>
        <w:bidi w:val="0"/>
        <w:spacing w:before="240" w:after="0"/>
        <w:jc w:val="left"/>
        <w:rPr>
          <w:rFonts w:ascii="Times New Roman" w:hAnsi="Times New Roman"/>
          <w:b/>
          <w:sz w:val="20"/>
        </w:rPr>
      </w:pPr>
      <w:r>
        <w:rPr>
          <w:rFonts w:ascii="Times New Roman" w:hAnsi="Times New Roman"/>
          <w:b/>
          <w:sz w:val="20"/>
        </w:rPr>
        <w:t xml:space="preserve">Defeasance </w:t>
      </w:r>
    </w:p>
    <w:p>
      <w:pPr>
        <w:pStyle w:val="TextBody"/>
        <w:bidi w:val="0"/>
        <w:spacing w:before="240" w:after="0"/>
        <w:jc w:val="left"/>
        <w:rPr>
          <w:rFonts w:ascii="Times New Roman" w:hAnsi="Times New Roman"/>
          <w:sz w:val="20"/>
        </w:rPr>
      </w:pPr>
      <w:r>
        <w:rPr>
          <w:rFonts w:ascii="Times New Roman" w:hAnsi="Times New Roman"/>
          <w:sz w:val="20"/>
        </w:rPr>
        <w:t xml:space="preserve">The defeasance provisions of the indenture described in the accompanying prospectus under “Description of First Mortgage Bonds—Defeasance, Cancellation and Discharge” will apply to the Series GGG bonds. We may effect defeasance by (i) paying the principal of and premium, if any, and interest on all then outstanding first mortgage bonds and/or by depositing with the trustee or another depositary sufficient funds to pay the principal of and premium, if any, and interest on all then outstanding first mortgage bonds to maturity or any earlier redemption date and/or by surrendering to the trustee for cancellation all first mortgage bonds for which payment is not so provided and (ii) paying or satisfactorily providing for all other sums due and payable by us under the indenture, including the compensation and expenses of the trustee. As a condition to the satisfaction of the indenture (but not as a condition to the release of the mortgaged property), in addition to the other conditions of defeasance specified in the indenture, we will be required to deliver an opinion of counsel to the effect that a holder of Series GGG bonds will not recognize income, gain or loss for federal income tax purposes as a result of the defeasance and will be subject to federal income tax on the same amounts, at the same times and in the same manner as if that defeasance had not occurred. The opinion of counsel must be based upon a ruling of the Internal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 Service or a change in law after the date on which the Series GGG bonds are first issued, which is expected to be August 21, 2026. </w:t>
      </w:r>
    </w:p>
    <w:p>
      <w:pPr>
        <w:pStyle w:val="TextBody"/>
        <w:bidi w:val="0"/>
        <w:spacing w:before="240" w:after="0"/>
        <w:jc w:val="left"/>
        <w:rPr>
          <w:rFonts w:ascii="Times New Roman" w:hAnsi="Times New Roman"/>
          <w:b/>
          <w:sz w:val="20"/>
        </w:rPr>
      </w:pPr>
      <w:r>
        <w:rPr>
          <w:rFonts w:ascii="Times New Roman" w:hAnsi="Times New Roman"/>
          <w:b/>
          <w:sz w:val="20"/>
        </w:rPr>
        <w:t xml:space="preserve">Other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without notice to or the consent of the holders of the Series GGG bonds, increase the principal amount of this series of first mortgage bonds under the indenture and issue such increased principal amount, or any portion thereof. Any additional Series GGG bonds so issued shall have the same form and terms (other than the offering price, the date of original issuance and, under certain circumstances, the date from which interest thereon shall begin to accrue and the first interest payment date), and shall carry the same right to receive accrued and unpaid interest, as the Series GGG bonds previously issued and shall form a single series of first mortgage bonds under the indenture with the previously issued Series GGG bonds, provided that such additional Series GGG bonds shall be fungible with the previously issued Series GGG bonds for United States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initially will be issued in book-entry form and represented by one or more Series GGG bonds in global form (each, a “global security” and, collectively, the “global securities”) deposited with, or on behalf of, The Depository Trust Company, as depositary, and registered in the name of Cede &amp; Co., its nominee. This means that you will not be entitled to receive a certificate for the Series GGG bonds that you purchase except in limited circumstances described in the accompanying prospectus under the heading “Global Securities.” The Series GGG bonds will be issued only in fully registered form without coupons, in denominations of $25,000 and integral multiples of $25,000 in excess thereof. For additional information regarding Series GGG bonds in global form and the depositary’s book-entry system, see “Global Securities”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Series GGG bonds represented by global securities, we will make payments to the depositary or its nominee as the registered holder of such Series GGG bonds by wire transfer of immediately available funds. If Series GGG bonds are issued in definitive certificated form under the limited circumstances described under the heading “Global Securities” in the accompanying prospectus, we will have the option of paying interest on the Series GGG bonds in definitive certificated form by check mailed to the addresses of the persons entitled to payment or by wire transfer to bank accounts in the United States designated in writing to the trustee at least 15 days before the applicable interest payment date by the persons entitled to payment. </w:t>
      </w:r>
    </w:p>
    <w:p>
      <w:pPr>
        <w:pStyle w:val="TextBody"/>
        <w:bidi w:val="0"/>
        <w:spacing w:before="240" w:after="0"/>
        <w:jc w:val="left"/>
        <w:rPr>
          <w:rFonts w:ascii="Times New Roman" w:hAnsi="Times New Roman"/>
          <w:sz w:val="20"/>
        </w:rPr>
      </w:pPr>
      <w:r>
        <w:rPr>
          <w:rFonts w:ascii="Times New Roman" w:hAnsi="Times New Roman"/>
          <w:sz w:val="20"/>
        </w:rPr>
        <w:t xml:space="preserve">We will maintain a paying agent and transfer agent for the Series GGG bonds in San Francisco, California and, if Series GGG bonds are issued in definitive certificated form under the limited circumstances described under the heading “Global Securities” in the accompanying prospectus, in the Borough of Manhattan, The City of New York. The trustee will act as initial paying agent and transfer agent for the Series GGG bonds through its offices in San Francisco, California.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any interest payment date, any redemption date or the maturity date of the Series GGG bonds is not a business day at any place of payment (with “business day” and “place of payment” having the meanings set forth in the next sentence), then payment of the principal, premium, if any, and interest due on such interest payment date, redemption date or maturity date, as the case may be, need not be made at such place of payment on such date, but may be made on the next succeeding business day at such place of payment and, in that case, no interest will accrue on the amount payable for the period from and after such interest payment date, redemption date or maturity date, as the case may be. As used in the immediately preceding sentence, “place of payment” means San Francisco, California and any other place or places where we may from time to time maintain an office or agency where Series GGG bonds may be presented for payment, and “business day,” when used with respect to any place of payment, means a day other than (i) a Saturday or a Sunday or (ii) a day on which banking institutions in that place of payment are authorized or obligated by law or executive order to remain 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8" w:name="srom168199_6"/>
      <w:bookmarkEnd w:id="8"/>
      <w:r>
        <w:rPr>
          <w:rFonts w:ascii="Times New Roman" w:hAnsi="Times New Roman"/>
          <w:b/>
          <w:sz w:val="24"/>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contained in an underwriting agreement, the underwriters named below, for whom Barclays Capital Inc., Credit Agricole Securities (USA) Inc., MUFG Securities Americas Inc. and TD Securities (USA) LLC are acting as representatives, have agreed, severally and not jointly, to purchase, and we have agreed to sell to them, severally and not jointly, the respective principal amounts of the Series GGG bonds set forth opposite their respective names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11"/>
        <w:gridCol w:w="462"/>
        <w:gridCol w:w="140"/>
        <w:gridCol w:w="1462"/>
        <w:gridCol w:w="64"/>
      </w:tblGrid>
      <w:tr>
        <w:trPr/>
        <w:tc>
          <w:tcPr>
            <w:tcW w:w="4811"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11"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Name</w:t>
            </w:r>
          </w:p>
        </w:tc>
        <w:tc>
          <w:tcPr>
            <w:tcW w:w="462" w:type="dxa"/>
            <w:tcBorders/>
            <w:vAlign w:val="bottom"/>
          </w:tcPr>
          <w:p>
            <w:pPr>
              <w:pStyle w:val="TableContents"/>
              <w:bidi w:val="0"/>
              <w:spacing w:before="0" w:after="283"/>
              <w:jc w:val="left"/>
              <w:rPr/>
            </w:pPr>
            <w:r>
              <w:rPr/>
              <w:t>  </w:t>
            </w:r>
          </w:p>
        </w:tc>
        <w:tc>
          <w:tcPr>
            <w:tcW w:w="160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Principal</w:t>
              <w:br/>
              <w:t>Amount of</w:t>
              <w:br/>
              <w:t>Series GGG</w:t>
              <w:br/>
              <w:t>bonds</w:t>
            </w:r>
          </w:p>
        </w:tc>
        <w:tc>
          <w:tcPr>
            <w:tcW w:w="64" w:type="dxa"/>
            <w:tcBorders/>
            <w:vAlign w:val="bottom"/>
          </w:tcPr>
          <w:p>
            <w:pPr>
              <w:pStyle w:val="TableContents"/>
              <w:bidi w:val="0"/>
              <w:spacing w:before="0" w:after="283"/>
              <w:jc w:val="left"/>
              <w:rPr/>
            </w:pPr>
            <w:r>
              <w:rPr/>
              <w:t> </w:t>
            </w:r>
          </w:p>
        </w:tc>
      </w:tr>
      <w:tr>
        <w:trPr/>
        <w:tc>
          <w:tcPr>
            <w:tcW w:w="4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 </w:t>
            </w:r>
          </w:p>
        </w:tc>
        <w:tc>
          <w:tcPr>
            <w:tcW w:w="4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62" w:type="dxa"/>
            <w:tcBorders/>
            <w:shd w:fill="CCEEFF" w:val="clear"/>
            <w:vAlign w:val="bottom"/>
          </w:tcPr>
          <w:p>
            <w:pPr>
              <w:pStyle w:val="TableContents"/>
              <w:bidi w:val="0"/>
              <w:spacing w:before="0" w:after="283"/>
              <w:jc w:val="right"/>
              <w:rPr/>
            </w:pPr>
            <w:r>
              <w:rPr/>
              <w:t>112,000,000</w:t>
            </w:r>
          </w:p>
        </w:tc>
        <w:tc>
          <w:tcPr>
            <w:tcW w:w="64" w:type="dxa"/>
            <w:tcBorders/>
            <w:shd w:fill="CCEEFF" w:val="clear"/>
            <w:vAlign w:val="bottom"/>
          </w:tcPr>
          <w:p>
            <w:pPr>
              <w:pStyle w:val="TableContents"/>
              <w:bidi w:val="0"/>
              <w:spacing w:before="0" w:after="283"/>
              <w:jc w:val="left"/>
              <w:rPr/>
            </w:pPr>
            <w:r>
              <w:rPr/>
              <w:t> </w:t>
            </w:r>
          </w:p>
        </w:tc>
      </w:tr>
      <w:tr>
        <w:trPr/>
        <w:tc>
          <w:tcPr>
            <w:tcW w:w="4811" w:type="dxa"/>
            <w:tcBorders/>
          </w:tcPr>
          <w:p>
            <w:pPr>
              <w:pStyle w:val="TableContents"/>
              <w:bidi w:val="0"/>
              <w:spacing w:before="0" w:after="0"/>
              <w:jc w:val="left"/>
              <w:rPr>
                <w:rFonts w:ascii="Times New Roman" w:hAnsi="Times New Roman"/>
                <w:sz w:val="20"/>
              </w:rPr>
            </w:pPr>
            <w:r>
              <w:rPr>
                <w:rFonts w:ascii="Times New Roman" w:hAnsi="Times New Roman"/>
                <w:sz w:val="20"/>
              </w:rPr>
              <w:t>Credit Agricole Securities (USA) Inc. </w:t>
            </w:r>
          </w:p>
        </w:tc>
        <w:tc>
          <w:tcPr>
            <w:tcW w:w="4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112,000,000</w:t>
            </w:r>
          </w:p>
        </w:tc>
        <w:tc>
          <w:tcPr>
            <w:tcW w:w="64" w:type="dxa"/>
            <w:tcBorders/>
            <w:vAlign w:val="bottom"/>
          </w:tcPr>
          <w:p>
            <w:pPr>
              <w:pStyle w:val="TableContents"/>
              <w:bidi w:val="0"/>
              <w:spacing w:before="0" w:after="283"/>
              <w:jc w:val="left"/>
              <w:rPr/>
            </w:pPr>
            <w:r>
              <w:rPr/>
              <w:t> </w:t>
            </w:r>
          </w:p>
        </w:tc>
      </w:tr>
      <w:tr>
        <w:trPr/>
        <w:tc>
          <w:tcPr>
            <w:tcW w:w="4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Securities Americas Inc. </w:t>
            </w:r>
          </w:p>
        </w:tc>
        <w:tc>
          <w:tcPr>
            <w:tcW w:w="4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114,000,000</w:t>
            </w:r>
          </w:p>
        </w:tc>
        <w:tc>
          <w:tcPr>
            <w:tcW w:w="64" w:type="dxa"/>
            <w:tcBorders/>
            <w:shd w:fill="CCEEFF" w:val="clear"/>
            <w:vAlign w:val="bottom"/>
          </w:tcPr>
          <w:p>
            <w:pPr>
              <w:pStyle w:val="TableContents"/>
              <w:bidi w:val="0"/>
              <w:spacing w:before="0" w:after="283"/>
              <w:jc w:val="left"/>
              <w:rPr/>
            </w:pPr>
            <w:r>
              <w:rPr/>
              <w:t> </w:t>
            </w:r>
          </w:p>
        </w:tc>
      </w:tr>
      <w:tr>
        <w:trPr/>
        <w:tc>
          <w:tcPr>
            <w:tcW w:w="4811"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4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112,000,000</w:t>
            </w:r>
          </w:p>
        </w:tc>
        <w:tc>
          <w:tcPr>
            <w:tcW w:w="64" w:type="dxa"/>
            <w:tcBorders/>
            <w:vAlign w:val="bottom"/>
          </w:tcPr>
          <w:p>
            <w:pPr>
              <w:pStyle w:val="TableContents"/>
              <w:bidi w:val="0"/>
              <w:spacing w:before="0" w:after="283"/>
              <w:jc w:val="left"/>
              <w:rPr/>
            </w:pPr>
            <w:r>
              <w:rPr/>
              <w:t> </w:t>
            </w:r>
          </w:p>
        </w:tc>
      </w:tr>
      <w:tr>
        <w:trPr/>
        <w:tc>
          <w:tcPr>
            <w:tcW w:w="4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Penserra Securities LLC</w:t>
            </w:r>
          </w:p>
        </w:tc>
        <w:tc>
          <w:tcPr>
            <w:tcW w:w="4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26,000,000</w:t>
            </w:r>
          </w:p>
        </w:tc>
        <w:tc>
          <w:tcPr>
            <w:tcW w:w="64" w:type="dxa"/>
            <w:tcBorders/>
            <w:shd w:fill="CCEEFF" w:val="clear"/>
            <w:vAlign w:val="bottom"/>
          </w:tcPr>
          <w:p>
            <w:pPr>
              <w:pStyle w:val="TableContents"/>
              <w:bidi w:val="0"/>
              <w:spacing w:before="0" w:after="283"/>
              <w:jc w:val="left"/>
              <w:rPr/>
            </w:pPr>
            <w:r>
              <w:rPr/>
              <w:t> </w:t>
            </w:r>
          </w:p>
        </w:tc>
      </w:tr>
      <w:tr>
        <w:trPr/>
        <w:tc>
          <w:tcPr>
            <w:tcW w:w="4811" w:type="dxa"/>
            <w:tcBorders/>
          </w:tcPr>
          <w:p>
            <w:pPr>
              <w:pStyle w:val="TableContents"/>
              <w:bidi w:val="0"/>
              <w:spacing w:before="0" w:after="0"/>
              <w:jc w:val="left"/>
              <w:rPr>
                <w:rFonts w:ascii="Times New Roman" w:hAnsi="Times New Roman"/>
                <w:sz w:val="20"/>
              </w:rPr>
            </w:pPr>
            <w:r>
              <w:rPr>
                <w:rFonts w:ascii="Times New Roman" w:hAnsi="Times New Roman"/>
                <w:sz w:val="20"/>
              </w:rPr>
              <w:t>Blaylock Van, LLC</w:t>
            </w:r>
          </w:p>
        </w:tc>
        <w:tc>
          <w:tcPr>
            <w:tcW w:w="4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12,000,000</w:t>
            </w:r>
          </w:p>
        </w:tc>
        <w:tc>
          <w:tcPr>
            <w:tcW w:w="64" w:type="dxa"/>
            <w:tcBorders/>
            <w:vAlign w:val="bottom"/>
          </w:tcPr>
          <w:p>
            <w:pPr>
              <w:pStyle w:val="TableContents"/>
              <w:bidi w:val="0"/>
              <w:spacing w:before="0" w:after="283"/>
              <w:jc w:val="left"/>
              <w:rPr/>
            </w:pPr>
            <w:r>
              <w:rPr/>
              <w:t> </w:t>
            </w:r>
          </w:p>
        </w:tc>
      </w:tr>
      <w:tr>
        <w:trPr/>
        <w:tc>
          <w:tcPr>
            <w:tcW w:w="4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MFR Securities, Inc. </w:t>
            </w:r>
          </w:p>
        </w:tc>
        <w:tc>
          <w:tcPr>
            <w:tcW w:w="4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12,000,000</w:t>
            </w:r>
          </w:p>
        </w:tc>
        <w:tc>
          <w:tcPr>
            <w:tcW w:w="64" w:type="dxa"/>
            <w:tcBorders/>
            <w:shd w:fill="CCEEFF" w:val="clear"/>
            <w:vAlign w:val="bottom"/>
          </w:tcPr>
          <w:p>
            <w:pPr>
              <w:pStyle w:val="TableContents"/>
              <w:bidi w:val="0"/>
              <w:spacing w:before="0" w:after="283"/>
              <w:jc w:val="left"/>
              <w:rPr/>
            </w:pPr>
            <w:r>
              <w:rPr/>
              <w:t> </w:t>
            </w:r>
          </w:p>
        </w:tc>
      </w:tr>
      <w:tr>
        <w:trPr/>
        <w:tc>
          <w:tcPr>
            <w:tcW w:w="4811"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1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62" w:type="dxa"/>
            <w:tcBorders/>
            <w:vAlign w:val="bottom"/>
          </w:tcPr>
          <w:p>
            <w:pPr>
              <w:pStyle w:val="TableContents"/>
              <w:bidi w:val="0"/>
              <w:spacing w:before="0" w:after="283"/>
              <w:jc w:val="right"/>
              <w:rPr/>
            </w:pPr>
            <w:r>
              <w:rPr/>
              <w:t>500,000,000</w:t>
            </w:r>
          </w:p>
        </w:tc>
        <w:tc>
          <w:tcPr>
            <w:tcW w:w="64" w:type="dxa"/>
            <w:tcBorders/>
            <w:vAlign w:val="bottom"/>
          </w:tcPr>
          <w:p>
            <w:pPr>
              <w:pStyle w:val="TableContents"/>
              <w:bidi w:val="0"/>
              <w:spacing w:before="0" w:after="283"/>
              <w:jc w:val="left"/>
              <w:rPr/>
            </w:pPr>
            <w:r>
              <w:rPr/>
              <w:t> </w:t>
            </w:r>
          </w:p>
        </w:tc>
      </w:tr>
      <w:tr>
        <w:trPr/>
        <w:tc>
          <w:tcPr>
            <w:tcW w:w="4811"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6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several underwriters to pay for and accept delivery of the Series GGG bonds are subject to the approval of certain legal matters by counsel and to certain other conditions. The underwriters are obligated to take and pay for all of the Series GGG bonds if any are taken. This offering of Series GGG bonds by the underwriters is subject to receipt and acceptance and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the underwriters that the underwriters propose to offer the Series GGG bonds to the public initially at the public offering price set forth on the cover page of this prospectus supplement and may offer the Series GGG bonds to certain dealers at such price less a concession not in excess of 0.400% of the principal amount of the Series GGG bonds. The underwriters may allow, and such dealers may reallow, a concession not in excess of 0.250% of the principal amount of the Series GGG bonds on sales to certain other dealers. After the initial public offering, the price to investors and concessions may be changed.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are a new issue of securities with no established trading market, and we do not intend to apply for the listing or trading of the Series GGG bonds on any securities exchange or trading facility or for inclusion of the Series GGG bonds in any automated quotation system. There can be no assurance that there will be a secondary market for the Series GGG bonds or the continued liquidity of such market if one develops. The underwriters have informed us that they intend to make a market in the Series GGG bonds but are under no obligation to do so and may discontinue such market making at any time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 that we are to pay to the underwriters in connection with this offering (expressed as a percentage of the principal amount of the Series GGG bonds).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584"/>
        <w:gridCol w:w="1009"/>
        <w:gridCol w:w="199"/>
        <w:gridCol w:w="1870"/>
        <w:gridCol w:w="277"/>
      </w:tblGrid>
      <w:tr>
        <w:trPr/>
        <w:tc>
          <w:tcPr>
            <w:tcW w:w="3584" w:type="dxa"/>
            <w:tcBorders/>
            <w:vAlign w:val="center"/>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584"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left"/>
              <w:rPr/>
            </w:pPr>
            <w:r>
              <w:rPr/>
              <w:t>  </w:t>
            </w:r>
          </w:p>
        </w:tc>
        <w:tc>
          <w:tcPr>
            <w:tcW w:w="206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Paid by</w:t>
              <w:br/>
              <w:t>Southern California</w:t>
              <w:br/>
              <w:t>Gas Company</w:t>
            </w:r>
          </w:p>
        </w:tc>
        <w:tc>
          <w:tcPr>
            <w:tcW w:w="277" w:type="dxa"/>
            <w:tcBorders/>
            <w:vAlign w:val="bottom"/>
          </w:tcPr>
          <w:p>
            <w:pPr>
              <w:pStyle w:val="TableContents"/>
              <w:bidi w:val="0"/>
              <w:spacing w:before="0" w:after="283"/>
              <w:jc w:val="left"/>
              <w:rPr/>
            </w:pPr>
            <w:r>
              <w:rPr/>
              <w:t> </w:t>
            </w:r>
          </w:p>
        </w:tc>
      </w:tr>
      <w:tr>
        <w:trPr/>
        <w:tc>
          <w:tcPr>
            <w:tcW w:w="3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Series GGG Bond</w:t>
            </w:r>
          </w:p>
        </w:tc>
        <w:tc>
          <w:tcPr>
            <w:tcW w:w="100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870" w:type="dxa"/>
            <w:tcBorders/>
            <w:shd w:fill="CCEEFF" w:val="clear"/>
            <w:vAlign w:val="bottom"/>
          </w:tcPr>
          <w:p>
            <w:pPr>
              <w:pStyle w:val="TableContents"/>
              <w:bidi w:val="0"/>
              <w:spacing w:before="0" w:after="283"/>
              <w:jc w:val="right"/>
              <w:rPr/>
            </w:pPr>
            <w:r>
              <w:rPr/>
              <w:t>0.650</w:t>
            </w:r>
          </w:p>
        </w:tc>
        <w:tc>
          <w:tcPr>
            <w:tcW w:w="27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this offering of Series GGG bonds, the representatives of the underwriters, or any of their respective affiliates, may engage in transactions that stabilize, maintain or otherwise affect the market price of the Series GGG bonds. Specifically, the underwriters may overallot in connection with this offering, creating a short position in the Series GGG bonds for their own account. In addition, to cover overallotments or to stabilize the price of the Series GGG bonds, the representatives may bid for, and purchase, the Series GGG bonds in the open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underwriters also may impose a penalty bid. This occurs when a particular underwriter repays to the underwriters a portion of the underwriting discount received by it because the representatives have repurchased Series GGG bonds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by the underwriters may stabilize, maintain or otherwise affect the market price of the Series GGG bonds. As a result, the market price of the Series GGG bonds may be higher than the price that otherwise might exist in the open market. The underwriters are not required to engage in these activities, and if these activities are commenced, they may be discontinued by the underwriters at any time without notice. These transactions may be effected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makes any representation or prediction as to the direction or magnitude of any effect that any of the transactions described above, if commenced, may have on the market price of the Series GGG bonds. In addition, neither we nor any of the underwriters makes any representation that any of these transactions will be engaged in or that the transactions, if commenced, will not be discontinued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several underwriters against certain liabilities, including liabilities under the Securities Act of 1933, as amended, or to contribute to payments the underwriters may be required to make because of any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Expenses payable by us in connection with this offering of Series GGG bonds, excluding the underwriting discount, are estimated at $1,100,000. </w:t>
      </w:r>
    </w:p>
    <w:p>
      <w:pPr>
        <w:pStyle w:val="TextBody"/>
        <w:bidi w:val="0"/>
        <w:spacing w:before="240" w:after="0"/>
        <w:jc w:val="left"/>
        <w:rPr>
          <w:rFonts w:ascii="Times New Roman" w:hAnsi="Times New Roman"/>
          <w:b/>
          <w:sz w:val="20"/>
        </w:rPr>
      </w:pPr>
      <w:r>
        <w:rPr>
          <w:rFonts w:ascii="Times New Roman" w:hAnsi="Times New Roman"/>
          <w:b/>
          <w:sz w:val="20"/>
        </w:rPr>
        <w:t xml:space="preserve">Delayed Settlement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delivery of the Series GGG bonds will be made against payment therefor on or about the closing date specified on the cover page of this prospectus supplement, which will be the fourth business day following the date of this prospectus supplement. Under rules of the SEC, trades in the secondary market generally are required to settle in one business day, unless the parties to that trade expressly agree otherwise. Accordingly, purchasers who wish to trade the Series GGG bonds before the first business day prior to the closing date specified on the cover page of this prospectus supplement will be required, by virtue of the fact that the normal settlement date for that trade would occur prior to the closing date for the issuance of the Series GGG bonds, to specify alternative settlement arrangements at the time of any such trade to prevent a failed settlement, and should consult their own advisors with respect to these matters. </w:t>
      </w:r>
    </w:p>
    <w:p>
      <w:pPr>
        <w:pStyle w:val="TextBody"/>
        <w:bidi w:val="0"/>
        <w:spacing w:before="24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trustee and brokerage activities. Some or all of the underwriters and/or their affiliates have in the past acted and/or are acting and/or may in the future act as lenders to, and/or have from time to time in the past performed and/or are performing and/or may in the future perform certain investment banking, advisory, general financing, trustee and commercial banking and other commercial transactions and services for, us and/or our affiliates for which they have received and in the future may receive customary fees and expenses. The underwriters and their affiliates may, from time to time, engage in other transactions with or perform other services for us and our affiliates in the ordinary course of their business for which they receive customary fees and expenses. In addition, affiliates of some of the underwriters are lenders under our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customers, and such investment and securities activities may involve securities and/or instruments of ours or our affiliates. If any of the underwriters or their affiliates has a lending relationship with us or any of our affiliates, certain of those underwriters or their affiliates routinely hedge, and certain other of those underwriters or their affiliates may hedge, their credit exposure to us or the applicable affiliate of ours, as the case may be, consistent with their customary risk management policies. Typically, these underwriters and their affiliates would hedge such exposure by entering into transactions which may consist of either the purchase of credit default swaps or the creation of short positions in our securities, including potentially the Series GGG bonds offered hereby. Any such credit default swaps or short positions could adversely affect trading prices of the Series GGG bonds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this prospectus supplement under “Use of Proceeds,” we intend to use a substantial portion of the net proceeds from this offering to repay outstanding indebtedness, which may include a term loan and our commercial paper. One or more of the underwriters participating in this offering and/or their affiliates may hold positions in our commercial paper or other indebtedness of ours and affiliates of some of the underwriters participating in this offering are lenders under our credit facility. To the extent that net proceeds from this offering are applied to repay any of our outstanding indebtedness (including commercial paper, bank loans or other indebtedness) held by any of the underwriters or their affiliates, they will receive proceeds from this offering through the repayment of that indebtedness. If the amount of such proceeds so received by any underwriter or its affiliates is 5% or more of the net proceeds of this offering (not including the underwriting discount), such underwriter would be deemed to have a conflict of interest within the meaning of FINRA Rule 5121. In such event, this offering would be conducted in compliance with FINRA Rule 5121 and such underwriter would not be permitted to make sales in this offering to any discretionary account without the prior written approval of the customer. Pursuant to that rule, the appointment of a “qualified independent underwriter” would not be required in connection with this offering, as the Series GGG bonds are “investment grade rated” (as defined in FINRA Rule 5121). </w:t>
      </w:r>
    </w:p>
    <w:p>
      <w:pPr>
        <w:pStyle w:val="TextBody"/>
        <w:bidi w:val="0"/>
        <w:spacing w:before="240" w:after="0"/>
        <w:jc w:val="left"/>
        <w:rPr>
          <w:rFonts w:ascii="Times New Roman" w:hAnsi="Times New Roman"/>
          <w:b/>
          <w:sz w:val="20"/>
        </w:rPr>
      </w:pPr>
      <w:r>
        <w:rPr>
          <w:rFonts w:ascii="Times New Roman" w:hAnsi="Times New Roman"/>
          <w:b/>
          <w:sz w:val="20"/>
        </w:rPr>
        <w:t xml:space="preserve">Prohibition of Sales to EEA Retail Investors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which are the subject of the offering contemplated by this prospectus supplement and the accompanying prospectus in relation thereto will not be offered, sold or otherwise made available to any retail investor in the EEA. For the purposes of this provision: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“retail investor” means a person who is one (or more)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retail client as defined in point (11) of Article 4(1) of MiFID 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customer within the meaning of the Insurance Distribution Directive, where that customer would not qualify as a professional client as defined in point (10) of Article 4(1) of MiFID 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an EEA Qualified Investor;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Series GGG bonds to be offered so as to enable an investor to decide to purchase or subscribe for the Series GGG bonds.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Prohibition of Sales to UK Retail Investors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which are the subject of the offering contemplated by this prospectus supplement and the accompanying prospectus in relation thereto will not be offered, sold, distributed or otherwise made available to any retail investor in the United Kingdom. For the purposes of this provision: </w:t>
      </w:r>
    </w:p>
    <w:p>
      <w:pPr>
        <w:pStyle w:val="TextBody"/>
        <w:bidi w:val="0"/>
        <w:spacing w:before="240" w:after="0"/>
        <w:jc w:val="left"/>
        <w:rPr>
          <w:rFonts w:ascii="Times New Roman" w:hAnsi="Times New Roman"/>
          <w:sz w:val="20"/>
        </w:rPr>
      </w:pPr>
      <w:r>
        <w:rPr>
          <w:rFonts w:ascii="Times New Roman" w:hAnsi="Times New Roman"/>
          <w:sz w:val="20"/>
        </w:rPr>
        <w:t xml:space="preserve">(a) the expression “retail investor” means a person who is one (or both)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(i) not a professional client, as defined in point (8) of Article 2(1) of UK MiFIR; or </w:t>
      </w:r>
    </w:p>
    <w:p>
      <w:pPr>
        <w:pStyle w:val="TextBody"/>
        <w:bidi w:val="0"/>
        <w:spacing w:before="120" w:after="0"/>
        <w:jc w:val="left"/>
        <w:rPr>
          <w:rFonts w:ascii="Times New Roman" w:hAnsi="Times New Roman"/>
          <w:sz w:val="20"/>
        </w:rPr>
      </w:pPr>
      <w:r>
        <w:rPr>
          <w:rFonts w:ascii="Times New Roman" w:hAnsi="Times New Roman"/>
          <w:sz w:val="20"/>
        </w:rPr>
        <w:t xml:space="preserve">(ii) not a UK Qualified Investor; and </w:t>
      </w:r>
    </w:p>
    <w:p>
      <w:pPr>
        <w:pStyle w:val="TextBody"/>
        <w:bidi w:val="0"/>
        <w:spacing w:before="240" w:after="0"/>
        <w:jc w:val="left"/>
        <w:rPr>
          <w:rFonts w:ascii="Times New Roman" w:hAnsi="Times New Roman"/>
          <w:sz w:val="20"/>
        </w:rPr>
      </w:pPr>
      <w:r>
        <w:rPr>
          <w:rFonts w:ascii="Times New Roman" w:hAnsi="Times New Roman"/>
          <w:sz w:val="20"/>
        </w:rPr>
        <w:t xml:space="preserve">(b) the expression “offer” includes the communication in any form and by any means of sufficient information on the terms of the offer and the Series GGG bonds to be offered so as to enable an investor to decide to buy or subscribe for the Series GGG bonds. </w:t>
      </w:r>
    </w:p>
    <w:p>
      <w:pPr>
        <w:pStyle w:val="TextBody"/>
        <w:bidi w:val="0"/>
        <w:spacing w:before="240" w:after="0"/>
        <w:jc w:val="left"/>
        <w:rPr>
          <w:rFonts w:ascii="Times New Roman" w:hAnsi="Times New Roman"/>
          <w:b/>
          <w:sz w:val="20"/>
        </w:rPr>
      </w:pPr>
      <w:r>
        <w:rPr>
          <w:rFonts w:ascii="Times New Roman" w:hAnsi="Times New Roman"/>
          <w:b/>
          <w:sz w:val="20"/>
        </w:rPr>
        <w:t xml:space="preserve">Other Regulatory Restrictions in the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Any invitation or inducement to engage in investment activity (within the meaning of Section 21 of the FSMA) in connection with the issue or sale of the Series GGG bonds may only be communicated or caused to be communicated in circumstances in which Section 21(1) of the FSMA does not apply to Southern California Gas Company. </w:t>
      </w:r>
    </w:p>
    <w:p>
      <w:pPr>
        <w:pStyle w:val="TextBody"/>
        <w:bidi w:val="0"/>
        <w:spacing w:before="240" w:after="0"/>
        <w:jc w:val="left"/>
        <w:rPr>
          <w:rFonts w:ascii="Times New Roman" w:hAnsi="Times New Roman"/>
          <w:sz w:val="20"/>
        </w:rPr>
      </w:pPr>
      <w:r>
        <w:rPr>
          <w:rFonts w:ascii="Times New Roman" w:hAnsi="Times New Roman"/>
          <w:sz w:val="20"/>
        </w:rPr>
        <w:t xml:space="preserve">All applicable provisions of the FSMA must be complied with in respect to anything done by any person in relation to the Series GGG bonds in, from or otherwise involving the United Kingdom. </w:t>
      </w:r>
    </w:p>
    <w:p>
      <w:pPr>
        <w:pStyle w:val="TextBody"/>
        <w:bidi w:val="0"/>
        <w:spacing w:before="240" w:after="0"/>
        <w:jc w:val="left"/>
        <w:rPr>
          <w:rFonts w:ascii="Times New Roman" w:hAnsi="Times New Roman"/>
          <w:b/>
          <w:sz w:val="20"/>
        </w:rPr>
      </w:pPr>
      <w:r>
        <w:rPr>
          <w:rFonts w:ascii="Times New Roman" w:hAnsi="Times New Roman"/>
          <w:b/>
          <w:sz w:val="20"/>
        </w:rPr>
        <w:t xml:space="preserve">Canada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Series GGG bonds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 hereto or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9" w:name="srom168199_7"/>
      <w:bookmarkEnd w:id="9"/>
      <w:r>
        <w:rPr>
          <w:rFonts w:ascii="Times New Roman" w:hAnsi="Times New Roman"/>
          <w:b/>
          <w:sz w:val="24"/>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will pass upon the validity of the Series GGG bonds and various other legal matters relating to the issuance and sale of the Series GGG bonds on behalf of Southern California Gas Company. April R. Robinson, Vice President and Deputy General Counsel – Commercial and Environmental of Southern California Gas Company, will pass upon certain other legal matters relating to the issuance and sale of the Series GGG bonds on behalf of Southern California Gas Company. Sidley Austin LLP will act as counsel for the underwriters. Sidley Austin LLP from time to time represents Sempra and certain of its subsidiaries in connection with certain legal matters. </w:t>
      </w:r>
    </w:p>
    <w:p>
      <w:pPr>
        <w:pStyle w:val="TextBody"/>
        <w:bidi w:val="0"/>
        <w:spacing w:before="480" w:after="0"/>
        <w:jc w:val="center"/>
        <w:rPr>
          <w:rFonts w:ascii="Times New Roman" w:hAnsi="Times New Roman"/>
          <w:b/>
          <w:sz w:val="24"/>
        </w:rPr>
      </w:pPr>
      <w:bookmarkStart w:id="10" w:name="srom168199_8"/>
      <w:bookmarkEnd w:id="10"/>
      <w:r>
        <w:rPr>
          <w:rFonts w:ascii="Times New Roman" w:hAnsi="Times New Roman"/>
          <w:b/>
          <w:sz w:val="24"/>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annual financial statements of Southern California Gas Company, incorporated by reference in this prospectus supplement and the accompanying prospectus and the effectiveness of Southern California Gas Company’s internal control over financial reporting, have been audited by Deloitte &amp; Touche LLP, an independent registered public accounting firm, as stated in their reports. Such financial statements are incorporated by reference in reliance upon the reports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493520" cy="5867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3520" cy="5867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SOUTHERN CALIFORNIA GAS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First Mortgage Bonds </w:t>
      </w:r>
    </w:p>
    <w:p>
      <w:pPr>
        <w:pStyle w:val="TextBody"/>
        <w:bidi w:val="0"/>
        <w:spacing w:before="0" w:after="0"/>
        <w:jc w:val="center"/>
        <w:rPr>
          <w:rFonts w:ascii="Times New Roman" w:hAnsi="Times New Roman"/>
          <w:b/>
          <w:sz w:val="28"/>
        </w:rPr>
      </w:pPr>
      <w:r>
        <w:rPr>
          <w:rFonts w:ascii="Times New Roman" w:hAnsi="Times New Roman"/>
          <w:b/>
          <w:sz w:val="28"/>
        </w:rPr>
        <w:t xml:space="preserve">Senior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Series Preferred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our first mortgage bonds, senior debt securities and series preferred stock from time to time in one or more offerings. This prospectus provides you with a general description of the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pursuant to this prospectus, we will provide a supplement to this prospectus that contains specific information about the offering and the amounts, prices and terms of the particular securities being offered at that time.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offer and sale of any of the securities, their names and any applicable purchase price, fee, commission or discount arrangement between or among them will be set forth, or will be calculable from the information set forth, in the applicable prospectus supplement. See the information under the headings “About this Prospectus” and “Plan of Distribution” for more detail.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w:t>
      </w:r>
      <w:hyperlink w:anchor="tx168199_5">
        <w:r>
          <w:rPr>
            <w:rStyle w:val="InternetLink"/>
            <w:rFonts w:ascii="Times New Roman" w:hAnsi="Times New Roman"/>
            <w:b/>
            <w:sz w:val="24"/>
          </w:rPr>
          <w:t>Risk Factors</w:t>
        </w:r>
      </w:hyperlink>
      <w:r>
        <w:rPr>
          <w:rFonts w:ascii="Times New Roman" w:hAnsi="Times New Roman"/>
          <w:b/>
          <w:sz w:val="24"/>
        </w:rPr>
        <w:t xml:space="preserve">” on page 6 of this prospectus, and the information under any similar heading in the applicable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April 21,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2">
              <w:r>
                <w:rPr>
                  <w:rStyle w:val="InternetLink"/>
                  <w:rFonts w:ascii="Times New Roman" w:hAnsi="Times New Roman"/>
                  <w:sz w:val="20"/>
                </w:rPr>
                <w:t>Forward-Looking Statements and Market Data</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3">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4">
              <w:r>
                <w:rPr>
                  <w:rStyle w:val="InternetLink"/>
                  <w:rFonts w:ascii="Times New Roman" w:hAnsi="Times New Roman"/>
                  <w:sz w:val="20"/>
                </w:rPr>
                <w:t>Southern California Gas Company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5">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6">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7">
              <w:r>
                <w:rPr>
                  <w:rStyle w:val="InternetLink"/>
                  <w:rFonts w:ascii="Times New Roman" w:hAnsi="Times New Roman"/>
                  <w:sz w:val="20"/>
                </w:rPr>
                <w:t>Description of First Mortgage Bonds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8">
              <w:r>
                <w:rPr>
                  <w:rStyle w:val="InternetLink"/>
                  <w:rFonts w:ascii="Times New Roman" w:hAnsi="Times New Roman"/>
                  <w:sz w:val="20"/>
                </w:rPr>
                <w:t>Description of Senior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9">
              <w:r>
                <w:rPr>
                  <w:rStyle w:val="InternetLink"/>
                  <w:rFonts w:ascii="Times New Roman" w:hAnsi="Times New Roman"/>
                  <w:sz w:val="20"/>
                </w:rPr>
                <w:t>Description of Series Preferred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10">
              <w:r>
                <w:rPr>
                  <w:rStyle w:val="InternetLink"/>
                  <w:rFonts w:ascii="Times New Roman" w:hAnsi="Times New Roman"/>
                  <w:sz w:val="20"/>
                </w:rPr>
                <w:t>Global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11">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12">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68199_1"/>
      <w:bookmarkEnd w:id="11"/>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with the U.S. Securities and Exchange Commission, or the “SEC,” as a “well-known seasoned issuer” as defined in Rule 405 under the Securities Act of 1933, as amended. By using a shelf registration statement, we may sell the securities described in this prospectus from time to time and in one or more offerings. This prospectus only provides you with a general description of the securities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that offering.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 together with the additional information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provide no assurance as to the reliability of, any other information that others may give you. We will not make an offer to sell securities in any jurisdiction where the offer or sale is not permitted. You should assume that the information contained in this prospectus and any applicable prospectus supplement to this prospectus is accurate only as of the date on its respective cover, that the information contained in any applicable free writing prospectus is accurate only as of the date of that free writing prospectus, and that any information contained in documents incorporated by reference is accurate only as of the dates of those respective documents, unless we indicate otherwise. Our business, financial condition, results of operations and prospects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68199_2"/>
      <w:bookmarkEnd w:id="12"/>
      <w:r>
        <w:rPr>
          <w:rFonts w:ascii="Times New Roman" w:hAnsi="Times New Roman"/>
          <w:b/>
          <w:sz w:val="20"/>
        </w:rPr>
        <w:t xml:space="preserve">FORWARD-LOOKING STATEMENTS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statements that constitute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respective dates of the documents in which such forward-looking statements appear. We assume no obligation to update or revise any forward-looking statement as a result of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 </w:t>
      </w:r>
    </w:p>
    <w:p>
      <w:pPr>
        <w:pStyle w:val="TextBody"/>
        <w:bidi w:val="0"/>
        <w:spacing w:before="240" w:after="0"/>
        <w:jc w:val="left"/>
        <w:rPr>
          <w:rFonts w:ascii="Times New Roman" w:hAnsi="Times New Roman"/>
          <w:sz w:val="20"/>
        </w:rPr>
      </w:pPr>
      <w:r>
        <w:rPr>
          <w:rFonts w:ascii="Times New Roman" w:hAnsi="Times New Roman"/>
          <w:sz w:val="20"/>
        </w:rPr>
        <w:t xml:space="preserve">Factors, among others, that could cause actual results and events to differ materially from those expressed or implied in any forward-looking statement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decisions, disallowances or denials of cost recovery, audits, investigations, inquiries, ordered studies, regulations, denials or revocations of permits, consents, approvals or other authorizations, renewals of franchises, and other actions, including the failure to honor contracts and commitments, by the (i) California Public Utilities Commission (“CPUC”), U.S. Department of Energy, U.S. Internal Revenue Service and other regulatory bodies and (ii) U.S. and states, counties, cities and other jurisdictions therein where we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business development efforts and construction projects, including risks related to, as applicable, (i) negotiating pricing and other terms in definitive contracts, (ii) completing construction projects or other transactions on schedule and budget, (iii) realizing anticipated benefits from any of these efforts if completed, (iv) obtaining regulatory and other approvals and (v) third parties honoring their contracts and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our capital expenditure plans and their potential impact on rate base or other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due to evolving economic, political and other factors, to (i) trade and other foreign policy, including the imposition of tariffs by the U.S. and foreign countries, and (ii) laws and regulations, including those related to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arbitration, property disputes and other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threats, including by nation-state actors, of ransomware or other attacks on our systems, the energy grid or our other infrastructure, or the systems of third parties with which we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efforts to increase affordability of U.S. utility customer rates on our ability to obtain cost recovery from applicable regulators, our capital expenditure and other growth plans and our ability to advance statewide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on affordability of customer rates, cost of capital and operating margin due to (i) volatility in inflation, interest rates, commodity prices and tariff rates and (ii) the cost of meeting the demand for lower carbon and reliable energy in California;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natural gas and natural gas storage and transportation capacity, including disruptions caused by failures in the pipeline and storage systems or limitations on the injection and withdrawal of natural gas from storage facilities;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uncertainties, some of which are difficult to predict and beyond our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not to rely unduly on any forward-looking statements. You should review and consider carefully the risks, uncertainties and other factors that affect our business as described herein and in our reports and other documents on file with the SEC that are incorporated by reference in this prospectus, any prospectus supplement, and any related free writing prospectus issued by us. You may obtain copies of these reports and documents as described under “Where You Can Find More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and any prospectus supplement or free writing prospectus may contain or incorporate by reference market, demographic and industry data and forecasts that are based on or derived from independent industry publications, publicly available information, government data and other information from third parties or that have been compiled or prepared by our management or employees. We do not guarantee the accuracy or completeness of any of this information, and we have not independently verified any of the information provided by third-party sources. In addition, market, demographic and industry data and forecasts that may be contained or incorporated by reference in this prospectus, any prospectus supplement or any free writing prospectus may involve estimates, assumptions and other uncertainties and are subject to change based on various factors, including those discussed under this heading “Forward-Looking Statements and Market Data,” under the heading “Risk Factors,” and under similar headings in this prospectus, the applicable prospectus supplement, any related free writing prospectus, and documents that are incorporated or deemed to be incorporated by reference in this prospectus and the applicable prospectus supplement. Accordingly, you should not place undue reliance on any of this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68199_3"/>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annual, quarterly and current reports, information statements and other information with the SEC. The SEC maintains an Internet site that contains reports, proxy and information statements and other information about issuers, such as us, who file electronically with the SEC. The address of that site is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from us, as indicated below. Forms of the indentures and other documents establishing the terms of the securities we may offer are or will be filed as exhibits to the registration statement or documents incorporated by reference in the registration statement. Statements in this prospectus or any prospectus supplement about these documents are not complete and each statement is qualified in all respects by reference to the document to which it refers. You should refer to the actual documents for a more complete description of the relevant matters. You may inspect a copy of the registration statement through the SEC’s Internet 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rules of the SEC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that is also incorporated or deemed to be incorporated by reference in this prospectus will automatically update and, to the extent inconsistent, supersede the prior information. Any statement contained in this prospectus or a previously filed document incorporated by reference herein shall be deemed to be modified or superseded for purposes of this prospectus to the extent that a statement contained in this prospectus, any applicable prospectus supplement or any subsequently filed document that is incorporated or deemed to be incorporated by reference in this prospectus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our documents listed below and all documents that we file with the SEC pursuant to Sections 13(a), 13(c), 14 or 15(d) of the Securities Exchange Act of 1934, as amended, which we refer to as the “Exchange Act” in this prospectus, after the date of this prospectus through the termination of the offering of the securities described in this prospectus. Notwithstanding anything herein to the contrary, we are not, however, incorporating by reference any documents or portions thereof or exhibits thereto, whether specifically listed below or filed in the future, that are not deemed “filed” with the SEC, including, without limitation, any information furnished pursuant to Items 2.02 or 7.01 of Form 8-K or related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 Filings (File No. 1 -01402)</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Period or Filing Date</w:t>
            </w:r>
          </w:p>
        </w:tc>
      </w:tr>
      <w:tr>
        <w:trPr/>
        <w:tc>
          <w:tcPr>
            <w:tcW w:w="5204" w:type="dxa"/>
            <w:tcBorders/>
          </w:tcPr>
          <w:p>
            <w:pPr>
              <w:pStyle w:val="TableContents"/>
              <w:bidi w:val="0"/>
              <w:spacing w:before="0" w:after="283"/>
              <w:jc w:val="left"/>
              <w:rPr/>
            </w:pPr>
            <w:r>
              <w:rPr/>
              <w:t xml:space="preserve">Annual Report on </w:t>
            </w:r>
            <w:hyperlink r:id="rId3">
              <w:r>
                <w:rPr>
                  <w:rStyle w:val="InternetLink"/>
                </w:rPr>
                <w:t>Form 10-K</w:t>
              </w:r>
            </w:hyperlink>
            <w:r>
              <w:rPr/>
              <w:t xml:space="preserve"> (including the information incorporated by reference therein from our Definitive Information Statement on </w:t>
            </w:r>
            <w:hyperlink r:id="rId4">
              <w:r>
                <w:rPr>
                  <w:rStyle w:val="InternetLink"/>
                </w:rPr>
                <w:t>Schedule 14C</w:t>
              </w:r>
            </w:hyperlink>
            <w:r>
              <w:rPr/>
              <w:t xml:space="preserve"> for our 2026 Annual Shareholders Meeting, filed with the SEC on April 14, 2026)</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Year ended December 31, 2025, filed on February 26, 2026</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Current Reports on Form 8-K</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 xml:space="preserve">Filed on </w:t>
            </w:r>
            <w:hyperlink r:id="rId5">
              <w:r>
                <w:rPr>
                  <w:rStyle w:val="InternetLink"/>
                </w:rPr>
                <w:t>January  9, 2026</w:t>
              </w:r>
            </w:hyperlink>
            <w:r>
              <w:rPr/>
              <w:t xml:space="preserve">, </w:t>
            </w:r>
            <w:hyperlink r:id="rId6">
              <w:r>
                <w:rPr>
                  <w:rStyle w:val="InternetLink"/>
                </w:rPr>
                <w:t>March  25, 2026</w:t>
              </w:r>
            </w:hyperlink>
            <w:r>
              <w:rPr/>
              <w:t xml:space="preserve"> and </w:t>
            </w:r>
            <w:hyperlink r:id="rId7">
              <w:r>
                <w:rPr>
                  <w:rStyle w:val="InternetLink"/>
                </w:rPr>
                <w:t>April 8, 2026</w:t>
              </w:r>
            </w:hyperlink>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upon written or oral request and without charge, to each person, including any beneficial owner, to whom a copy of this prospectus has been delivered a copy of any of the documents incorporated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in this prospectus. You may submit such a request by writing or calling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Southern California Gas Company </w:t>
      </w:r>
    </w:p>
    <w:p>
      <w:pPr>
        <w:pStyle w:val="TextBody"/>
        <w:bidi w:val="0"/>
        <w:spacing w:before="0" w:after="0"/>
        <w:jc w:val="center"/>
        <w:rPr>
          <w:rFonts w:ascii="Times New Roman" w:hAnsi="Times New Roman"/>
          <w:sz w:val="20"/>
        </w:rPr>
      </w:pPr>
      <w:r>
        <w:rPr>
          <w:rFonts w:ascii="Times New Roman" w:hAnsi="Times New Roman"/>
          <w:sz w:val="20"/>
        </w:rPr>
        <w:t xml:space="preserve">555 West 5th Street </w:t>
      </w:r>
    </w:p>
    <w:p>
      <w:pPr>
        <w:pStyle w:val="TextBody"/>
        <w:bidi w:val="0"/>
        <w:spacing w:before="0" w:after="0"/>
        <w:jc w:val="center"/>
        <w:rPr>
          <w:rFonts w:ascii="Times New Roman" w:hAnsi="Times New Roman"/>
          <w:sz w:val="20"/>
        </w:rPr>
      </w:pPr>
      <w:r>
        <w:rPr>
          <w:rFonts w:ascii="Times New Roman" w:hAnsi="Times New Roman"/>
          <w:sz w:val="20"/>
        </w:rPr>
        <w:t xml:space="preserve">Los Angeles, California 90013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Telephone: (213) 244-1200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68199_4"/>
      <w:bookmarkEnd w:id="14"/>
      <w:r>
        <w:rPr>
          <w:rFonts w:ascii="Times New Roman" w:hAnsi="Times New Roman"/>
          <w:b/>
          <w:sz w:val="20"/>
        </w:rPr>
        <w:t xml:space="preserve">SOUTHERN CALIFORNIA GAS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regulated public utility that owns and operates a natural gas distribution, transmission and storage system that delivers natural gas to a service territory that encompasses Southern California and portions of central California (excluding San Diego County, the City of Long Beach and the desert area of San Bernardino County). We are an indirect subsidiary of Sempra, a holding company whose principal businesses are regulated utilities in California and Texas. For additional information concerning us, you should refer to the information under the heading “Where You Can Find More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Our principal executive offices are located at 555 West 5th Street, Los Angeles, California 90013 and our telephone number is (213) 244-1200. Our website is http://</w:t>
      </w:r>
      <w:r>
        <w:rPr>
          <w:rFonts w:ascii="Times New Roman" w:hAnsi="Times New Roman"/>
          <w:i/>
          <w:sz w:val="20"/>
        </w:rPr>
        <w:t>www.socalgas.com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for documents that are incorporated by reference in this prospectus as described under the heading “Where You Can Find More Information” and that are available on the SEC website at </w:t>
      </w:r>
      <w:r>
        <w:rPr>
          <w:rFonts w:ascii="Times New Roman" w:hAnsi="Times New Roman"/>
          <w:i/>
          <w:sz w:val="20"/>
        </w:rPr>
        <w:t>www.sec.gov</w:t>
      </w:r>
      <w:r>
        <w:rPr>
          <w:rFonts w:ascii="Times New Roman" w:hAnsi="Times New Roman"/>
          <w:sz w:val="20"/>
        </w:rPr>
        <w:t xml:space="preserve">, the information contained on, or that can be accessed through, our website or any other website referenced herein is not a part of or incorporated by reference in this prospectus or any document incorporated or deemed to be incorporated herein.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references to “Southern California Gas Company,” “we,” “us,” “our” and similar terms mean, unless otherwise specified or the context otherwise requires, Southern California Gas Company and its consolidated entities (if any); and references to “you” mean the potential purchasers of the applicable securities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68199_5"/>
      <w:bookmarkEnd w:id="1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Before deciding whether to invest in any offered securities, you should carefully consider the risk factors and other cautionary language incorporated in this prospectus and the applicable prospectus supplement by reference to our most recent Annual Report on Form 10-K and any Quarterly Reports on Form 10-Q and Current Reports on Form 8-K filed (and not furnished) by us with the SEC subsequent to the last day of the fiscal year covered by our most recent Annual Report on Form 10-K and all other information contained or incorporated by reference in this prospectus, as updated by our subsequent filings under the Exchange Act that are also incorporated by reference in this prospectus, and the risk factors and other information contained and incorporated by reference in the applicable prospectus supplement and any applicable free writing prospectus. Please also carefully read the information under the heading “Forward-Looking Statements and Market Data” and any similar headings in this prospectus, our most recent Annual Report on Form 10-K and any subsequent Quarterly Reports on Form 10-Q and Current Reports on Form 8-K. There may be other risks and uncertainties not known to us or that we deem immaterial that also could impair our business operations, financial results and the value of any securities offered pursuant to this prospectus. The occurrence of any of these risks could have a material adverse effect on our results of operations, financial condition, cash flows and/or prospects and might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68199_6"/>
      <w:bookmarkEnd w:id="1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68199_7"/>
      <w:bookmarkEnd w:id="17"/>
      <w:r>
        <w:rPr>
          <w:rFonts w:ascii="Times New Roman" w:hAnsi="Times New Roman"/>
          <w:b/>
          <w:sz w:val="20"/>
        </w:rPr>
        <w:t xml:space="preserve">DESCRIPTION OF FIRST MORTGAGE BONDS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general description of some of the terms and provisions of the first mortgage bonds we may offer and sell under this prospectus. To the extent the terms and provisions of any series of first mortgage bonds modify the general terms and provisions described below, such modifications will be described in a prospectus supplement or free writing prospectus relating to such series. Under this heading “Description of First Mortgage Bonds,” references to “bonds” mean the first mortgage bonds; references to “indenture” mean the first mortgage indenture dated October 1, 1940 between us and U.S. Bank National Association, as successor trustee, relating to the issuance of each series of first mortgage bonds by us, as amended by supplemental indentures dated as of July 1, 1947, August 1, 1955, December 1, 1956, June 1, 1965, August 1, 1972, May 1, 1976 and September 15, 1981; and references to “we,” “us,” “our” and similar terms mean, unless otherwise specified or the context otherwise requires, Southern California Gas Company excluding its consolidated entities (if any). </w:t>
      </w:r>
    </w:p>
    <w:p>
      <w:pPr>
        <w:pStyle w:val="TextBody"/>
        <w:bidi w:val="0"/>
        <w:spacing w:before="240" w:after="0"/>
        <w:jc w:val="left"/>
        <w:rPr>
          <w:rFonts w:ascii="Times New Roman" w:hAnsi="Times New Roman"/>
          <w:sz w:val="20"/>
        </w:rPr>
      </w:pPr>
      <w:r>
        <w:rPr>
          <w:rFonts w:ascii="Times New Roman" w:hAnsi="Times New Roman"/>
          <w:sz w:val="20"/>
        </w:rPr>
        <w:t xml:space="preserve">The bonds will be governed by the indenture. The indenture gives us broad authority to set the particular terms of each series of bonds, including the right to modify certain of the terms contained in the indenture. The particular terms of a series of bonds and the extent, if any, to which the particular terms of the series modify the terms of the indenture will be described in the applicable prospectus supplement or a free writing prospectus, relating to such series of bonds.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the full legal text of the matters described under this heading “Description of First Mortgage Bonds.” The following description of certain provisions of the indenture and the bonds is not complete and is subject to and qualified in its entirety by reference to all the provisions of the indenture, including definitions of terms used in the indenture, and the certificates evidencing the bonds of each series, copies of which have been or will be filed or incorporated by reference as exhibits to the registration statement of which this prospectus is a part or to a document incorporated by reference in this prospectus and which may be obtained as described under the heading “Where You Can Find More Information.” We also include references in parentheses to particular sections of the indenture. Whenever we refer to particular sections or defined terms of the indenture in this prospectus or a prospectus supplement or free writing prospectus, those sections or defined terms are incorporated by reference in this prospectus or the applicable prospectus supplement or free writing prospectus. This description also is subject to and qualified by reference to the description of the particular terms of a particular series of bonds described in the applicable prospectus supplement or free writing prospectus related to any offering of such series of bonds.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an unlimited amount of bonds under the indenture in one or more series, subject to the various requirements for the issuance of additional bonds set forth in the indenture, including those described below under “—Issuance of Additional Bonds.” Bonds in registered form without coupons may be issued in denominations of $1,000, $5,000, $10,000, $25,000 or integral multiples of $25,000. Bonds will be payable, exchangeable for bonds of other authorized denominations and transferable at the principal office of the trustee in San Francisco, California and any other places designated by us for payment.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each series of bonds, the terms and conditions of the particular series of bonds will be specified in a supplemental indenture. We refer you to the applicable prospectus supplement or free writing prospectus for a description of the following terms of each series of bonds: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or designation of the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will be payable or how to determine the 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or method of determining interest, the date from which interest will accrue, the dates on which interest will be payable, which we refer to as the “interest payment dates,” and any record dates for the interest payable on the interest payment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or option we have to redeem or purchase the bonds before maturity and the terms and conditions upon which the bonds may be redeemed or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that the bonds will be entitled to the benefits of any purchase, sinking, improvement, renewal or trust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bonds will be issuable as coupon bonds, fully registered bonds without coupons or global securities (as defined below under the heading “Global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bonds.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2.01.)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Additional Bonds </w:t>
      </w:r>
    </w:p>
    <w:p>
      <w:pPr>
        <w:pStyle w:val="TextBody"/>
        <w:bidi w:val="0"/>
        <w:spacing w:before="120" w:after="0"/>
        <w:jc w:val="left"/>
        <w:rPr>
          <w:rFonts w:ascii="Times New Roman" w:hAnsi="Times New Roman"/>
          <w:sz w:val="20"/>
        </w:rPr>
      </w:pPr>
      <w:r>
        <w:rPr>
          <w:rFonts w:ascii="Times New Roman" w:hAnsi="Times New Roman"/>
          <w:sz w:val="20"/>
        </w:rPr>
        <w:t xml:space="preserve">Additional bonds secured by the indenture may be issued in a maximum aggregate principal amount equal to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66 2/3% of the Net Bondable Value of Property Additions that have not been applied to other indenture purposes; (See Section 4.04.)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amount of cash deposited with the trustee for the purpose of issuing additional bonds; (See Section 4.05.)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aggregate principal amount of Refundable Bonds, which include bonds that have been retired by payment at maturity, redemption or purchase (other than through sinking fund payments or other funds deposited with the trustee as Mortgaged Property) and not applied to other indenture purposes. (See Section 4.06.)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the aggregate principal amount of bonds that we can issue under the indenture may not exceed 50% of our Net Investment in Mortgaged Property, after giving effect to the issuance of such additional bonds. (See Section 4.01.) In addition, no additional bonds may be issued under the indenture (except under certain circumstances relating to those issued on the basis of Refundable Bonds) unless the Net Earnings of the Corporation Available for Interest for any 12 consecutive months in the past 15 months equals at least twice our annual interest charges on the sum of (i) all the bonds outstanding under the indenture and such additional bonds, (ii) in the event of our consolidation or merger or transfer of all of our property as an entirety, the indebtedness of any successor corporation maturing more than one year from the date of its creation, but only if such successor corporation does not secure the bonds with a lien on all of its property, other than Excepted Property, and (iii) all of our indebtedness secured by any part of the Mortgaged Property in priority to or </w:t>
      </w:r>
      <w:r>
        <w:rPr>
          <w:rFonts w:ascii="Times New Roman" w:hAnsi="Times New Roman"/>
          <w:i/>
          <w:sz w:val="20"/>
        </w:rPr>
        <w:t xml:space="preserve">pari passu </w:t>
      </w:r>
      <w:r>
        <w:rPr>
          <w:rFonts w:ascii="Times New Roman" w:hAnsi="Times New Roman"/>
          <w:sz w:val="20"/>
        </w:rPr>
        <w:t xml:space="preserve">with the lien securing the bonds. (See Section 4.03.) </w:t>
      </w:r>
    </w:p>
    <w:p>
      <w:pPr>
        <w:pStyle w:val="TextBody"/>
        <w:bidi w:val="0"/>
        <w:spacing w:before="240" w:after="0"/>
        <w:jc w:val="left"/>
        <w:rPr>
          <w:rFonts w:ascii="Times New Roman" w:hAnsi="Times New Roman"/>
          <w:sz w:val="20"/>
        </w:rPr>
      </w:pPr>
      <w:r>
        <w:rPr>
          <w:rFonts w:ascii="Times New Roman" w:hAnsi="Times New Roman"/>
          <w:sz w:val="20"/>
        </w:rPr>
        <w:t xml:space="preserve">Other than as described above, the indenture does not limit the amount of indebtedness that we may incur. </w:t>
      </w:r>
    </w:p>
    <w:p>
      <w:pPr>
        <w:pStyle w:val="TextBody"/>
        <w:bidi w:val="0"/>
        <w:spacing w:before="360" w:after="0"/>
        <w:jc w:val="left"/>
        <w:rPr>
          <w:rFonts w:ascii="Times New Roman" w:hAnsi="Times New Roman"/>
          <w:b/>
          <w:sz w:val="20"/>
        </w:rPr>
      </w:pPr>
      <w:r>
        <w:rPr>
          <w:rFonts w:ascii="Times New Roman" w:hAnsi="Times New Roman"/>
          <w:b/>
          <w:sz w:val="20"/>
        </w:rPr>
        <w:t xml:space="preserve">Security for the Bonds </w:t>
      </w:r>
    </w:p>
    <w:p>
      <w:pPr>
        <w:pStyle w:val="TextBody"/>
        <w:bidi w:val="0"/>
        <w:spacing w:before="120" w:after="0"/>
        <w:jc w:val="left"/>
        <w:rPr>
          <w:rFonts w:ascii="Times New Roman" w:hAnsi="Times New Roman"/>
          <w:sz w:val="20"/>
        </w:rPr>
      </w:pPr>
      <w:r>
        <w:rPr>
          <w:rFonts w:ascii="Times New Roman" w:hAnsi="Times New Roman"/>
          <w:sz w:val="20"/>
        </w:rPr>
        <w:t xml:space="preserve">The bonds will be secured by the indenture, which constitutes a first lien upon all of our real and personal property other than Excepted Property, subject to easements, rights of way, conditions, reservations and restrictions of record, and to the lien of taxes and assessments not delinquent, and also subject to Permissible Encumbrances, purchase money liens, liens existing on property at the time such property was acquired by us, liens resulting from claims and demands of mechanics, laborers and others the validity of which are being contested in good faith and the prior lien securing the trustee’s right to compensation, reimbursement and indemnity. (See granting clauses and Sections 5.09 and 14.10). All of the bonds issued under the indenture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equally and ratably secured by the indenture, subject to the provisions relating to any sinking or similar fund for the benefit of any bonds of a particular series and other than cash held by the trustee for the payment of particular bonds (See Sections 4.01, 5.03 and 10.12). </w:t>
      </w:r>
    </w:p>
    <w:p>
      <w:pPr>
        <w:pStyle w:val="TextBody"/>
        <w:bidi w:val="0"/>
        <w:spacing w:before="240" w:after="0"/>
        <w:jc w:val="left"/>
        <w:rPr>
          <w:rFonts w:ascii="Times New Roman" w:hAnsi="Times New Roman"/>
          <w:sz w:val="20"/>
        </w:rPr>
      </w:pPr>
      <w:r>
        <w:rPr>
          <w:rFonts w:ascii="Times New Roman" w:hAnsi="Times New Roman"/>
          <w:sz w:val="20"/>
        </w:rPr>
        <w:t xml:space="preserve">Subject to limitations and exceptions described in the indenture, all property acquired by us after the date of the indenture, other than Excepted Property, will be further security as described in the indenture. (See Section 5.09.) In addition, the indenture creates a lien on the Mortgaged Property prior to the lien securing the bonds in order to secure the trustee’s right to compensation, reimbursement and indemnity. (See Sections 5.17, 6.04, 9.26, 14.10 and 14.11.)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bonds of each series will be our secured and unsubordinated obligations and will rank equally in right of payment with all other bonds issued under the indenture. The bonds will rank first in right of payment with respect to proceeds from Mortgaged Property (subject to easements, rights of way, conditions, reservations and restrictions of record, and to the lien of taxes and assessments not delinquent, and also subject to Permissible Encumbrances, purchase money liens, liens existing on property at the time such property was acquired by us, liens resulting from claims and demands of mechanics, laborers and others the validity of which are being contested in good faith and the prior lien securing the trustee’s right to compensation, reimbursement and indemnity), and otherwise will rank equally in right of payment with all of our unsubordinated and unsecured indebtedness, including the senior debt securities. The bonds are Southern California Gas Company’s obligations exclusively and are not the obligations of any of our consolidated entities (if any), our parent, Sempra or any of our other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of Bonds </w:t>
      </w:r>
    </w:p>
    <w:p>
      <w:pPr>
        <w:pStyle w:val="TextBody"/>
        <w:bidi w:val="0"/>
        <w:spacing w:before="120" w:after="0"/>
        <w:jc w:val="left"/>
        <w:rPr>
          <w:rFonts w:ascii="Times New Roman" w:hAnsi="Times New Roman"/>
          <w:sz w:val="20"/>
        </w:rPr>
      </w:pPr>
      <w:r>
        <w:rPr>
          <w:rFonts w:ascii="Times New Roman" w:hAnsi="Times New Roman"/>
          <w:sz w:val="20"/>
        </w:rPr>
        <w:t xml:space="preserve">We will pay principal of and any premium on the bonds at stated maturity, upon redemption or otherwise, upon presentation of the bonds at the office of the trustee, as our paying agent. We will make payments on the bonds in book-entry form to DTC or its nominee, as the registered owner of the bonds, by wire transfer of immediately available funds. </w:t>
      </w:r>
    </w:p>
    <w:p>
      <w:pPr>
        <w:pStyle w:val="TextBody"/>
        <w:bidi w:val="0"/>
        <w:spacing w:before="360" w:after="0"/>
        <w:jc w:val="left"/>
        <w:rPr>
          <w:rFonts w:ascii="Times New Roman" w:hAnsi="Times New Roman"/>
          <w:b/>
          <w:sz w:val="20"/>
        </w:rPr>
      </w:pPr>
      <w:r>
        <w:rPr>
          <w:rFonts w:ascii="Times New Roman" w:hAnsi="Times New Roman"/>
          <w:b/>
          <w:sz w:val="20"/>
        </w:rPr>
        <w:t xml:space="preserve">Form; Transfers; Exchanges </w:t>
      </w:r>
    </w:p>
    <w:p>
      <w:pPr>
        <w:pStyle w:val="TextBody"/>
        <w:bidi w:val="0"/>
        <w:spacing w:before="120" w:after="0"/>
        <w:jc w:val="left"/>
        <w:rPr>
          <w:rFonts w:ascii="Times New Roman" w:hAnsi="Times New Roman"/>
          <w:sz w:val="20"/>
        </w:rPr>
      </w:pPr>
      <w:r>
        <w:rPr>
          <w:rFonts w:ascii="Times New Roman" w:hAnsi="Times New Roman"/>
          <w:sz w:val="20"/>
        </w:rPr>
        <w:t xml:space="preserve">The bonds initially will be issued in book-entry form and represented by one or more global securities deposited with, or on behalf of, DTC, as depositary, and registered in the name of Cede &amp; Co., its nominee. This means that you will not be entitled to receive a certificate for the bonds in book-entry form that you purchase except under the limited circumstances described below under the heading “Global Securities.” If any of the bonds are issued in certificated form they will be issued only in fully registered form without coupons, in denominations of $1,000, $5,000, $10,000, $25,000 or integral multiples of $25,000. </w:t>
      </w:r>
    </w:p>
    <w:p>
      <w:pPr>
        <w:pStyle w:val="TextBody"/>
        <w:bidi w:val="0"/>
        <w:spacing w:before="240" w:after="0"/>
        <w:jc w:val="left"/>
        <w:rPr>
          <w:rFonts w:ascii="Times New Roman" w:hAnsi="Times New Roman"/>
          <w:sz w:val="20"/>
        </w:rPr>
      </w:pPr>
      <w:r>
        <w:rPr>
          <w:rFonts w:ascii="Times New Roman" w:hAnsi="Times New Roman"/>
          <w:sz w:val="20"/>
        </w:rPr>
        <w:t xml:space="preserve">You will receive payments and may transfer bonds in book-entry form only through the facilities of DTC and its direct and indirect participants as described below under the heading “Global Securities.” We will maintain an office or agency where notices and demands in respect of the bonds and the indenture may be delivered to us and where certificated bonds may be surrendered for payment, registration of transfer or exchange, which will be at the principal office of the trustee in San Francisco, California and any other places specified in the applicable prospectus supplement or free writing prospectus. (See Sections 2.01, 2.03 and 2.04.) </w:t>
      </w:r>
    </w:p>
    <w:p>
      <w:pPr>
        <w:pStyle w:val="TextBody"/>
        <w:bidi w:val="0"/>
        <w:spacing w:before="240" w:after="0"/>
        <w:jc w:val="left"/>
        <w:rPr>
          <w:rFonts w:ascii="Times New Roman" w:hAnsi="Times New Roman"/>
          <w:sz w:val="20"/>
        </w:rPr>
      </w:pPr>
      <w:r>
        <w:rPr>
          <w:rFonts w:ascii="Times New Roman" w:hAnsi="Times New Roman"/>
          <w:sz w:val="20"/>
        </w:rPr>
        <w:t xml:space="preserve">There will be no service charge for (i) any registration or transfer of the bonds, but we may impose a charge sufficient to reimburse us for any tax or governmental charge required to be paid with respect to any such registration or transfer, or (ii) any exchange of the bonds, but we may charge a sum not exceeding $2 for each bond issued upon any such exchange and a further sum sufficient to reimburse us for any stamp taxes or other governmental charges. We may block the transfer or exchange of bonds for a period of 10 days prior to any interest payment date. (See Sections 2.03 and 2.04.)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redeem, at our option, all or any part of the bonds of any series at the redemption price specified therein for such series of bonds. In the event that we elect to redeem only a portion of a series of bonds, the bonds to be redeemed shall be selected by the trustee by lot in such manner as it shall deem fair, in the case of bonds that are not represented by one or more global securities, or in accordance with the procedures of DTC, in the case of bonds represented by one or more global securities if so provided in the applicable prospectus supplement or free writing prospectus. (See Section 7.01.) </w:t>
      </w:r>
    </w:p>
    <w:p>
      <w:pPr>
        <w:pStyle w:val="TextBody"/>
        <w:bidi w:val="0"/>
        <w:spacing w:before="240" w:after="0"/>
        <w:jc w:val="left"/>
        <w:rPr>
          <w:rFonts w:ascii="Times New Roman" w:hAnsi="Times New Roman"/>
          <w:sz w:val="20"/>
        </w:rPr>
      </w:pPr>
      <w:r>
        <w:rPr>
          <w:rFonts w:ascii="Times New Roman" w:hAnsi="Times New Roman"/>
          <w:sz w:val="20"/>
        </w:rPr>
        <w:t xml:space="preserve">Any other redemption provisions applicable to the bonds of any series will be set forth in the applicable prospectus supplement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mail notice of any redemption at least 30 days but not more than 60 days before the redemption date to each holder of the bonds to be redeemed. (See Section 7.02.) On or prior to the redemption date, we will deposit with the trustee a sum of money sufficient to redeem the bonds designated for redemption to be held in trust for the account of the holders thereof. Following notice of redemption and deposit of the redemption price with the trustee on or before the applicable redemption date, the bonds or portions thereof called for redemption shall cease to bear interest and shall cease to be entitled to the lien of the indenture after such redemption date. (See Section 7.03.) Upon surrender of the bonds, we will pay the holders of the surrendered bonds the principal, premium (if any) and accrued interest of the redeemed bonds or, if only a portion of the principal of a particular bond is being redeemed, we will pay such holders that portion of the principal, premium (if any) and interest attributable to such redeemed portion and the trustee will deliver new bonds in lieu of the unredeemed portion without charge. (See Sections 7.04 and 7.05.) All of the bonds redeemed and paid shall be cancelled. (See Section 7.06.) </w:t>
      </w:r>
    </w:p>
    <w:p>
      <w:pPr>
        <w:pStyle w:val="TextBody"/>
        <w:bidi w:val="0"/>
        <w:spacing w:before="360" w:after="0"/>
        <w:jc w:val="left"/>
        <w:rPr>
          <w:rFonts w:ascii="Times New Roman" w:hAnsi="Times New Roman"/>
          <w:b/>
          <w:sz w:val="20"/>
        </w:rPr>
      </w:pPr>
      <w:r>
        <w:rPr>
          <w:rFonts w:ascii="Times New Roman" w:hAnsi="Times New Roman"/>
          <w:b/>
          <w:sz w:val="20"/>
        </w:rPr>
        <w:t xml:space="preserve">Renewal Fund </w:t>
      </w:r>
    </w:p>
    <w:p>
      <w:pPr>
        <w:pStyle w:val="TextBody"/>
        <w:bidi w:val="0"/>
        <w:spacing w:before="120" w:after="0"/>
        <w:jc w:val="left"/>
        <w:rPr>
          <w:rFonts w:ascii="Times New Roman" w:hAnsi="Times New Roman"/>
          <w:sz w:val="20"/>
        </w:rPr>
      </w:pPr>
      <w:r>
        <w:rPr>
          <w:rFonts w:ascii="Times New Roman" w:hAnsi="Times New Roman"/>
          <w:sz w:val="20"/>
        </w:rPr>
        <w:t xml:space="preserve">We will pay or cause to be paid to the trustee annually on April 1, as a renewal fund, an amount equal to (1) the amounts actually appropriated by us from earnings during the preceding calendar year as provisions for depreciation, depletion and retirements of Mortgaged Property and, if such appropriations are calculated on a sinking fund or similar compound interest method, including the portion thereof representing interest accrual as well as the portion thereof representing the annuity charge, </w:t>
      </w:r>
      <w:r>
        <w:rPr>
          <w:rFonts w:ascii="Times New Roman" w:hAnsi="Times New Roman"/>
          <w:i/>
          <w:sz w:val="20"/>
        </w:rPr>
        <w:t>minus</w:t>
      </w:r>
      <w:r>
        <w:rPr>
          <w:rFonts w:ascii="Times New Roman" w:hAnsi="Times New Roman"/>
          <w:sz w:val="20"/>
        </w:rPr>
        <w:t xml:space="preserve"> (2) credits (which may include credits from prior years), taken at our option,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in cash or bonds made by us to a sinking fund or a similar fund under which cash paid to the trustee is to be used only to retire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lesser of the cost or fair value of specified Property Additions purchased, constructed or otherwise acquired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lesser of the cost or fair value of certain additions to properties securing bonds established as refundable pursuant to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certain bonds which have been purchased, paid, redeemed, cancelled or otherwise retired, and which have not been used nor will be available for any other indenture purpose, including the issuance of additional bonds.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Sections 8.02 and 8.04.) </w:t>
      </w:r>
    </w:p>
    <w:p>
      <w:pPr>
        <w:pStyle w:val="TextBody"/>
        <w:bidi w:val="0"/>
        <w:spacing w:before="240" w:after="0"/>
        <w:jc w:val="left"/>
        <w:rPr>
          <w:rFonts w:ascii="Times New Roman" w:hAnsi="Times New Roman"/>
          <w:sz w:val="20"/>
        </w:rPr>
      </w:pPr>
      <w:r>
        <w:rPr>
          <w:rFonts w:ascii="Times New Roman" w:hAnsi="Times New Roman"/>
          <w:sz w:val="20"/>
        </w:rPr>
        <w:t xml:space="preserve">Renewal fund payments that we pay in cash and any other monies held by the trustee as part of the Mortgaged Property may, at our option: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withdrawn by us, subject to specified conditions, in an amount equal to the lesser of the cost or fair value of specified Property Additions purchased, constructed or otherwise acquired by us, or in 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equal to the amount of Refundable Bonds made the basis for withdrawal (except that we may not withdraw cash deposited with the trustee as a basis for issuing additional bonds);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applied, subject to specified conditions, to the purchase or redemption of any outstanding bonds.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Sections 8.06, 10.08, 10.09 and 10.11.)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cash in excess of $100,000 held by the trustee as part of the Mortgaged Property for more than three years after deposit shall be applied by the trustee to the purchase or redemption of outstanding bonds. (See Section 10.11.) </w:t>
      </w:r>
    </w:p>
    <w:p>
      <w:pPr>
        <w:pStyle w:val="TextBody"/>
        <w:bidi w:val="0"/>
        <w:spacing w:before="240" w:after="0"/>
        <w:jc w:val="left"/>
        <w:rPr>
          <w:rFonts w:ascii="Times New Roman" w:hAnsi="Times New Roman"/>
          <w:sz w:val="20"/>
        </w:rPr>
      </w:pPr>
      <w:r>
        <w:rPr>
          <w:rFonts w:ascii="Times New Roman" w:hAnsi="Times New Roman"/>
          <w:sz w:val="20"/>
        </w:rPr>
        <w:t xml:space="preserve">Instead of making all or any portion of such a renewal fund payment in cash, we may deliver outstanding bonds to the trustee, which will be deemed equivalent to payment of cash in an amount equal to the aggregate principal amount of the bonds so delivered. (See Section 8.05.) </w:t>
      </w:r>
    </w:p>
    <w:p>
      <w:pPr>
        <w:pStyle w:val="TextBody"/>
        <w:bidi w:val="0"/>
        <w:spacing w:before="240" w:after="0"/>
        <w:jc w:val="left"/>
        <w:rPr>
          <w:rFonts w:ascii="Times New Roman" w:hAnsi="Times New Roman"/>
          <w:sz w:val="20"/>
        </w:rPr>
      </w:pPr>
      <w:r>
        <w:rPr>
          <w:rFonts w:ascii="Times New Roman" w:hAnsi="Times New Roman"/>
          <w:sz w:val="20"/>
        </w:rPr>
        <w:t xml:space="preserve">At our election, the amount of any required renewal fund payment may be reduced by an amount equal to the amount of cash which, assuming that the renewal fund payments required to be made pursuant to the indenture had actually been made in cash, could at the time be withdrawn under the indenture. (See Section 8.06.) Any payments that we make to the renewal fund are in addition to the expenditures we are required to make for maintenance.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Transfer of Assets </w:t>
      </w:r>
    </w:p>
    <w:p>
      <w:pPr>
        <w:pStyle w:val="TextBody"/>
        <w:bidi w:val="0"/>
        <w:spacing w:before="120" w:after="0"/>
        <w:jc w:val="left"/>
        <w:rPr>
          <w:rFonts w:ascii="Times New Roman" w:hAnsi="Times New Roman"/>
          <w:sz w:val="20"/>
        </w:rPr>
      </w:pPr>
      <w:r>
        <w:rPr>
          <w:rFonts w:ascii="Times New Roman" w:hAnsi="Times New Roman"/>
          <w:sz w:val="20"/>
        </w:rPr>
        <w:t xml:space="preserve">Nothing in the indenture or in the bonds outstanding under the indenture prevents us from consolidating or merging with or into any corporation or selling all of our property as an entirety subject to the continuing lien of the indenture,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consolidation, merger or sale preserve and do not impair the lien or the security under the indenture and the rights and powers of the trustee and the holders of the bonds outstanding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merger or consolidation, the successor corporation expressly assumes the due and punctual payment of the principal of and interest on all the bonds and the performance and observance of all of the covenants and conditions of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sale of all of our property as an entirety, the purchasing corporation assumes the due and punctual payment of principal of and interest on all the bonds, assumes the performance of all covenants and conditions of the indenture and executes and delivers an indenture to the trustee whereby the purchasing corporation agrees to assume such payment and performance and charge therewith the property and franchises so taken over.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15.01.)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consolidation or merger with or into any other corporation or of a sale of our property as an entirety, the successor corporation or purchasing corporation, as applicable, upon executing and causing to be recorded an indenture to the trustee, shall succeed to and be substituted for us under the indenture and the bonds. (See Section 15.02.) Notwithstanding the foregoing, the indenture shall not become a lien or charge on any properties or franchises of the successor corporation, whether owned at the time of such transaction or thereafter acquired, except for the properties and franchises subject to the lien of the indenture prior to such transaction (and all substitutions, replacements, accessions, additions, alterations, improvements, betterments, developments, extensions and enlargements to, of or upon any of the properties which then are or may thereafter become subject to the lien of the indenture) and any property and franchises which the successor corporation may voluntarily subject to the lien of the indenture. (See Section 15.03.)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events are defined for all purposes of the indenture (except where the term is otherwise defined for specific purposes) as “events of default”: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the principal of any bond secured by the indenture when it becomes due and payable, whether at maturity, as therein expressed, or by declaration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interest on any bond secured by the indenture for a period of 30 days after it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any installment of the sinking fund or renewal fund required by the indenture or of any sinking fund or analogous fund required by any supplemental indenture, for a period of 30 days after it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of a period of 60 days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adjudication of us as bankrupt by any court of competent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of an order approving a petition seeking the reorganization of us under the Federal Bankruptcy Laws or any other applicable law or statute of the United States of America or any state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appointment of a trustee or a receiver of all or substantially all of our property;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during such period such adjudication, order or appointment of a receiver or trustee shall be vacated;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by us of a voluntary petition in bankruptcy or the making by us of an assignment for the benefit of creditors; our consenting to the appointment of a receiver or trustee of all or any part of our property; the filing by us of a petition or answer seeking reorganization under the Federal Bankruptcy Laws, or any other applicable law or statute of the United States of America or of any state thereof; or the filing by us of a petition to take advantage of any insolvency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perform any other covenant or agreement contained in the indenture or any supplemental indenture or in any bond secured by the indenture for a period of 60 days following the mailing by the trustee to us of a written demand that such failure be cured, such failure not having been cured in the meantime. The trustee may and, if required to do so by the holders of a majority in principal amount of the bonds then outstanding, shall make such demand.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9.02.) </w:t>
      </w:r>
    </w:p>
    <w:p>
      <w:pPr>
        <w:pStyle w:val="TextBody"/>
        <w:bidi w:val="0"/>
        <w:spacing w:before="360" w:after="0"/>
        <w:jc w:val="left"/>
        <w:rPr>
          <w:rFonts w:ascii="Times New Roman" w:hAnsi="Times New Roman"/>
          <w:b/>
          <w:sz w:val="20"/>
        </w:rPr>
      </w:pPr>
      <w:r>
        <w:rPr>
          <w:rFonts w:ascii="Times New Roman" w:hAnsi="Times New Roman"/>
          <w:b/>
          <w:sz w:val="20"/>
        </w:rPr>
        <w:t xml:space="preserve">Remedies </w:t>
      </w:r>
    </w:p>
    <w:p>
      <w:pPr>
        <w:pStyle w:val="TextBody"/>
        <w:bidi w:val="0"/>
        <w:spacing w:before="120" w:after="0"/>
        <w:jc w:val="left"/>
        <w:rPr>
          <w:rFonts w:ascii="Times New Roman" w:hAnsi="Times New Roman"/>
          <w:i/>
          <w:sz w:val="20"/>
        </w:rPr>
      </w:pPr>
      <w:r>
        <w:rPr>
          <w:rFonts w:ascii="Times New Roman" w:hAnsi="Times New Roman"/>
          <w:i/>
          <w:sz w:val="20"/>
        </w:rPr>
        <w:t xml:space="preserve">Acceleration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an event of default, the trustee may, and upon the written request of the holders of a majority in principal amount of the bonds then outstanding shall, by written notice to us, declare the principal amount of all bonds then outstanding under the indenture, together with accrued and unpaid interest thereon, to be immediately due and payable. (See Section 9.05.) </w:t>
      </w:r>
    </w:p>
    <w:p>
      <w:pPr>
        <w:pStyle w:val="TextBody"/>
        <w:bidi w:val="0"/>
        <w:spacing w:before="360" w:after="0"/>
        <w:jc w:val="left"/>
        <w:rPr>
          <w:rFonts w:ascii="Times New Roman" w:hAnsi="Times New Roman"/>
          <w:i/>
          <w:sz w:val="20"/>
        </w:rPr>
      </w:pPr>
      <w:r>
        <w:rPr>
          <w:rFonts w:ascii="Times New Roman" w:hAnsi="Times New Roman"/>
          <w:i/>
          <w:sz w:val="20"/>
        </w:rPr>
        <w:t xml:space="preserve">Rescission of Acceleration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after the principal of the bonds shall have been declared due and payable and before any sale of the Mortgaged Property shall have been made pursuant to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interest in arrears on such bonds with interest on overdue installments of interest, to the extent that payment of such interest on interest shall be legally enforceable, at the same rate as was borne by the respective bonds on which installments of interest may be overdue,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together with reasonable charges and expenses of the trustee, its agents and attorneys,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sums which may be due under the indenture, except the principal of such bonds as shall not have become due and payable by their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shall either by paid by us to those entitled thereto (or to the trustee for their account) or be collected out of the Mortgaged Property, and all other defaults existing under the indenture known to the trustee shall have been cured or provision deemed by the trustee to be adequate therefor shall have been made, or shall have been waived as provided in the indenture, then and in every such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the majority in principal amount of the bonds then outstanding, by written notice to us and the trustee, may waive such default and rescind and annul such declaration and its consequences,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in declaring the principal due the trustee shall have acted without any request of the bondholders, or upon the request of the holders of less than 25% in principal amount of the bonds outstanding at the time of such request, and if there shall not have been delivered to the trustee and to us written directions to the contrary by the holders of not less than a majority in principal amount of the bonds then outstanding, then such default and its consequences </w:t>
            </w:r>
            <w:r>
              <w:rPr>
                <w:rFonts w:ascii="Times New Roman" w:hAnsi="Times New Roman"/>
                <w:i/>
                <w:sz w:val="20"/>
              </w:rPr>
              <w:t>ipso facto</w:t>
            </w:r>
            <w:r>
              <w:rPr>
                <w:rFonts w:ascii="Times New Roman" w:hAnsi="Times New Roman"/>
                <w:sz w:val="20"/>
              </w:rPr>
              <w:t xml:space="preserve"> shall be deemed to be waived,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all such principal and interest which shall have matured otherwise than by such declarations shall have been made good and all other defaults cured or provided for or waived within 30 days after such declaration, then, without regard to any directions by the bondholders, all such defaults and their consequences </w:t>
            </w:r>
            <w:r>
              <w:rPr>
                <w:rFonts w:ascii="Times New Roman" w:hAnsi="Times New Roman"/>
                <w:i/>
                <w:sz w:val="20"/>
              </w:rPr>
              <w:t>ipso facto</w:t>
            </w:r>
            <w:r>
              <w:rPr>
                <w:rFonts w:ascii="Times New Roman" w:hAnsi="Times New Roman"/>
                <w:sz w:val="20"/>
              </w:rPr>
              <w:t xml:space="preserve"> shall be deemed to be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the parties shall be restored to their respective rights and obligations under the indenture as if no default had occurred; but no such waiver of any particular default shall extend to or affect or be deemed a waiver of any other default or impair any right consequent thereon. (See Section 9.05.) </w:t>
      </w:r>
    </w:p>
    <w:p>
      <w:pPr>
        <w:pStyle w:val="TextBody"/>
        <w:bidi w:val="0"/>
        <w:spacing w:before="360" w:after="0"/>
        <w:jc w:val="left"/>
        <w:rPr>
          <w:rFonts w:ascii="Times New Roman" w:hAnsi="Times New Roman"/>
          <w:i/>
          <w:sz w:val="20"/>
        </w:rPr>
      </w:pPr>
      <w:r>
        <w:rPr>
          <w:rFonts w:ascii="Times New Roman" w:hAnsi="Times New Roman"/>
          <w:i/>
          <w:sz w:val="20"/>
        </w:rPr>
        <w:t xml:space="preserve">Remedies with Respect to Mortgaged Property </w:t>
      </w:r>
    </w:p>
    <w:p>
      <w:pPr>
        <w:pStyle w:val="TextBody"/>
        <w:bidi w:val="0"/>
        <w:spacing w:before="120" w:after="0"/>
        <w:jc w:val="left"/>
        <w:rPr>
          <w:rFonts w:ascii="Times New Roman" w:hAnsi="Times New Roman"/>
          <w:sz w:val="20"/>
        </w:rPr>
      </w:pPr>
      <w:r>
        <w:rPr>
          <w:rFonts w:ascii="Times New Roman" w:hAnsi="Times New Roman"/>
          <w:sz w:val="20"/>
        </w:rPr>
        <w:t xml:space="preserve">To the extent permitted by law, upon the occurrence of an event of default, the trustee may enter, hold, use, operate, manage and control all or any part of the Mortgaged Property and conduct the business thereof, either personally or through the trustee’s agents. Upon every such entry, the trustee, from time to time, either by purchase, repair or construction, may maintain, restore and insure the buildings and structures and property in the same manner and to the same extent as us and may make all necessary and proper repairs, renewals and replacements, improvements, extensions and additions thereto as may seem judicious to the trustee and may deduct such expenses out of the Mortgaged Property. If the trustee enters the Mortgaged Property as aforesaid, the trustee will be entitled to receive the earnings, income, rents, issues and profits from the Mortgaged Property and, after deducting the expenses of conducting the business of and operating the Mortgaged Property and of all such repairs, renewals and replacements, improvements, extensions and additions and all payments for taxes, assessments, insurance and other proper charges upon the Mortgaged Property, or any part thereof, as well as just and reasonable compensation to the trustee and its agents and counsel for their respective services, will apply such money in the following manner: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none of the principal of the bonds has become due, to the payment of the interest in default in the order of the maturity of such installments of interest, with interest on the overdue installments, to the extent permitted by applicable law, at the rate or rates per annum respectively borne by the bonds on which such interest shall be in default, ratably to the persons entitled thereto;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of any, but not all, of the bonds issued has become due, first to the payment of the accrued interest on all bonds then outstanding, with interest on the overdue installments thereof, to the extent permitted by applicable law, at the same rates as were borne by the respective bonds on which such interest shall be in default, in the order of the maturity of the installments, and, second, if any surplus remains, to the payment </w:t>
            </w:r>
            <w:r>
              <w:rPr>
                <w:rFonts w:ascii="Times New Roman" w:hAnsi="Times New Roman"/>
                <w:i/>
                <w:sz w:val="20"/>
              </w:rPr>
              <w:t>pro tanto</w:t>
            </w:r>
            <w:r>
              <w:rPr>
                <w:rFonts w:ascii="Times New Roman" w:hAnsi="Times New Roman"/>
                <w:sz w:val="20"/>
              </w:rPr>
              <w:t xml:space="preserve"> of the principal of all the bonds then due, such payment to be made ratably to the persons entitled thereto;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of all the bonds shall have become due, by maturity, declaration or otherwise, to the payment of the whole amount then owing and unpaid upon the bonds outstanding for principal and interest, with interest on overdue principal and installments of interest thereon, to the extent permitted by applicable law, at the rates per annum borne by the respective bonds representing such principal; and in case such proceeds shall be insufficient to pay in full the whole amount so due and unpaid upon such bonds, then to the payment of the principal and interest of such bonds, ratably and without preference or priority of principal over interest or of interest over principal or of any installment of interest over any other installment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surplus remaining after providing for such payments and for the payment of all installments of interest becoming due in the following six months shall be paid over to us, or whosoever may be entitled to receive the same, or as any court of competent jurisdiction may direct. (See Section 9.04.) </w:t>
      </w:r>
    </w:p>
    <w:p>
      <w:pPr>
        <w:pStyle w:val="TextBody"/>
        <w:bidi w:val="0"/>
        <w:spacing w:before="240" w:after="0"/>
        <w:jc w:val="left"/>
        <w:rPr>
          <w:rFonts w:ascii="Times New Roman" w:hAnsi="Times New Roman"/>
          <w:sz w:val="20"/>
        </w:rPr>
      </w:pPr>
      <w:r>
        <w:rPr>
          <w:rFonts w:ascii="Times New Roman" w:hAnsi="Times New Roman"/>
          <w:sz w:val="20"/>
        </w:rPr>
        <w:t xml:space="preserve">If one or more events of default occurs and continues without remedy for the designated period, the trustee may, in every such case, sell the Mortgaged Property or take appropriate judicial proceedings for the protection and enforcement of its rights and the rights of the bondholders. (See Section 9.06.) In the case of the sale of the Mortgaged Property, whether made under the power of sale granted in the indenture or pursuant to judicial proceedings, the principal of all outstanding bonds, if not previously due, shall immediately become due and payable. (See Section 9.14.) The proceeds of any sale of the Mortgaged Property made under the power of sale given by the indenture or pursuant to judicial proceedings, together with any other amounts held by the trustee as part of the Mortgaged Property or proceeds thereof (except such part as may be held in trust for payment of bonds already called for redemption or previously matured and matured interest as provided in the indenture), shall be applied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the payment of the costs and expenses of such sale, including reasonable compensation to the trustee and its agents and counsel, and of any judicial proceedings, and of all expenses, liabilities and advances made or incurred by the trustee without negligence or bad faith, with interest on such expenses and advances, and to the payment of all taxes, assessments or liens superior to the lien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to the payment of the whole amount then owing and unpaid upon the bonds outstanding for principal and interest, with interest on overdue principal and installments of interest thereon, to the extent permitted by applicable law, at the rates per annum borne by the respective bonds representing such principal; and in case such proceeds shall be insufficient to pay in full the whole amount so due and unpaid upon such bonds, then to the payment of the principal and interest of such bonds, ratably and without preference or priority of principal over interest or of interest over principal or of any installment of interest over any other installment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any surplus shall be paid to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9.15.)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default in the payment of the principal of any bond that has become due and payable or the payment of interest on any bond for a period of 30 days after such interest has become due and payable, the trustee may recover a judgment, in its own name and as trustee of an express trust, against us for the whole amount of such principal and interest that remains unpaid, together with interest on such unpaid principal and, to the extent legally enforceable, on such unpaid interest. The trustee may file proof of such claim and any other papers or documents as may be necessary or advisable in order to have such claims allowed in judicial proceedings relative to us or our creditors or our property. Any monies collected by the trustee pursuant to any such judgment shall be applied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the payment of the costs and expenses of the proceedings resulting in the collection of such monies, including reasonable compensation to the trustee and its agents and counsel, and of all expenses, liabilities and advances made or incurred without negligence or bad faith by the trustee 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or in executing any trust or power thereunder, with interest on such expenses and advances;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to the payment of the amounts then due and unpaid upon the bonds and/or for interest in respect whereof such monies shall have been collected, ratably and without any preference or priority of any kind (subject to the provisions of Section 9.01 of the indenture described below), according to the amounts due and payable upon such bonds and/or for interest respectively, to the date fixed by the trustee for the distribution of such monies, upon presentation of the bonds and stamping such payment thereon, if partly paid, and upon surrender and cancellation thereof, if fully paid.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9.17.)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neither (a) any claim for interest on any bond which has been extended in contravention of the provisions of the indenture nor (b) any claim for interest on any bond which at or after maturity has been transferred or pledged separate from such bond, unless accompanied by such bond, shall be entitled, upon any event of default, to any benefit under the indenture, except after the prior payment in full of the principal of all bonds and interest thereon not so extended, transferred or pledged. (See Section 9.01.) </w:t>
      </w:r>
    </w:p>
    <w:p>
      <w:pPr>
        <w:pStyle w:val="TextBody"/>
        <w:bidi w:val="0"/>
        <w:spacing w:before="360" w:after="0"/>
        <w:jc w:val="left"/>
        <w:rPr>
          <w:rFonts w:ascii="Times New Roman" w:hAnsi="Times New Roman"/>
          <w:i/>
          <w:sz w:val="20"/>
        </w:rPr>
      </w:pPr>
      <w:r>
        <w:rPr>
          <w:rFonts w:ascii="Times New Roman" w:hAnsi="Times New Roman"/>
          <w:i/>
          <w:sz w:val="20"/>
        </w:rPr>
        <w:t xml:space="preserve">Notice Regarding Remedies with Respect to Mortgaged Property </w:t>
      </w:r>
    </w:p>
    <w:p>
      <w:pPr>
        <w:pStyle w:val="TextBody"/>
        <w:bidi w:val="0"/>
        <w:spacing w:before="120" w:after="0"/>
        <w:jc w:val="left"/>
        <w:rPr>
          <w:rFonts w:ascii="Times New Roman" w:hAnsi="Times New Roman"/>
          <w:sz w:val="20"/>
        </w:rPr>
      </w:pPr>
      <w:r>
        <w:rPr>
          <w:rFonts w:ascii="Times New Roman" w:hAnsi="Times New Roman"/>
          <w:sz w:val="20"/>
        </w:rPr>
        <w:t xml:space="preserve">Any foreclosure on the Mortgaged Property by the trustee may be limited by applicable law. With respect to Mortgaged Property located in California, Section 726 of the California Code of Civil Procedure provides that any action to recover on a debt or enforce any right secured by a mortgage on real property or an estate for years therein must comply with the provisions of that section, which provisions relate to and specify the procedures for the sale of encumbered property or an estate for years therein, the application of proceeds, the rendition in certain cases of a deficiency judgment, and other related matters. Judicial decisions interpreting Section 726 have formulated principles requiring that only one action may be brought to enforce an obligation secured by a lien on California real property, that all security for the obligation must be included in one foreclosure action, and that the creditor must exhaust all of its security before a personal judgment or other recovery may be obtained against the debtor for a deficiency. We advise you that failure to comply with Section 726 as it has been interpreted may result in the extinguishment of the liens on the Mortgaged Property and the loss of your right to a deficiency judgment. </w:t>
      </w:r>
    </w:p>
    <w:p>
      <w:pPr>
        <w:pStyle w:val="TextBody"/>
        <w:bidi w:val="0"/>
        <w:spacing w:before="360" w:after="0"/>
        <w:jc w:val="left"/>
        <w:rPr>
          <w:rFonts w:ascii="Times New Roman" w:hAnsi="Times New Roman"/>
          <w:i/>
          <w:sz w:val="20"/>
        </w:rPr>
      </w:pPr>
      <w:r>
        <w:rPr>
          <w:rFonts w:ascii="Times New Roman" w:hAnsi="Times New Roman"/>
          <w:i/>
          <w:sz w:val="20"/>
        </w:rPr>
        <w:t xml:space="preserve">Control by Holders; Limitations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principal amount of the bonds then outstanding have the right to direct the time, method and place of conducting any proceeding for any remedy available to the trustee or exercising any trust or power given to the trustee. The trustee may and, upon the written request of the holders of a majority in principal amount of the bonds then outstanding (including, if more than one series of bonds is outstanding, the holders of a majority in principal amount of the bonds of each such series), shall waive any default under the indenture and its consequences, other than a payment default. (See Sections 9.22 and 9.28.)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provides that no holder of bonds will have any right to institute any suit, action or proceeding, at law or in equity, for the foreclosure of the indenture, the execution of any trust with respect to the indenture, the appointment of a receiver, or any other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previously has given the trustee written notice of a continuing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principal amount of the bonds then outstanding have made written request to the trustee and afforded the trustee a reasonable opportunity to exercise its powers under the indenture or institute the action, suit or proceeding in its own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been offered reasonable security and indemnity against costs and liabilities to be incurred to comply with the request;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refused or failed to comply with the request within a reasonable time or to take other appropriate action for the enforcement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9.20.) </w:t>
      </w:r>
    </w:p>
    <w:p>
      <w:pPr>
        <w:pStyle w:val="TextBody"/>
        <w:bidi w:val="0"/>
        <w:spacing w:before="240" w:after="0"/>
        <w:jc w:val="left"/>
        <w:rPr>
          <w:rFonts w:ascii="Times New Roman" w:hAnsi="Times New Roman"/>
          <w:sz w:val="20"/>
        </w:rPr>
      </w:pPr>
      <w:r>
        <w:rPr>
          <w:rFonts w:ascii="Times New Roman" w:hAnsi="Times New Roman"/>
          <w:sz w:val="20"/>
        </w:rPr>
        <w:t xml:space="preserve">No holder will be entitled to take any action to affect, disturb or prejudice the lien of the indenture, or to enforce any right under the indenture, except in the manner specified in the indenture, and actions must be instituted and maintained only in the manner provided by the indenture and for the equal benefit of all holders of outstanding bonds. Notwithstanding the foregoing, the right of any holder of any bond to receive payment of the principal of and interest on such bond when due, and to institute suit for the enforcement of such payment, shall not be impaired or affected without the consent of such holder, except that no bondholder may institute any such suit if and to the extent it would result in the surrender, impairment, waiver or loss of the lien of the indenture upon any of the Mortgaged Property. (See Sections 9.20 and 9.21.) </w:t>
      </w:r>
    </w:p>
    <w:p>
      <w:pPr>
        <w:pStyle w:val="TextBody"/>
        <w:bidi w:val="0"/>
        <w:spacing w:before="360" w:after="0"/>
        <w:jc w:val="left"/>
        <w:rPr>
          <w:rFonts w:ascii="Times New Roman" w:hAnsi="Times New Roman"/>
          <w:b/>
          <w:sz w:val="20"/>
        </w:rPr>
      </w:pPr>
      <w:r>
        <w:rPr>
          <w:rFonts w:ascii="Times New Roman" w:hAnsi="Times New Roman"/>
          <w:b/>
          <w:sz w:val="20"/>
        </w:rPr>
        <w:t xml:space="preserve">Notice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trustee is required to give the bondholders notice of any default under the indenture known to the trustee, unless the default has been cured, within 90 days after the occurrence of the default; provided that except in the case of default in the payment of principal of or interest on any bonds, or in the payment of any maintenance and sinking fund installment or of any sinking fund or purchase fund installment, the trustee may withhold notice of default if and so long as its board of directors, its executive committee or a trust committee of directors and/or responsible officers of the trustee in good faith determine that the withholding of notice is in the interest of the bondholders. (See Section 9.03.) As used in this paragraph, the term “default” means any event of default, not including any grace period provided for in such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may be modified by us and the trustee with the consent of the holders of at least 66 2/3% in principal amount of the bonds then outstanding, and, in case one or more but less than all series of bonds then outstanding are affected by the modification, by the consent of the holders of at least 66 2/3% in principal amount of the bonds of such series affected; provided that the right of any holder to receive payment of principal and interest when due or to institute suit for the enforcement of such payment may not be impaired or affected without the consent of such holder (except that no bondholder may institute any such suit if and to the extent it would result in the surrender, impairment, waiver or loss of the lien of the indenture upon any of the Mortgaged Property), and no such modification shall reduce the proportion of bondholders’ consents required for any such modification. (See Sections 9.21 and 16.05.) </w:t>
      </w:r>
    </w:p>
    <w:p>
      <w:pPr>
        <w:pStyle w:val="TextBody"/>
        <w:bidi w:val="0"/>
        <w:spacing w:before="240" w:after="0"/>
        <w:jc w:val="left"/>
        <w:rPr>
          <w:rFonts w:ascii="Times New Roman" w:hAnsi="Times New Roman"/>
          <w:sz w:val="20"/>
        </w:rPr>
      </w:pPr>
      <w:r>
        <w:rPr>
          <w:rFonts w:ascii="Times New Roman" w:hAnsi="Times New Roman"/>
          <w:sz w:val="20"/>
        </w:rPr>
        <w:t xml:space="preserve">We may, without the consent of any bondholders, and at our request the trustee shall, enter into supplemental indentures amending the indenture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correct the description of any mortgaged property, or to assign, convey, mortgage, pledge, transfer and set over to the trustee (subject to such liens or other encumbrances as shall be described in such supplement indenture) additional property as security for the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the succession of another corporation to us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control and the terms and conditions thereof, of all shares of stock, bonds and other securities at any time pledged or deposited with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appointment of a co-trustee or co-trustees, or a separate trustee or trustees, and define its or their respective powers and duties;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or defective provision contained in the indenture or any supplemental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or alter, to the extent permitted under the indenture or any supplemental indenture, the rights and obligations of us and holders of the bonds; provided that such supplemental indenture shall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specifically referred to in the text of all the bonds of any series established after the execution of such supplemental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close the indenture, restrict the issue of additional bonds thereunder or limit the authorized amount and the issue or purpose of issue of bonds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other purpose not inconsistent with the terms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supplemental indenture shall comply with the Trust Indenture Act of 1939, as amended, and shall be binding upon the holders of all bonds, as fully as though the provisions of such supplemental indenture were a part of the indenture. (See Sections 16.01 and 16.03.)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Cancellation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lien on our property securing the bonds will be cancelled and discharged when the principal of and interest on all then outstanding bonds has been paid or when we deposit with the trustee sufficient funds to pay the principal of and interest on all then outstanding bonds, and when all other sums due and payable by us under the indenture have been paid or satisfactorily provided for, including the compensation and expenses of the trustee, and we request that the Mortgaged Property revert to us and that the lien be cancelled and discharged. Unless we request cancellation and discharge, the lien created by the indenture will not be cancelled and discharged, but shall remain in place for the issuance of future bonds pursuant to the terms of the indenture. (See Sections 11.01 and 11.02.) </w:t>
      </w:r>
    </w:p>
    <w:p>
      <w:pPr>
        <w:pStyle w:val="TextBody"/>
        <w:bidi w:val="0"/>
        <w:spacing w:before="360" w:after="0"/>
        <w:jc w:val="left"/>
        <w:rPr>
          <w:rFonts w:ascii="Times New Roman" w:hAnsi="Times New Roman"/>
          <w:b/>
          <w:sz w:val="20"/>
        </w:rPr>
      </w:pPr>
      <w:r>
        <w:rPr>
          <w:rFonts w:ascii="Times New Roman" w:hAnsi="Times New Roman"/>
          <w:b/>
          <w:sz w:val="20"/>
        </w:rPr>
        <w:t xml:space="preserve">Release Provisions </w:t>
      </w:r>
    </w:p>
    <w:p>
      <w:pPr>
        <w:pStyle w:val="TextBody"/>
        <w:bidi w:val="0"/>
        <w:spacing w:before="120" w:after="0"/>
        <w:jc w:val="left"/>
        <w:rPr>
          <w:rFonts w:ascii="Times New Roman" w:hAnsi="Times New Roman"/>
          <w:sz w:val="20"/>
        </w:rPr>
      </w:pPr>
      <w:r>
        <w:rPr>
          <w:rFonts w:ascii="Times New Roman" w:hAnsi="Times New Roman"/>
          <w:sz w:val="20"/>
        </w:rPr>
        <w:t xml:space="preserve">Unless an event of default has occurred and is continuing, we may, free from the lien of the indenture and at any time and from time to time, without any release by the trustee, sell, exchange or dispose of worn out, unserviceable, undesirable or unnecessary machinery or equipment, provided we replace the machinery and equipment with other machinery and equipment of equivalent or greater value. (See Section 10.02.) Unless an event of default has occurred and is continuing, we may also at any time and from time to time, without any release by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modify or dispose of our rights of way (including easements and licenses), leases or contracts; provided that no right of way for transmission lines connecting our properties shall be surrendered or disposed of without a release by the trustee unless we own or acquire other rights of way for the same portion of such transmission line or a substituted transmission line or unless the property served by such transmission line has been abandoned or released from the lien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surrender or allow the modification of any franchises (including any ordinances, indeterminate permits or other operating rights), so long as we may still conduct the same or an extended business in substantially the same or an extended territory for the same or a longer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abandon the operation of any of our properties and surrender any franchises (including any ordinances, indeterminate permits or other operating rights), if the operation of such property or franchise is not necessary or important for the operation of our other systems and plants or where such abandonment or surrender is deemed, for any reason, to be advisable, subject under certain circumstances to specified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enjoy and receive the benefits of all our contracts and, in the usual course of our business, modify, extend or cancel such contracts, except as otherwise provided in the two immediately preceding bullet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produce, mine, use for our own purposes, sell and/or otherwise dispose of, free from the lien of the indenture, gas, oil, coal or other minerals, if any, lying or being within or under any real property which is part of the Mortgaged Property; and/or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dispose of, free from the lien of the indenture, in the ordinary course of business, fuel, repair parts, repair material, operating supplies and commodities that comprise stock or merchandise kept for sale, manufactured commodities, gas and other personal property manufactured or acquired for sale in the ordinary course of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10.03.)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also contains provisions for the release of property by the trustee (i) upon a sale or other disposition of such property provided that no event of default has occurred and is continuing, that we receive consideration at least equal to the fair value of the property, that the release is advantageous in the conduct of the business and will not impair the security of the Mortgaged Property under the indenture in contravention of the provisions thereof, and that we deposit cash with the trustee, as part of the Mortgaged Property, in an amount at least equal to the fair value of the property released (provided that the amount of cash deposited shall be reduced by, among other things, any purchase money mortgages on the property to be released that are deposited with the trustee and by any interest-bearing obligations issued by any municipal corporation or other governmental subdivision that are deposited with the trustee; and provided, further, that the cash so deposited may also be reduced by the amount of cash which we could at the time withdraw from the Mortgaged Property on the basis of Property Additions or Refundable Bonds) and (ii) for property taken by eminent domain, provided that the proceeds of any taking by eminent domain are deposited with the trustee. (See Sections 10.04 and 10.05.) </w:t>
      </w:r>
    </w:p>
    <w:p>
      <w:pPr>
        <w:pStyle w:val="TextBody"/>
        <w:bidi w:val="0"/>
        <w:spacing w:before="240" w:after="0"/>
        <w:jc w:val="left"/>
        <w:rPr>
          <w:rFonts w:ascii="Times New Roman" w:hAnsi="Times New Roman"/>
          <w:sz w:val="20"/>
        </w:rPr>
      </w:pPr>
      <w:r>
        <w:rPr>
          <w:rFonts w:ascii="Times New Roman" w:hAnsi="Times New Roman"/>
          <w:sz w:val="20"/>
        </w:rPr>
        <w:t xml:space="preserve">As described above under “—Renewal Fund,” we may also withdraw cash that is part of the Mortgaged Property, subject to specified conditions, in an amount equal to the lesser of the cost or fair value of specified Property Additions purchased, constructed or otherwise acquired by us, or in an amount equal to the amount of Refundable Bonds made the basis for withdrawal, or cause cash that is part of the Mortgaged Property to be used to purchase or redeem outstanding bonds, subject to specified conditions. (See Sections 10.08, 10.09 and 10.11.) In addition, any cash in excess of $100,000 held by the trustee as part of the Mortgaged Property for more than three years after deposit shall be applied by the trustee to the purchase or redemption of outstanding bonds. (See Section 10.11.) </w:t>
      </w:r>
    </w:p>
    <w:p>
      <w:pPr>
        <w:pStyle w:val="TextBody"/>
        <w:bidi w:val="0"/>
        <w:spacing w:before="240" w:after="0"/>
        <w:jc w:val="left"/>
        <w:rPr>
          <w:rFonts w:ascii="Times New Roman" w:hAnsi="Times New Roman"/>
          <w:sz w:val="20"/>
        </w:rPr>
      </w:pPr>
      <w:r>
        <w:rPr>
          <w:rFonts w:ascii="Times New Roman" w:hAnsi="Times New Roman"/>
          <w:sz w:val="20"/>
        </w:rPr>
        <w:t xml:space="preserve">Monies deposited with the trustee upon the release or condemnation of Non-Bondable Property or insurance proceeds deposited with the trustee on account of loss of or damage to Non-Bondable Property shall, at our request, be paid to us in an amount equal to the lesser of the cost or fair value of other Non-Bondable Property purchased, constructed or otherwise acquired by us, subject to specified conditions. (See Section 10.10.) </w:t>
      </w:r>
    </w:p>
    <w:p>
      <w:pPr>
        <w:pStyle w:val="TextBody"/>
        <w:bidi w:val="0"/>
        <w:spacing w:before="240" w:after="0"/>
        <w:jc w:val="left"/>
        <w:rPr>
          <w:rFonts w:ascii="Times New Roman" w:hAnsi="Times New Roman"/>
          <w:sz w:val="20"/>
        </w:rPr>
      </w:pPr>
      <w:r>
        <w:rPr>
          <w:rFonts w:ascii="Times New Roman" w:hAnsi="Times New Roman"/>
          <w:sz w:val="20"/>
        </w:rPr>
        <w:t xml:space="preserve">However, unless the Mortgaged Property is in the possession of a receiver, trustee in bankruptcy or assignee for the benefit of creditors, no cash held as part of the Mortgaged Property shall be paid to us or applied to the purchase or redemption of bonds pursuant to specified sections of the indenture if we are, to the knowledge of the trustee, in default under the indenture or if an event of default has occurred and is continuing. (See Section 10.14.) </w:t>
      </w:r>
    </w:p>
    <w:p>
      <w:pPr>
        <w:pStyle w:val="TextBody"/>
        <w:bidi w:val="0"/>
        <w:spacing w:before="360" w:after="0"/>
        <w:jc w:val="left"/>
        <w:rPr>
          <w:rFonts w:ascii="Times New Roman" w:hAnsi="Times New Roman"/>
          <w:b/>
          <w:sz w:val="20"/>
        </w:rPr>
      </w:pPr>
      <w:r>
        <w:rPr>
          <w:rFonts w:ascii="Times New Roman" w:hAnsi="Times New Roman"/>
          <w:b/>
          <w:sz w:val="20"/>
        </w:rPr>
        <w:t xml:space="preserve">Evidence of Compliance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will furnish to the trustee officers’ certificates, and, in certain cases, engineer’s certificates or independent engineer’s certificates and independent public accountant’s certificates in connection with the authentication of any bonds, the release or release and substitution of certain property and certain other matters, and opinions of counsel as to the lien of the indenture and certain other matters. (See Sections 4.03, 4.04, 4.07, 8.03, 10.03, 10.04, 10.08 and 10.11.)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at any time by giving us written notice and by publishing notice in a required newspaper. The resignation will be effective either on the date specified in the notice or on the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appointment of a successor trustee. The holders of a majority in principal amount of the bonds then outstanding may remove the trustee by signing, acknowledging and filing with the trustee a written instrument or concurrent written instruments. We may appoint a successor trustee unless and until a successor trustee is appointed by the holders of a majority in principal amount of the bonds then outstanding. (See Sections 14.16, 14.17 and 14.18.) </w:t>
      </w:r>
    </w:p>
    <w:p>
      <w:pPr>
        <w:pStyle w:val="TextBody"/>
        <w:bidi w:val="0"/>
        <w:spacing w:before="360" w:after="0"/>
        <w:jc w:val="left"/>
        <w:rPr>
          <w:rFonts w:ascii="Times New Roman" w:hAnsi="Times New Roman"/>
          <w:b/>
          <w:sz w:val="20"/>
        </w:rPr>
      </w:pPr>
      <w:r>
        <w:rPr>
          <w:rFonts w:ascii="Times New Roman" w:hAnsi="Times New Roman"/>
          <w:b/>
          <w:sz w:val="20"/>
        </w:rPr>
        <w:t xml:space="preserve">No Liability for Shareholders,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shareholders, directors or officers will be liable for any payments of principal of or interest on the bonds, or for any claim based on any payment of principal or interest, or on the indenture or any supplemental indenture. (See Article XII.)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Each supplemental indenture establishing the terms of a series of bonds shall provide that such bonds, such supplemental indenture and the indenture will be governed by and construed in accordance with the laws of the State of California, without regard (to the extent permitted by applicable law) to conflicts of laws principles thereof. </w:t>
      </w:r>
    </w:p>
    <w:p>
      <w:pPr>
        <w:pStyle w:val="TextBody"/>
        <w:bidi w:val="0"/>
        <w:spacing w:before="360" w:after="0"/>
        <w:jc w:val="left"/>
        <w:rPr>
          <w:rFonts w:ascii="Times New Roman" w:hAnsi="Times New Roman"/>
          <w:b/>
          <w:sz w:val="20"/>
        </w:rPr>
      </w:pPr>
      <w:r>
        <w:rPr>
          <w:rFonts w:ascii="Times New Roman" w:hAnsi="Times New Roman"/>
          <w:b/>
          <w:sz w:val="20"/>
        </w:rPr>
        <w:t xml:space="preserve">Defined Terms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certain defined terms used in the indenture and in this description. Reference is made to the indenture for complete definitions of all such terms, as well as any other capitalized terms used in this prospectus for which no definition is provided. (See granting clauses and Article I.) </w:t>
      </w:r>
    </w:p>
    <w:p>
      <w:pPr>
        <w:pStyle w:val="TextBody"/>
        <w:bidi w:val="0"/>
        <w:spacing w:before="240" w:after="0"/>
        <w:jc w:val="left"/>
        <w:rPr/>
      </w:pPr>
      <w:r>
        <w:rPr/>
        <w:t>“</w:t>
      </w:r>
      <w:r>
        <w:rPr>
          <w:rFonts w:ascii="Times New Roman" w:hAnsi="Times New Roman"/>
          <w:i/>
          <w:sz w:val="20"/>
        </w:rPr>
        <w:t>Bondable Property</w:t>
      </w:r>
      <w:r>
        <w:rPr>
          <w:rFonts w:ascii="Times New Roman" w:hAnsi="Times New Roman"/>
          <w:sz w:val="20"/>
        </w:rPr>
        <w:t xml:space="preserve">” means all property owned by us on December 31, 1954, of the same nature as property defined in the indenture as Property Additions, and all Property Additions purchased, constructed, or otherwise acquired by us on or after January 1, 1955. </w:t>
      </w:r>
    </w:p>
    <w:p>
      <w:pPr>
        <w:pStyle w:val="TextBody"/>
        <w:bidi w:val="0"/>
        <w:spacing w:before="240" w:after="0"/>
        <w:jc w:val="left"/>
        <w:rPr/>
      </w:pPr>
      <w:r>
        <w:rPr/>
        <w:t>“</w:t>
      </w:r>
      <w:r>
        <w:rPr>
          <w:rFonts w:ascii="Times New Roman" w:hAnsi="Times New Roman"/>
          <w:i/>
          <w:sz w:val="20"/>
        </w:rPr>
        <w:t>Excepted Property</w:t>
      </w:r>
      <w:r>
        <w:rPr>
          <w:rFonts w:ascii="Times New Roman" w:hAnsi="Times New Roman"/>
          <w:sz w:val="20"/>
        </w:rPr>
        <w:t xml:space="preserve">” means all of the following property, whether owned on the date of the original indenture or thereafter acquired by us, all of which shall be excepted and excluded from the Mortgaged Property and the lien of the indenture (as used below in this definition, references to “now” mean October 1, 1940, the date of the original indenture, and references to “hereafter” mean after such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bills, notes and accounts receivable, cash on hand or in bank, contracts and operating agreements, other than those subjected to the lien of the indenture pursuant to a specified provision thereof, choses in action, and our interest in existing leases in which we are now the lessor and in leases hereafter made of portions of the Mortgaged Property in which we are the lessor;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Gas, manufactured commodities and other personal property manufactured or acquired for sale in the ordinary course of business; commodities and appliances constituting the whole or any part of stock or merchandise kept for sale; and fuel, repair parts, repair material and operating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motor vehicles and tools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Gas, coal, oil or other minerals (when produced or severed);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Bonds, notes, conditional sales contracts and other evidences of indebtedness, and shares of stock, and other certificates of interest, other than those which may be actually delivered to the trustee pursuant to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gas and/or oil acreage, gas and/or oil wells, gas and/or oil reserves, or gas and/or oil leaseholds hereafter acquired by us, or any property or equipment now or hereafter owned by us and used for the development of gas and/or oil acreage or for the drilling for or production of gas and/or oil from such acreage;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real property as described in the indenture and supplemental indentures.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Gross Property Additions</w:t>
      </w:r>
      <w:r>
        <w:rPr>
          <w:rFonts w:ascii="Times New Roman" w:hAnsi="Times New Roman"/>
          <w:sz w:val="20"/>
        </w:rPr>
        <w:t xml:space="preserve">” means, as applied to any particular period, all of the Property Additions purchased, constructed or otherwise acquired by us during such period, including Property Additions purchased, constructed or otherwise acquired during such period, but retired during such period. </w:t>
      </w:r>
    </w:p>
    <w:p>
      <w:pPr>
        <w:pStyle w:val="TextBody"/>
        <w:bidi w:val="0"/>
        <w:spacing w:before="240" w:after="0"/>
        <w:jc w:val="left"/>
        <w:rPr/>
      </w:pPr>
      <w:r>
        <w:rPr/>
        <w:t>“</w:t>
      </w:r>
      <w:r>
        <w:rPr>
          <w:rFonts w:ascii="Times New Roman" w:hAnsi="Times New Roman"/>
          <w:i/>
          <w:sz w:val="20"/>
        </w:rPr>
        <w:t>Mortgaged Property</w:t>
      </w:r>
      <w:r>
        <w:rPr>
          <w:rFonts w:ascii="Times New Roman" w:hAnsi="Times New Roman"/>
          <w:sz w:val="20"/>
        </w:rPr>
        <w:t xml:space="preserve">” means as of any particular time the property which at said time is covered or intended to be covered by the lien of the indenture; provided that moneys held by the trustee in trust for the payment, at maturity or on a date fixed for redemption, of specific bonds shall not be deemed to be a part of the Mortgaged Property. </w:t>
      </w:r>
    </w:p>
    <w:p>
      <w:pPr>
        <w:pStyle w:val="TextBody"/>
        <w:bidi w:val="0"/>
        <w:spacing w:before="240" w:after="0"/>
        <w:jc w:val="left"/>
        <w:rPr/>
      </w:pPr>
      <w:r>
        <w:rPr/>
        <w:t>“</w:t>
      </w:r>
      <w:r>
        <w:rPr>
          <w:rFonts w:ascii="Times New Roman" w:hAnsi="Times New Roman"/>
          <w:i/>
          <w:sz w:val="20"/>
        </w:rPr>
        <w:t>Net Bondable Value of Property Additions</w:t>
      </w:r>
      <w:r>
        <w:rPr>
          <w:rFonts w:ascii="Times New Roman" w:hAnsi="Times New Roman"/>
          <w:sz w:val="20"/>
        </w:rPr>
        <w:t xml:space="preserve">” means, at any particular time, the aggregate of the cost to us or, as to such Property Additions which have not been retired, the fair value to us, if the fair value is less than cost, of all Gross Property Additions purchased, constructed or otherwise acquired by us, after deducting therefrom the amounts specified in the following paragraphs (1), (2) and (3) and the greater of the amounts specified in the following paragraphs (A) or (B) after each of the amounts specified in said paragraphs (A) and (B) has been reduced by the amount of all credits taken on the basis of cash and bonds delivered to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all cash previously deposited with the trustee which shall have been withdrawn, pursuant to the indenture, on the basis of Property Additions;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by which cash, provided to be deposited with the trustee pursuant to any provision of the indenture, has been reduced pursuant to certain specified provisions of the indenture on the basis of Property Additions;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all credits taken pursuant to a specified provision of the indenture on the basis of Property Additions;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by which all credits taken pursuant to a specified provision of the indenture on the basis of Property Additions shall exceed whichever is the greater of the amounts specified in paragraphs (A) or (B) of this definition;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150% of the amount of all cash deposited as a basis for issuing additional bonds which is withdrawn pursuant to a specified provision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150% of the aggregate principal amount of additional bonds previously authenticated and delivered pursuant to a specified provision of the indenture upon the basis of Property Additions;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all appropriations of earnings for depreciation of Bondable Property made on or after January 1, 1955;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bonded cost of all Bondable Property previously (but on or after January 1, 1955) retired, excepting property to an amount not exceeding $5,000,000 owned by us on October 1, 1940, and built for the manufacture of gas from oil, and excepting property mentioned in paragraph (ii) next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excess, if any, of the bonded cost of all Bondable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(but on or after January 1, 1955) released from the lien of the indenture pursuant to a specified provision thereof, over the fair value thereof to us at the time of its release, as stated in an engineer’s certificate filed with the trustee or, if an independent engineer’s certificate is filed, then as stated in such independent engineer’s certificate,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(but on or after January 1, 1955) taken by exercise of a power of eminent domain, over the proceeds thereof paid to the trustee,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which cash proceeds from insurance on the Mortgaged Property have previously (but on or after January 1, 1955) been paid to the trustee, over the cash so paid to the trustee in respect thereof. </w:t>
            </w:r>
          </w:p>
        </w:tc>
      </w:tr>
    </w:tbl>
    <w:p>
      <w:pPr>
        <w:pStyle w:val="TextBody"/>
        <w:bidi w:val="0"/>
        <w:spacing w:before="240" w:after="0"/>
        <w:jc w:val="left"/>
        <w:rPr/>
      </w:pPr>
      <w:r>
        <w:rPr/>
        <w:t>“</w:t>
      </w:r>
      <w:r>
        <w:rPr>
          <w:rFonts w:ascii="Times New Roman" w:hAnsi="Times New Roman"/>
          <w:i/>
          <w:sz w:val="20"/>
        </w:rPr>
        <w:t>Net Earnings of the Corporation Available for Interest</w:t>
      </w:r>
      <w:r>
        <w:rPr>
          <w:rFonts w:ascii="Times New Roman" w:hAnsi="Times New Roman"/>
          <w:sz w:val="20"/>
        </w:rPr>
        <w:t xml:space="preserve">” means our net earnings ascertained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total operating revenues and the net non-operating revenues of our properties shall be ascertained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the total, determined as provided in subdivision (a), there shall be deducted (1) all operating expenses, including cost of gas purchased, all salaries, rentals, insurance, license and franchise fees, expenditures for ordinary repairs and maintenance, provision for uncollectible accounts, taxes (other than income and excess or other profits taxes which are imposed on or measured by income after the deduction of interest charges), but excluding all depreciation, depletion or property retirement appropriations, all interest charges, and amortization of debt discount and expense or premium, and (2) net non-operating losses of the properties of ours,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balance remaining after the deduction of the total amount computed pursuant to subdivision (b) from the total amount computed pursuant to subdivision (a) shall constitute the “Net Earnings of the Corporation Available for Interest,” subject to subdivisions (d), (e), (f), (g) and (h)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net non-operating revenues to be included in the foregoing calculation would exceed 5% of the net operating revenues so to be included, there shall be included in the foregoing calculation with respect to net non-operating revenues only an amount equal to 5% of such net operating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income received or accrued by us from securities and no profits or losses from the sale, abandonment, reclassification or revaluation of capital assets shall be included in making such computations.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 we shall have acquired any Property Additions or shall have been consolidated or merged with any other corporation, or shall have acquired all or substantially all of the assets of another corporation, within or after the particular period for which the calculation of Net Earnings of the Corporation Available for Interest is made, then, in computing the Net Earnings of the Corporation Available for Interest there shall be included, to the extent they may not have been otherwise included, the net earnings or net losses of such Property Additions or of such other corporation, as the case may be, for the whole of such period. The net earnings of such Property Additions, or of such other corporation, for the period preceding such acquisition or such consolidation or merger, shall be ascertained and computed as provided above in this definition as if such Property Additions or the assets of such other corporation, as the case may be, had been owned by us during the whole of such period, or as if such other corporation had been consolidated or merged with us prior to the first day of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 we shall have obtained the release of property, pursuant to a specified provision of the indenture, of an aggregate fair value in excess of $1,000,000, as shown by an engineer’s certificate, or shall have obtained the release of property the aggregate proceeds of which shall have exceeded $1,000,000, within or after the particular period for which the calculation of Net Earnings of the Corporation Available for Interest is made, then, in computing the Net Earnings of the Corporation Available for Interest, the net earnings or net losses of such property for the whole of such period shall be excluded to the extent possible on the basis of actual earnings and expenses of such property or on the basis of such estimates of the earnings and expenses of such property as the signers of an officers’ certificate filed with the trustee shall deem proper.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Earnings of the Corporation Available for Interest, whether of us or of some other corporation or of property, shall be determined in accordance with principles of sound accounting practice. </w:t>
            </w:r>
          </w:p>
        </w:tc>
      </w:tr>
    </w:tbl>
    <w:p>
      <w:pPr>
        <w:pStyle w:val="TextBody"/>
        <w:bidi w:val="0"/>
        <w:spacing w:before="240" w:after="0"/>
        <w:jc w:val="left"/>
        <w:rPr/>
      </w:pPr>
      <w:r>
        <w:rPr/>
        <w:t>“</w:t>
      </w:r>
      <w:r>
        <w:rPr>
          <w:rFonts w:ascii="Times New Roman" w:hAnsi="Times New Roman"/>
          <w:i/>
          <w:sz w:val="20"/>
        </w:rPr>
        <w:t>Net Investment in Mortgaged Property</w:t>
      </w:r>
      <w:r>
        <w:rPr>
          <w:rFonts w:ascii="Times New Roman" w:hAnsi="Times New Roman"/>
          <w:sz w:val="20"/>
        </w:rPr>
        <w:t xml:space="preserve">” means as of any particular time the total cost of the Mortgaged Property less the then related reserves for depreciation, depletion and amortization or other reserves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retirement of such property; all determined in compliance with the Uniform System of Accounts for Gas Corporations prescribed by the CPUC, effective January 1, 1949, or in compliance with such system of accounts as the CPUC or other similar regulatory body may from time to time prescribe, or to the extent that any such system is not so prescribed or is not applicable, then in accordance with sound accounting practice. </w:t>
      </w:r>
    </w:p>
    <w:p>
      <w:pPr>
        <w:pStyle w:val="TextBody"/>
        <w:bidi w:val="0"/>
        <w:spacing w:before="240" w:after="0"/>
        <w:jc w:val="left"/>
        <w:rPr/>
      </w:pPr>
      <w:r>
        <w:rPr/>
        <w:t>“</w:t>
      </w:r>
      <w:r>
        <w:rPr>
          <w:rFonts w:ascii="Times New Roman" w:hAnsi="Times New Roman"/>
          <w:i/>
          <w:sz w:val="20"/>
        </w:rPr>
        <w:t>Non-Bondable Property</w:t>
      </w:r>
      <w:r>
        <w:rPr>
          <w:rFonts w:ascii="Times New Roman" w:hAnsi="Times New Roman"/>
          <w:sz w:val="20"/>
        </w:rPr>
        <w:t xml:space="preserve">” means any property (other than Bondable Property) owned by us on December 31, 1954, or purchased, constructed, or otherwise acquired by us after that date. </w:t>
      </w:r>
    </w:p>
    <w:p>
      <w:pPr>
        <w:pStyle w:val="TextBody"/>
        <w:bidi w:val="0"/>
        <w:spacing w:before="240" w:after="0"/>
        <w:jc w:val="left"/>
        <w:rPr/>
      </w:pPr>
      <w:r>
        <w:rPr/>
        <w:t>“</w:t>
      </w:r>
      <w:r>
        <w:rPr>
          <w:rFonts w:ascii="Times New Roman" w:hAnsi="Times New Roman"/>
          <w:i/>
          <w:sz w:val="20"/>
        </w:rPr>
        <w:t>Permissible Encumbrances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of taxes and assessments not at the time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of taxes for the then-current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of specified taxes and assessments already due but the validity of which is being contested at the time by us in good faith, unless thereby in the opinion of counsel any of the Mortgaged Property may be lost or forfeited;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undetermined liens and charges incidental to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reserved to, or vested in, any municipality or public authority by the terms of any right, power, franchise, grant, license, permit or by any provision of law, to purchase or recapture or to designate a purchaser of, any of the Mortgaged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upon rights-of-way for transmission or distribution line purposes, provided that we have, in the opinion of counsel, power under eminent domain or similar statutes to condemn or acquire easements or rights-of-way sufficient for its purposes over the land covered by the easements or rights-of-way in question or other lands adjacent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easements or similar encumbrances the existence of which in the opinion of the signers of an engineer’s certificate filed at the particular time, does not impair the use of the property described in such certificate for the purposes for which it was acquired or is then used;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adverse rights or interests which, in the opinion of counsel, are unimportant and may properly be disregarded. </w:t>
            </w:r>
          </w:p>
        </w:tc>
      </w:tr>
    </w:tbl>
    <w:p>
      <w:pPr>
        <w:pStyle w:val="TextBody"/>
        <w:bidi w:val="0"/>
        <w:spacing w:before="240" w:after="0"/>
        <w:jc w:val="left"/>
        <w:rPr/>
      </w:pPr>
      <w:r>
        <w:rPr/>
        <w:t>“</w:t>
      </w:r>
      <w:r>
        <w:rPr>
          <w:rFonts w:ascii="Times New Roman" w:hAnsi="Times New Roman"/>
          <w:i/>
          <w:sz w:val="20"/>
        </w:rPr>
        <w:t>Property Additions</w:t>
      </w:r>
      <w:r>
        <w:rPr>
          <w:rFonts w:ascii="Times New Roman" w:hAnsi="Times New Roman"/>
          <w:sz w:val="20"/>
        </w:rPr>
        <w:t xml:space="preserve">” means, subject to certain exceptions pursuant to the terms of the indenture, any new or additional property, real or personal (including separate systems), and improvements, extensions, or additions (including in these terms equipment and appliances installed as part of our fixed property) to or about our plants, systems or properties, purchased, constructed, or otherwise acquired by us on or after January 1, 1955, and in every case properly chargeable to fixed property accounts, and used or useful for the business of purchasing, manufacturing, transporting, transmitting, distributing or supplying natural, manufactured or mixed gas and/or electricity for heat, fuel, light, power, refrigeration or other purposes and may include, subject to the foregoing, property acquired by us or by a successor corporation as a result of any consolidation or merger to which we or any successor corporation are a party; permanent improvements, extensions or additions to our properties in the process of construction or partially completed, in so far as actually constructed or completed; property purchased, constructed, or otherwise acquired to replace property retired; and rights of way, easements, property installed by us upon any such right of way or easement and improvements that are held by us, subject to the lien of the indenture and in or upon any public highway. The term “Property Additions” shall not include, among other things, goodwill; leases, operating agreements, contracts or franchises or governmental permits; shares of stock, evidences of indebtedness or any other securities; gas and/or oil acreage, wells, reserves, leaseholds or related property or equipment; merchandise acquired for resale; materials or supplies to be used for fixed capital purposes or in our operations; motor vehicles; or property subject to any liens other than Permissible Encumbrances. </w:t>
      </w:r>
    </w:p>
    <w:p>
      <w:pPr>
        <w:pStyle w:val="TextBody"/>
        <w:bidi w:val="0"/>
        <w:spacing w:before="240" w:after="0"/>
        <w:jc w:val="left"/>
        <w:rPr/>
      </w:pPr>
      <w:r>
        <w:rPr/>
        <w:t>“</w:t>
      </w:r>
      <w:r>
        <w:rPr>
          <w:rFonts w:ascii="Times New Roman" w:hAnsi="Times New Roman"/>
          <w:i/>
          <w:sz w:val="20"/>
        </w:rPr>
        <w:t>Refundable Bonds</w:t>
      </w:r>
      <w:r>
        <w:rPr>
          <w:rFonts w:ascii="Times New Roman" w:hAnsi="Times New Roman"/>
          <w:sz w:val="20"/>
        </w:rPr>
        <w:t xml:space="preserve">” means, at any particular time, all bonds which have been previously authenticated and delivered under the provisions of the indenture and issued by us and bonds, not issued by us, which have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established as refundable pursuant to the indenture; provided that such bonds, whether authenticated under the indenture or established as refundable, shall have been previously paid at maturity or redeemed or purchased (otherwise than out of funds included in the Mortgaged Property) and surrendered to the trustee, either canceled or uncanceled, or otherwise surrendered to the trustee, subject to certain exceptions provided in the indenture, and which shall not previously have been made the basis for the authentication and delivery of additional bonds or the withdrawal of cash under the indenture or the reduction of the amount of cash to be deposited under the indenture or paid or redeemed or purchased pursuant to, or used to reduce the amount of cash to be deposited pursuant to, or otherwise retired through the operation of, or used in compliance with the requirements of, the provisions of the maintenance and sinking fund established by the indenture or of any sinking fund, amortization fund, or analogous fund established by any supplemental indenture, which does not permit the authentication of additional bonds upon the basis of bonds so paid, redeemed, purchased, retired or used. Bonds and coupons for the payment or redemption of which moneys shall have been deposited (whether at or prior to maturity or the redemption date of such bonds) with the trustee if such bonds were issued under the indenture, or with the trustee of the other indenture under which such bonds were issued, shall be deemed to have been paid within the meaning of this definition; provided, however, that if such bonds are to be redeemed prior to the maturity thereof, notice of such redemption shall be given as provided in the indenture or pursuant to the redemption provisions of such other indenture, as the case may be, or provisions satisfactory to the trustee shall have been made for such publication.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68199_8"/>
      <w:bookmarkEnd w:id="18"/>
      <w:r>
        <w:rPr>
          <w:rFonts w:ascii="Times New Roman" w:hAnsi="Times New Roman"/>
          <w:b/>
          <w:sz w:val="20"/>
        </w:rPr>
        <w:t xml:space="preserve">DESCRIPTION OF SENIOR DEBT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general description of some of the terms and provisions of the senior debt securities we may offer and sell under this prospectus. To the extent the terms and provisions of any series of senior debt securities modify the general terms and provisions described below, such modifications will be described in a prospectus supplement or free writing prospectus relating to such series. Under this heading “Description of Senior Debt Securities,” references to “indenture” mean the senior indenture dated as of September 21, 2020 between us and U.S. Bank Trust Company, National Association, as successor trustee; and references to “we,” “us,” “our” and similar terms mean, unless otherwise specified or the context otherwise requires, Southern California Gas Company excluding its consolidated entities (if any). </w:t>
      </w:r>
    </w:p>
    <w:p>
      <w:pPr>
        <w:pStyle w:val="TextBody"/>
        <w:bidi w:val="0"/>
        <w:spacing w:before="240" w:after="0"/>
        <w:jc w:val="left"/>
        <w:rPr>
          <w:rFonts w:ascii="Times New Roman" w:hAnsi="Times New Roman"/>
          <w:sz w:val="20"/>
        </w:rPr>
      </w:pPr>
      <w:r>
        <w:rPr>
          <w:rFonts w:ascii="Times New Roman" w:hAnsi="Times New Roman"/>
          <w:sz w:val="20"/>
        </w:rPr>
        <w:t xml:space="preserve">The senior debt securities will be governed by the indenture. The indenture gives us broad authority to set the particular terms of each series of senior debt securities, including the right to modify certain of the terms contained in the indenture. The particular terms of a series of senior debt securities and the extent, if any, to which the particular terms of the series modify the terms of the indenture will be described in the applicable prospectus supplement or a free writing prospectus, relating to such series of senior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the full legal text of the matters described under this heading “Description of Senior Debt Securities.” The following description of certain provisions of the indenture and our senior debt securities is not complete and is subject to and qualified in its entirety by reference to all the provisions of the indenture, including definitions of terms used in the indenture, and the certificates evidencing the senior debt securities of each series, copies of which have been or will be filed or incorporated by reference as exhibits to the registration statement of which this prospectus is a part or to a document incorporated by reference in this prospectus and which may be obtained as described under the heading “Where You Can Find More Information.” We also include references in parentheses to particular sections of the indenture. Whenever we refer to particular sections or defined terms of the indenture in this prospectus or a prospectus supplement or free writing prospectus, those sections or defined terms are incorporated by reference in this prospectus or the applicable prospectus supplement or free writing prospectus. This description also is subject to and qualified by reference to the description of the particular terms of a particular series of senior debt securities described in the applicable prospectus supplement or free writing prospectus related to any offering of such series of senior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an unlimited amount of senior debt securities under the indenture in one or more series. We are not required to issue all senior debt securities of one series at the same time and, unless otherwise provided for a particular series of senior debt securities in the applicable prospectus supplement or a free writing prospectus, we may, without notice to or consent of the holders of the senior debt securities of any series, increase the aggregate principal amount of the debt securities of any series and issue additional debt securities of such series up to the maximum aggregate principal amount authorized with respect to such series as increased from time to time. Any additional senior debt securities so issued shall have the same form and terms (other than offering price, the date of issuance and, under certain circumstances, the date from which interest thereon shall begin to accrue and the first interest payment date) and shall carry the same right to receive accrued and unpaid interest as the senior debt securities previously issued, and such additional senior debt securities shall form a single series with the senior debt securities previously issued under the indenture, provided that such additional senior debt securities of such series shall be fungible with the senior debt securities of such series previously issued for United States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a prospectus supplement or free writing prospectus, our senior debt securities will not be subject to a sinking fund or entitled to any guarantees and you will not be permitted to require us to redeem or repurchase the senior debt securities at your option.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a prospectus supplement or free writing prospectus, the trustee shall serve as the initial paying agent and security registrar for our senior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issuance of each series of senior debt securities, the terms of the particular series of senior debt securities will be specified in either a supplemental indenture or a board resolution and one or more officers’ certificates. We refer you to the applicable prospectus supplement or free writing prospectus for a description of the following terms of each series of senior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to whom any interest shall be payable, if other than the person in whose name that security is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is payable or the method of determining such date and any right to shorten or extend the date on which the principal is payable and the conditions to any such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or method of determination of interest; the date or dates from which interest will accrue; the dates on which interest will be payable, which we refer to as the “interest payment dates”; the manner (if any) of determination of such interest payment dates; and any record dates for the interest payable on the interest payment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right to extend the interest payment periods or defer the payment of interest and the terms of such extension or deferral;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any premium and interest on the senior debt securities will be payable and whether, if acceptable to the trustee, any principal of such senior debt securities will be payable without presentation or surrender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or the date or dates on which, the price or prices at which and the terms and conditions upon which we may redeem the senior debt securities, in whole or in part, and the manner in which any election by us to redeem the senior debt securities shall be evidenced;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senior debt securities pursuant to any sinking fund, purchase fund or analogous provision, or any option of the registered holder to require us to redeem or purchase senior debt securities, and the terms and conditions upon which the senior debt securities will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senior debt securities will be issuable, if other than denominations of $2,000 and any integral multiples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principal of or any premium or interest on any senior debt securities may be determined with reference to an index or pursuant to a formula and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currencies or currency units in which the principal of and any premium or interest on the senior debt securities will be payable, if other than United States dollars, and the manner of determining the equivalent thereof in United States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our election or the election of the registered holder, the payments of principal of or any premium or interest on the senior debt securities will be payable in one or more currencies or currency units other than those in which the senior debt securities are stated to be payable, the terms and conditions upon which such election is to be made and the manner in which such amounts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the principal amount of the senior debt securities that will be payable upon declaration of acceleration of the maturity date, if other than the entire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which will be deemed to be the principal amount of the senior debt securities as of any date or dates before the stated maturity date, if the principal amount will not be determinable as of any such date or dates prior to the stated maturity date, including the principal amount which will be due and payable or outstanding as of any such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sections of the indenture providing for defeasance do not apply to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that the senior debt securities are to be issued in whole or in part in the form of one or more global securities and, in such case, the identity of the depositary for the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modification or deletion of any events of default or covenants provided in the indenture and any change in the acceleration provisions with respect to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covenants set forth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senior debt securities, including any other additions to, modifications of or deletions from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301.)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be our unsecured and unsubordinated obligations and will rank equally in right of payment with all of our other unsecured and unsubordinated indebtedness. The senior debt securities are the obligations of Southern California Gas Company exclusively, and are not the obligations of our consolidated entities (if any), our parent, Sempra, or any of our other affiliates. Although the senior debt securities will be our senior unsubordinated obligations, the outstanding first mortgage bonds will have a claim to the assets securing the first mortgage bonds prior to any claim by holders of the senior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of Senior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on the senior debt securities on each interest payment date to the person in whose name the senior debt securities are registered as of the close of business on the regular record date relating to the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However, if we default in paying interest on a senior debt security, we will pay defaulted interest, at our election, in either of the two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first propose to the trustee a payment date for the defaulted interest, and at the same time we will deposit with the trustee an amount to be paid in respect of the defaulted interest or make arrangements satisfactory to the trustee for such deposit before the date of the proposed payment. Next, the trustee will choose a special record date for determining which registered holders are entitled to the payment and cause notice to be given to each registered holder of the senior debt securities at least 10 days before the special record date. The special record date will be between 10 and 15 days before the proposed payment date. Finally, the defaulted interest will be paid on the payment date to the registered holder of the senior debt security as of the close of business on the special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Alternatively, we can propose to the trustee any other lawful manner of payment that is not inconsistent with the requirements of any securities exchange on which the senior debt securities are listed for trading. If the trustee thinks the proposal is practicable, payment will be made as proposed.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307.)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on the senior debt securities at stated maturity, upon redemption or as otherwise required, upon presentation of the senior debt securities at the office of the paying agent, which initially will be the trustee or such other paying agent designated in accordance with the indenture. Any other paying agent initially designated for the senior debt securities of a particular series will be named in the applicable prospectus supplement or free writing prospectus. In our discretion, we may remove and/or appoint one or more additional paying agents and change or designate one or more additional places for payment. A place for payment of the senior debt securities will be provided in the Borough of Manhattan, The City of New York, New York. (See Section 1002.)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interest payment date, redemption date or the maturity date of the senior debt securities is not a business day at any place of payment, then payment of the principal and premium, if any, or interest, as applicable, may be made on the next business day at that place of payment. In that case, no interest will accrue on the amount payable for the period from and after the applicable interest payment date, redemption date or maturity date, as the case may be. (See Section 113.) </w:t>
      </w:r>
    </w:p>
    <w:p>
      <w:pPr>
        <w:pStyle w:val="TextBody"/>
        <w:bidi w:val="0"/>
        <w:spacing w:before="360" w:after="0"/>
        <w:jc w:val="left"/>
        <w:rPr>
          <w:rFonts w:ascii="Times New Roman" w:hAnsi="Times New Roman"/>
          <w:b/>
          <w:sz w:val="20"/>
        </w:rPr>
      </w:pPr>
      <w:r>
        <w:rPr>
          <w:rFonts w:ascii="Times New Roman" w:hAnsi="Times New Roman"/>
          <w:b/>
          <w:sz w:val="20"/>
        </w:rPr>
        <w:t xml:space="preserve">Form; Transfers; Exchanges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initially will be issued in book-entry form and represented by one or more global securities deposited with, or on behalf of, The Depository Trust Company, New York, New York, as depositary, which we refer to as “DTC” or the “depositary” in this prospectus, and registered in the name of Cede &amp; Co., its nominee. This means that you will not be entitled to receive a certificate for the senior debt securities that you purchase except under the limited circumstances described below under the heading “Global Securities.” If any of the senior debt securities are issued in certificated form they will be issued only in fully registered form without coupons, in denominations of $2,000 and integral multiples of $1,000. (See Section 302.) </w:t>
      </w:r>
    </w:p>
    <w:p>
      <w:pPr>
        <w:pStyle w:val="TextBody"/>
        <w:bidi w:val="0"/>
        <w:spacing w:before="240" w:after="0"/>
        <w:jc w:val="left"/>
        <w:rPr>
          <w:rFonts w:ascii="Times New Roman" w:hAnsi="Times New Roman"/>
          <w:sz w:val="20"/>
        </w:rPr>
      </w:pPr>
      <w:r>
        <w:rPr>
          <w:rFonts w:ascii="Times New Roman" w:hAnsi="Times New Roman"/>
          <w:sz w:val="20"/>
        </w:rPr>
        <w:t xml:space="preserve">You will receive payments and may transfer senior debt securities in book-entry form only through the facilities of DTC and its direct and indirect participants as described below under the heading “Global Securities.” We will maintain an office or agency in the Borough of Manhattan, The City of New York where notices and demands in respect of the senior debt securities and the indenture may be delivered to us and where certificated senior debt securities may be surrendered for payment, registration of transfer or exchange. That office or agency will initially be an office of the trustee, which is currently located at 100 Wall Street, Suite 1600, New York, New York 10005. (See Section 1002.) </w:t>
      </w:r>
    </w:p>
    <w:p>
      <w:pPr>
        <w:pStyle w:val="TextBody"/>
        <w:bidi w:val="0"/>
        <w:spacing w:before="240" w:after="0"/>
        <w:jc w:val="left"/>
        <w:rPr>
          <w:rFonts w:ascii="Times New Roman" w:hAnsi="Times New Roman"/>
          <w:sz w:val="20"/>
        </w:rPr>
      </w:pPr>
      <w:r>
        <w:rPr>
          <w:rFonts w:ascii="Times New Roman" w:hAnsi="Times New Roman"/>
          <w:sz w:val="20"/>
        </w:rPr>
        <w:t xml:space="preserve">You may have your certificated senior debt securities divided into senior debt securities of smaller authorized denominations, or combined into senior debt securities of larger authorized denominations, as long as the total principal amount is not changed. This is called an “exchange.” (See Section 305.) </w:t>
      </w:r>
    </w:p>
    <w:p>
      <w:pPr>
        <w:pStyle w:val="TextBody"/>
        <w:bidi w:val="0"/>
        <w:spacing w:before="240" w:after="0"/>
        <w:jc w:val="left"/>
        <w:rPr>
          <w:rFonts w:ascii="Times New Roman" w:hAnsi="Times New Roman"/>
          <w:sz w:val="20"/>
        </w:rPr>
      </w:pPr>
      <w:r>
        <w:rPr>
          <w:rFonts w:ascii="Times New Roman" w:hAnsi="Times New Roman"/>
          <w:sz w:val="20"/>
        </w:rPr>
        <w:t xml:space="preserve">You may exchange or transfer certificated senior debt securities at the office of the trustee, as security registrar. The security registrar acts as our agent for registering senior debt securities in the names of holders and transferring and exchanging senior debt securities. (See Section 305.) </w:t>
      </w:r>
    </w:p>
    <w:p>
      <w:pPr>
        <w:pStyle w:val="TextBody"/>
        <w:bidi w:val="0"/>
        <w:spacing w:before="240" w:after="0"/>
        <w:jc w:val="left"/>
        <w:rPr>
          <w:rFonts w:ascii="Times New Roman" w:hAnsi="Times New Roman"/>
          <w:sz w:val="20"/>
        </w:rPr>
      </w:pPr>
      <w:r>
        <w:rPr>
          <w:rFonts w:ascii="Times New Roman" w:hAnsi="Times New Roman"/>
          <w:sz w:val="20"/>
        </w:rPr>
        <w:t xml:space="preserve">In our discretion, we may change the place for registration of transfer and exchange of the senior debt securities and for delivery of notices and demands in respect of the senior debt securities and the indenture, and we may remove and/or appoint one or more additional security registrars or act as our own agent for this purpose. (See Sections 305 and 1002.) </w:t>
      </w:r>
    </w:p>
    <w:p>
      <w:pPr>
        <w:pStyle w:val="TextBody"/>
        <w:bidi w:val="0"/>
        <w:spacing w:before="240" w:after="0"/>
        <w:jc w:val="left"/>
        <w:rPr>
          <w:rFonts w:ascii="Times New Roman" w:hAnsi="Times New Roman"/>
          <w:sz w:val="20"/>
        </w:rPr>
      </w:pPr>
      <w:r>
        <w:rPr>
          <w:rFonts w:ascii="Times New Roman" w:hAnsi="Times New Roman"/>
          <w:sz w:val="20"/>
        </w:rPr>
        <w:t xml:space="preserve">There will be no service charge for any transfer or exchange of the senior debt securities, but you may be required to pay a sum sufficient to cover any tax or other governmental charge payable in connection with the transfer or exchange. We may block the transfer or exchange of (i) any senior debt securities during a period of 15 days before mailing any notice of redemption of such senior debt securities or (ii) any senior debt security selected for redemption in whole or in part, except the unredeemed portion of any senior debt security being redeemed in part. (See Section 305.)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redemption provisions, if any, applicable to the senior debt securities of any series will be set forth in the applicable prospectus supplement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mail notice of any redemption at least 30 days, but not more than 60 days, before the redemption date to each registered holder of the senior debt securities to be redeemed. Once notice of redemption is mailed, the senior debt securities called for redemption will become due and payable on the redemption date and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redemption price, plus any accrued and unpaid interest to the redemption date. If we elect to redeem all or a portion of the senior debt securities, that redemption will not be conditional upon receipt by the trustee or other paying agent of monies sufficient to pay the redemption price. (See Section 1104.)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and accrued interest, if any, from and after the redemption date the senior debt securities or portions thereof called for redemption will cease to bear interest. We will pay the redemption price and any accrued interest once the senior debt securities are surrendered for redemption. (See Section 1105.) If only part of a senior debt security is redeemed, the trustee will deliver new senior debt securities of the same series for the remaining portion without charge. (See Section 1106.)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elect to redeem only a portion of the senior debt securities, the senior debt securities to be redeemed will be selected in accordance with the procedures of DTC, in the case of senior debt securities represented by one or more global securities, or by the trustee by a method the trustee deems to be fair and appropriate, in the case of senior debt securities that are not represented by one or more global securities. (See Section 1103.)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occurs with respect to the senior debt securities of any series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any interest on any senior debt securities of such series when it becomes due and payable and such default continues for 30 days; provided, however, that, if we are permitted by the terms of the senior debt securities of such series to extend or defer the payment of interest on such senior debt securities and if we have elected such an extension or deferral in accordance with the terms of such senior debt securities, then a failure to pay interest prior to the end of such extension period or deferral period, as the case may be, shall not constitute an event of default with respect to the senior debt securities of such series unless we are required, by the terms of the senior debt securities of such series, to make a payment of interest on a redemption date or other date during such extension or deferral period and fail to make such payment within 30 days of the due date, in which case such failure shall be an event of default with respect to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any principal of or premium on any senior debt securities of such series when it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make a sinking fund payment with respect to any senior debt securities of such series when and as due and such default continues for 60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remain in default in the performance or breach of any other covenant or warranty in the indenture (excluding covenants and warranties solely applicable to one or more other series of senior debt securities issued under the indenture) or the senior debt securities of such series for 60 days after there has been given to us, by registered or certified mail, a written notice of default specifying such default or breach and requiring its remedy; the notice must be sent by either the trustee or registered holders of at least 33% in principal amount of the outstanding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other specified events of bankruptcy, insolvency, receivership or reorganization occur with respect to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specified in the applicable prospectus supplement or free writing prospectus with respect to a particular series of senior debt securities occurs.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501.) </w:t>
      </w:r>
    </w:p>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series of senior debt securities necessarily constitutes an event of default with respect to the senior debt securities of any other series issued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Remedies </w:t>
      </w:r>
    </w:p>
    <w:p>
      <w:pPr>
        <w:pStyle w:val="TextBody"/>
        <w:bidi w:val="0"/>
        <w:spacing w:before="120" w:after="0"/>
        <w:jc w:val="left"/>
        <w:rPr>
          <w:rFonts w:ascii="Times New Roman" w:hAnsi="Times New Roman"/>
          <w:i/>
          <w:sz w:val="20"/>
        </w:rPr>
      </w:pPr>
      <w:r>
        <w:rPr>
          <w:rFonts w:ascii="Times New Roman" w:hAnsi="Times New Roman"/>
          <w:i/>
          <w:sz w:val="20"/>
        </w:rPr>
        <w:t xml:space="preserve">Acceleration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occurs and is continuing with respect to any series of senior debt securities, then either the trustee or the registered holders of at least 33% in principal amount of the outstanding senior debt securities of that series may declare the principal amount of all of the senior debt securities of that series, together with accrued and unpaid interest thereon, to be due and payable immediately, and upon any such declaration the principal of and accrued and unpaid interest on the senior debt securities of that series shall become immediately due and payable (notwithstanding, if the terms of the senior debt securities of such series permit us to defer or extend the payment of interest thereon, any such extension or deferral). (See Section 502.) </w:t>
      </w:r>
    </w:p>
    <w:p>
      <w:pPr>
        <w:pStyle w:val="TextBody"/>
        <w:bidi w:val="0"/>
        <w:spacing w:before="360" w:after="0"/>
        <w:jc w:val="left"/>
        <w:rPr>
          <w:rFonts w:ascii="Times New Roman" w:hAnsi="Times New Roman"/>
          <w:i/>
          <w:sz w:val="20"/>
        </w:rPr>
      </w:pPr>
      <w:r>
        <w:rPr>
          <w:rFonts w:ascii="Times New Roman" w:hAnsi="Times New Roman"/>
          <w:i/>
          <w:sz w:val="20"/>
        </w:rPr>
        <w:t xml:space="preserve">Rescission of Acceleration </w:t>
      </w:r>
    </w:p>
    <w:p>
      <w:pPr>
        <w:pStyle w:val="TextBody"/>
        <w:bidi w:val="0"/>
        <w:spacing w:before="120" w:after="0"/>
        <w:jc w:val="left"/>
        <w:rPr>
          <w:rFonts w:ascii="Times New Roman" w:hAnsi="Times New Roman"/>
          <w:sz w:val="20"/>
        </w:rPr>
      </w:pPr>
      <w:r>
        <w:rPr>
          <w:rFonts w:ascii="Times New Roman" w:hAnsi="Times New Roman"/>
          <w:sz w:val="20"/>
        </w:rPr>
        <w:t xml:space="preserve">After the declaration of acceleration has been made with respect to any series of senior debt securities and before the trustee has obtained a judgment or decree for payment of the money due, the event of default giving rise to the declaration will be deemed to have been waived and the declaration and its consequences will be rescinded and annulled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pay or deposit with the trustee a sum sufficient to pay: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overdue interest on the senior debt securities of that series, other than interest which has become due by declaration of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of and any premium on the senior debt securities of that series which have become due otherwise than by the declaration of acceleration, and overdue interest on these amounts to the extent lawful;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on overdue interest, other than interest which has become due by declaration of acceleration, on the senior debt securities of that series to the extent lawful;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amounts due to the trustee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with respect to the senior debt securities of that series, other than the nonpayment of the principal and interest which has become due solely by the declaration of acceleration, have been cured or waived as provided in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502.)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as to waiver of defaults, see “—Waiver of Default and of Compliance” below. </w:t>
      </w:r>
    </w:p>
    <w:p>
      <w:pPr>
        <w:pStyle w:val="TextBody"/>
        <w:bidi w:val="0"/>
        <w:spacing w:before="360" w:after="0"/>
        <w:jc w:val="left"/>
        <w:rPr>
          <w:rFonts w:ascii="Times New Roman" w:hAnsi="Times New Roman"/>
          <w:i/>
          <w:sz w:val="20"/>
        </w:rPr>
      </w:pPr>
      <w:r>
        <w:rPr>
          <w:rFonts w:ascii="Times New Roman" w:hAnsi="Times New Roman"/>
          <w:i/>
          <w:sz w:val="20"/>
        </w:rPr>
        <w:t xml:space="preserve">Control by Registered Holders; Limitations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with respect to the senior debt securities of any series occurs and is continuing, the registered holders of a majority in principal amount of the outstanding senior debt securities of that series, voting as a single class without regard to the holders of outstanding senior debt securities of any other series that may also be in default, will have the right to direct the time, method and place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conducting any proceeding for any remedy available to the trustee with respect to the senior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exercising any trust or power conferred on the trustee with respect to the senior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rights of registered holders to give directions are subject to the following limitations: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registered holders’ directions do not conflict with any law or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is not unduly prejudicial to the rights of holders of the senior debt securities of that series who do not join in that 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may also take any other action it deems proper which is not inconsistent with the registered holders’ direction. (See Sections 512 and 603.)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provides that no registered holder of senior debt securities of any series will have any right to institute any proceeding, judicial or otherwise, with respect to the indenture or for the appointment of a receiver or for any other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registered holder has previously given the trustee written notice of a continuing event of default with respect to the senior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registered holders of at least 33% in principal amount of the outstanding senior debt securities of that series have made written request to the trustee to institute proceedings in respect of that event of default and have offered the trustee reasonable indemnity against costs, expenses and liabilities incurred in complying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60 days after receipt of the notice, the trustee has failed to institute a proceeding and no direction inconsistent with the request has been given to the trustee during the 60-day period by the registered holders of a majority in principal amount of outstanding senior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no registered holder will be entitled to institute any action if and to the extent that the action would affect, disturb or prejudice the rights of other registered holders of senior debt securities. (See Section 507.) </w:t>
      </w:r>
    </w:p>
    <w:p>
      <w:pPr>
        <w:pStyle w:val="TextBody"/>
        <w:bidi w:val="0"/>
        <w:spacing w:before="240" w:after="0"/>
        <w:jc w:val="left"/>
        <w:rPr>
          <w:rFonts w:ascii="Times New Roman" w:hAnsi="Times New Roman"/>
          <w:sz w:val="20"/>
        </w:rPr>
      </w:pPr>
      <w:r>
        <w:rPr>
          <w:rFonts w:ascii="Times New Roman" w:hAnsi="Times New Roman"/>
          <w:sz w:val="20"/>
        </w:rPr>
        <w:t xml:space="preserve">However, each registered holder has an absolute and unconditional right to receive payment when due and to bring a suit to enforce that right. (See Section 508.) </w:t>
      </w:r>
    </w:p>
    <w:p>
      <w:pPr>
        <w:pStyle w:val="TextBody"/>
        <w:bidi w:val="0"/>
        <w:spacing w:before="360" w:after="0"/>
        <w:jc w:val="left"/>
        <w:rPr>
          <w:rFonts w:ascii="Times New Roman" w:hAnsi="Times New Roman"/>
          <w:i/>
          <w:sz w:val="20"/>
        </w:rPr>
      </w:pPr>
      <w:r>
        <w:rPr>
          <w:rFonts w:ascii="Times New Roman" w:hAnsi="Times New Roman"/>
          <w:i/>
          <w:sz w:val="20"/>
        </w:rPr>
        <w:t xml:space="preserve">Notice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trustee is required to give the registered holders of senior debt securities of the affected series notice of any default under the indenture with respect to the senior debt securities of that series to the extent required by the Trust Indenture Act; except that in the case of an event of default of the character specified above in the fourth bullet under “—Events of Default,” no notice will be given to such registered holders until at least 30 days after the occurrence of the default. (See Section 602.) The Trust Indenture Act currently permits the trustee to withhold notices of default (except for certain payment defaults) if the trustee in good faith determines the withholding of the notice to be in the interests of the registered holders.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the trustee with an annual statement of whether we are in default in the performance or observance of any of the terms, provisions and conditions in the indenture. (See Section 1005.) </w:t>
      </w:r>
    </w:p>
    <w:p>
      <w:pPr>
        <w:pStyle w:val="TextBody"/>
        <w:bidi w:val="0"/>
        <w:spacing w:before="360" w:after="0"/>
        <w:jc w:val="left"/>
        <w:rPr>
          <w:rFonts w:ascii="Times New Roman" w:hAnsi="Times New Roman"/>
          <w:i/>
          <w:sz w:val="20"/>
        </w:rPr>
      </w:pPr>
      <w:r>
        <w:rPr>
          <w:rFonts w:ascii="Times New Roman" w:hAnsi="Times New Roman"/>
          <w:i/>
          <w:sz w:val="20"/>
        </w:rPr>
        <w:t xml:space="preserve">Waiver of Default and of Compliance </w:t>
      </w:r>
    </w:p>
    <w:p>
      <w:pPr>
        <w:pStyle w:val="TextBody"/>
        <w:bidi w:val="0"/>
        <w:spacing w:before="120" w:after="0"/>
        <w:jc w:val="left"/>
        <w:rPr>
          <w:rFonts w:ascii="Times New Roman" w:hAnsi="Times New Roman"/>
          <w:sz w:val="20"/>
        </w:rPr>
      </w:pPr>
      <w:r>
        <w:rPr>
          <w:rFonts w:ascii="Times New Roman" w:hAnsi="Times New Roman"/>
          <w:sz w:val="20"/>
        </w:rPr>
        <w:t xml:space="preserve">The registered holders of a majority in principal amount of the outstanding senior debt securities of any series, voting as a single class without regard to the holders of outstanding senior debt securities of any other series, may waive, on behalf of all registered holders of the senior debt securities of that series, any past default under the indenture, except a default in the payment of principal, premium (if any) or interest, or with respect to compliance with certain covenants or provisions of the indenture that cannot be modified or amended without the consent of the registered holder of each outstanding senior debt security of that series. (See Section 513.)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certain covenants in the indenture or otherwise provided with respect to senior debt securities of any series may be waived before the time specified for compliance by the registered holders of a majority in principal amount of the outstanding senior debt securities of such series. (See Section 1006.)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and Conveyance of Assets as an Entirety; No Financial Covenants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not to consolidate or merge with or into any other entity, or to sell, transfer, lease or otherwise convey our property and assets as an entirety or substantially as an entirety to any other entity,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we are the continuing entity (in the case of a merger) or (ii) the successor entity formed by such consolidation or into which we are merged or which acquires by sale, transfer, lease or other conveyance our property and assets, as an entirety or substantially as an entirety, is a corporation organized and existing under the laws of the United States of America or any State thereof or the District of Columbia and expressly assumes, by supplemental indenture, the due and punctual payment of the principal, premium (if any) and interest on all the outstanding senior debt securities and the performance of every obligation in the indenture and such outstanding senior debt securities to be performed by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and no event which after notice or lapse of time or both would become an event of default, has or will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the indenture nor the senior debt securities contain any financial or other similar restrictive covenants. </w:t>
      </w:r>
    </w:p>
    <w:p>
      <w:pPr>
        <w:pStyle w:val="TextBody"/>
        <w:bidi w:val="0"/>
        <w:spacing w:before="240" w:after="0"/>
        <w:jc w:val="left"/>
        <w:rPr>
          <w:rFonts w:ascii="Times New Roman" w:hAnsi="Times New Roman"/>
          <w:sz w:val="20"/>
        </w:rPr>
      </w:pPr>
      <w:r>
        <w:rPr>
          <w:rFonts w:ascii="Times New Roman" w:hAnsi="Times New Roman"/>
          <w:sz w:val="20"/>
        </w:rPr>
        <w:t xml:space="preserve">(See Section 801.)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t>
      </w:r>
    </w:p>
    <w:p>
      <w:pPr>
        <w:pStyle w:val="TextBody"/>
        <w:bidi w:val="0"/>
        <w:spacing w:before="120" w:after="0"/>
        <w:jc w:val="left"/>
        <w:rPr>
          <w:rFonts w:ascii="Times New Roman" w:hAnsi="Times New Roman"/>
          <w:i/>
          <w:sz w:val="20"/>
        </w:rPr>
      </w:pPr>
      <w:r>
        <w:rPr>
          <w:rFonts w:ascii="Times New Roman" w:hAnsi="Times New Roman"/>
          <w:i/>
          <w:sz w:val="20"/>
        </w:rPr>
        <w:t xml:space="preserve">Without Registered Holder Consent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any registered holders of outstanding senior debt securities, we and the trustee may enter into one or more supplemental indentures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entity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one or more covenants of ours for the benefit of the holders of all or any series of senior debt securities or to surrender any right or power conferred upon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for all or any series of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or change any of the provisions of the indenture to the extent necessary to permit or facilitate the issuance of senior debt securities in bearer form or to facilitate the issuance of senior debt securities in uncertificated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or eliminate any provision of the indenture so long as the change or elimination does not apply to any senior debt securities entitled to the benefit of such provision, or to add any new provision to the indenture provided that any such addition does not apply to any outstanding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security for the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senior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of a separate or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or to make any other changes that do not adversely affect the interests of the holders of senior debt securities of any series in any material respect;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terms of any series of senior debt securities, any officers’ certificate or supplemental indenture establishing the form or terms of such series of senior debt securities or, insofar as relates to such series of senior debt securities, the indenture to any terms set forth in the description of such series of senior debt securities appearing under the heading “Description of Debt Securities,” “Description of Notes” or other similar headings in the offering memorandum,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writing prospectus or other like offering document relating to the initial offering of such series of senior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901.) </w:t>
      </w:r>
    </w:p>
    <w:p>
      <w:pPr>
        <w:pStyle w:val="TextBody"/>
        <w:bidi w:val="0"/>
        <w:spacing w:before="360" w:after="0"/>
        <w:jc w:val="left"/>
        <w:rPr>
          <w:rFonts w:ascii="Times New Roman" w:hAnsi="Times New Roman"/>
          <w:i/>
          <w:sz w:val="20"/>
        </w:rPr>
      </w:pPr>
      <w:r>
        <w:rPr>
          <w:rFonts w:ascii="Times New Roman" w:hAnsi="Times New Roman"/>
          <w:i/>
          <w:sz w:val="20"/>
        </w:rPr>
        <w:t xml:space="preserve">With Registered Holder Consent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following sentence, we and the trustee may, with some exceptions, amend or modify the indenture with the consent of the registered holders of a majority in principal amount of the senior debt securities of each series affected by the amendment or modification. However, no amendment or modification may, without the consent of the registered holder of each outstanding senior debt security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premium (if any) or interest on any senior debt security or reduce the principal amount, interest or any premium payable or change any place of payment where or the currency in which any senior debt security is payable, or impair the right to bring suit to enforce any payment, or, if we have the right to extend or defer the payment of interest on such senior debt security, to increase the maximum time period of any such extension or deferral or increase the maximum number of times we may extend or defer any such interest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percentages of registered holders whose consent is required for any supplemental indenture or waiver;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certain modifications to certain provisions in the indenture relating to supplemental indentures and waivers of certain covenants and past defaults.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which changes or eliminates any covenant or other provision of the indenture expressly included solely for the benefit of holders of senior debt securities of one or more particular series will be deemed not to affect the rights under the indenture of the holders of senior debt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(See Section 902.)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unless the terms of the particular series of senior debt securities provide otherwise, that we may, upon satisfying several conditions, cause ourselves to be discharged from our obligations, with some exceptions, with respect to any series of senior debt securities, which we refer to as “defeasance.” </w:t>
      </w:r>
    </w:p>
    <w:p>
      <w:pPr>
        <w:pStyle w:val="TextBody"/>
        <w:bidi w:val="0"/>
        <w:spacing w:before="240" w:after="0"/>
        <w:jc w:val="left"/>
        <w:rPr>
          <w:rFonts w:ascii="Times New Roman" w:hAnsi="Times New Roman"/>
          <w:sz w:val="20"/>
        </w:rPr>
      </w:pPr>
      <w:r>
        <w:rPr>
          <w:rFonts w:ascii="Times New Roman" w:hAnsi="Times New Roman"/>
          <w:sz w:val="20"/>
        </w:rPr>
        <w:t xml:space="preserve">One condition we must satisfy is the irrevocable deposit with the trustee, in trust, of money and/or government obligations which, through the scheduled payment of principal and interest on those obligations, would provide sufficient moneys to pay the principal of and any premium and interest on the senior debt securities of the applicable series on the maturity dates of the payments or upon redemption.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be required to deliver an opinion of counsel to the effect that a holder of senior debt securities of the applicable series will not recognize income, gain or loss for federal income tax purposes as a result of the defeasance and will be subject to federal income tax on the same amounts, at the same times and in the same manner as if that defeasance had not occurred. The opinion of counsel must be based upon a ruling of the Internal Revenue Service or a change in law after the date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(See Article XIII.)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cease to be of further effect with respect to any series of senior debt securities, and we will be deemed to have satisfied and discharged all of our obligations under the indenture with respect to the senior debt securities of such series, except as noted below,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senior debt securities of such series have been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senior debt securities of such series not delivered to the trustee for cancellation have become due and payable or will become due and payable within one year at their stated maturity or on a redemption date and we have deposited with the trustee, in trust, funds that are sufficient to pay and discharge the entire indebtedness on such senior debt securities, for principal and any premium and interest to the date of such deposit (in the case such outstanding senior debt securities have become due and payable) or to the stated maturity or redemption date,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by us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all conditions precedent in the indenture relating to the satisfaction and discharge of the indenture as to such series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the indenture with respect to any series of senior debt securities, we will remain obligated to pay amounts due under certain provisions of the indenture and to perform certain ministerial tasks as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(See Section 401.)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the Trustee; Deemed Resignation </w:t>
      </w:r>
    </w:p>
    <w:p>
      <w:pPr>
        <w:pStyle w:val="TextBody"/>
        <w:bidi w:val="0"/>
        <w:spacing w:before="120" w:after="0"/>
        <w:jc w:val="left"/>
        <w:rPr>
          <w:rFonts w:ascii="Times New Roman" w:hAnsi="Times New Roman"/>
          <w:sz w:val="20"/>
        </w:rPr>
      </w:pPr>
      <w:r>
        <w:rPr>
          <w:rFonts w:ascii="Times New Roman" w:hAnsi="Times New Roman"/>
          <w:sz w:val="20"/>
        </w:rPr>
        <w:t xml:space="preserve">The trustee with respect to any series of senior debt securities may resign at any time by giving written notice to us. The trustee may also be removed with respect to the senior debt securities of any series by the registered holders of a majority in principal amount of the outstanding senior debt securities of such series. No resignation or removal of the trustee and no appointment of a successor trustee will become effective until the acceptance of appointment by a successor trustee in accordance with the requirements of the indenture. (See Section 610.)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certain senior debt securities, including those for which payment or redemption money has been deposited or set aside in trust as described under “—Satisfaction and Discharge” above, will not be deemed to be “outstanding” in determining whether the registered holders of the requisite principal amount of the outstanding senior debt securities have given or taken any demand, direction, consent or other action under the indenture as of any date. (See Section 101.) </w:t>
      </w:r>
    </w:p>
    <w:p>
      <w:pPr>
        <w:pStyle w:val="TextBody"/>
        <w:bidi w:val="0"/>
        <w:spacing w:before="240" w:after="0"/>
        <w:jc w:val="left"/>
        <w:rPr>
          <w:rFonts w:ascii="Times New Roman" w:hAnsi="Times New Roman"/>
          <w:sz w:val="20"/>
        </w:rPr>
      </w:pPr>
      <w:r>
        <w:rPr>
          <w:rFonts w:ascii="Times New Roman" w:hAnsi="Times New Roman"/>
          <w:sz w:val="20"/>
        </w:rPr>
        <w:t xml:space="preserve">We will be entitled to set any day as a record date for the purpose of determining the registered holders of outstanding senior debt securities of any series entitled to give or take any demand, direction, consent or other action under the indenture, in the manner and subject to the limitations provided in the indenture. In certain circumstances, the trustee also will be entitled to set a record date for action by registered holders of any series of outstanding senior debt securities. If a record date is set for any action to be taken by registered holders of particular senior debt securities, the action may be taken only by persons who are registered holders of the respective senior debt securities on the record date. (See Section 104.)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senior debt securities will be governed by and construed in accordance with the laws of the State of New York, without regard to conflicts of laws principles thereof. (See Section 112.)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68199_9"/>
      <w:bookmarkEnd w:id="19"/>
      <w:r>
        <w:rPr>
          <w:rFonts w:ascii="Times New Roman" w:hAnsi="Times New Roman"/>
          <w:b/>
          <w:sz w:val="20"/>
        </w:rPr>
        <w:t xml:space="preserve">DESCRIPTION OF SERIES PREFERRED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general description of some of the terms and provisions of the series preferred stock, without par value (the “series preferred stock”), that we may offer and sell under this prospectus and also describes certain general terms of our preferred stock, series A preferred stock and preference stock (as those terms are defined below) authorized by our restated articles of incorporation. To the extent the terms and provisions of any series of series preferred stock modify the general terms and provisions described below, such modifications will be described in a prospectus supplement or free writing prospectus relating to such series. Under this heading “Description of Series Preferred Stock,” references to “we,” “us,” “our” and similar terms mean, unless otherwise specified or the context otherwise requires, Southern California Gas Company excluding its consolidated entities (if any). </w:t>
      </w:r>
    </w:p>
    <w:p>
      <w:pPr>
        <w:pStyle w:val="TextBody"/>
        <w:bidi w:val="0"/>
        <w:spacing w:before="240" w:after="0"/>
        <w:jc w:val="left"/>
        <w:rPr>
          <w:rFonts w:ascii="Times New Roman" w:hAnsi="Times New Roman"/>
          <w:sz w:val="20"/>
        </w:rPr>
      </w:pPr>
      <w:r>
        <w:rPr>
          <w:rFonts w:ascii="Times New Roman" w:hAnsi="Times New Roman"/>
          <w:sz w:val="20"/>
        </w:rPr>
        <w:t xml:space="preserve">The series preferred stock will be governed by our restated articles of incorporation and bylaws and applicable California law. Our restated articles of incorporation give us broad authority to set the particular terms of each series of series preferred stock. The particular terms of a series of series preferred stock will be described in the applicable prospectus supplement or a free writing prospectus, relating to such series of series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Our restated articles of incorporation and bylaws contain the full legal text of the matters described under this heading “Description of Series Preferred Stock.” The following description of certain provisions of our restated articles of incorporation and bylaws is not complete and is qualified in its entirety by reference to all the provisions of our restated articles of incorporation, including the certificate of determination of preferences for any series of series preferred stock that may be issued and outstanding in the future, any bylaws, copies of which have been or will be filed or incorporated by reference as exhibits to the registration statement of which this prospectus is a part or to a document incorporated by reference in this prospectus and which may be obtained as described under “Where You Can Find More Information.” Whenever we refer to particular sections or defined terms of our restated articles of incorporation, including any applicable certificate of determination of preferences, or bylaws in this prospectus or a prospectus supplement or free writing prospectus, those sections or defined terms are incorporated by reference in this prospectus or the applicable prospectus supplement or free writing prospectus. This description also is subject to and qualified by reference to the description of the particular terms of a particular series of series preferred stock described in the applicable prospectus supplement or free writing prospectus related to any offering of such series of series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currently authorized to issue (i) 100,000,000 shares of common stock, without par value (the “common stock”), of which 91,300,000 shares were outstanding as of April 20, 2026, (ii) 160,000 shares of preferred stock, par value $25 per share (the “preferred stock”), of which 79,011 shares were outstanding as of April 20, 2026, (iii) 840,000 shares of preferred stock, series A, par value $25 per share (the “series A preferred stock”), of which 783,032 shares were outstanding as of April 20, 2026, (iv) 5,000,000 shares of series preferred stock, without par value, none of which is outstanding, and (v) 5,000,000 shares of preference stock, without par value (the “preference stock”), none of which is outstanding. No other classes of capital stock are authorized under our restated articles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We may in the future amend our restated articles of incorporation to increase the authorized number of shares of our authorized common stock, preferred stock, series A preferred stock, series preferred stock or preference stock, or to authorize shares of one or more additional classes of stock. Any such amendment would require approval by our board of directors and approval by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Under this heading “Description of Series Preferred Stock,” we refer to the preferred stock, series A preferred stock and series preferred stock currently authorized by our restated articles of incorporation as the “currently authorized preferred stock,” and we refer to the preference stock currently authorized by our restated articles of incorporation as the “currently authorized preference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Series Preferred Stock and Preference Stock </w:t>
      </w:r>
    </w:p>
    <w:p>
      <w:pPr>
        <w:pStyle w:val="TextBody"/>
        <w:bidi w:val="0"/>
        <w:spacing w:before="120" w:after="0"/>
        <w:jc w:val="left"/>
        <w:rPr>
          <w:rFonts w:ascii="Times New Roman" w:hAnsi="Times New Roman"/>
          <w:sz w:val="20"/>
        </w:rPr>
      </w:pPr>
      <w:r>
        <w:rPr>
          <w:rFonts w:ascii="Times New Roman" w:hAnsi="Times New Roman"/>
          <w:sz w:val="20"/>
        </w:rPr>
        <w:t xml:space="preserve">The series preferred stock and preference stock is issuable in series. Subject to the maximum number of shares of series preferred stock and preference stock authorized by our restated articles of incorporation, our board of directors is authorized, without the need for a vote or other action of our shareholders, to cause the issuance of shares of our series preferred stock or preference stock from time to time in one or more series, to determine the number of shares and designation of the series preferred stock or preference stock of any series, to increase or decrease (but not below the number of shares of such series then outstanding) the number of shares of any such series subsequent to the issuance of shares of that series, and to determine or alter the rights, preferences, privileges and restrictions granted to or imposed upon any wholly unissued series of preferred stock, which may include, among other things, dividend and liquidation rights and preferences, including with respect to relative ranking; rights to convert such shares into common stock; any rights and terms of redemption, including sinking fund provisions; any voting rights in addition to those described below under “—Additional Terms Applicable to Currently Authorized Preferred Stock and Currently Authorized Preference Stock—Voting Rights”; and any other specific terms, preferences, rights, limitations or restrictions; in each case in accordance with our restated articles of incorporation. Accordingly, our board of directors could cause the issuance of one or more series of our series preferred stock ranking on parity with or senior to one or more other series of our series preferred stock (subject to the terms of any one or more other series of our series preferred stock, if any, then outstanding) with respect to dividends or distributions in the event of our liquidation, dissolution or winding up or with voting or other rights that could dilute or otherwise adversely affect any voting rights or the other rights and economic interests of the holders of any such other series of series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currently authorized preferred stock and currently authorized preference stock, including any shares of series preferred stock that we may offer and sell pursuant to this prospectus, are subject to the terms and conditions set forth below under “—Additional Terms Applicable to Currently Authorized Preferred Stock and Currently Authorized Preference Stock.”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issue any series of series preferred stock pursuant to this prospectus, we will describe the terms of such series of series preferred stock in a prospectus supplement to this prospectus and, if applicable, a free writing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and 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and series A preferred stock are not issuable in series and have the rights, preferences, privileges and restrictions set forth in our restated articles of incorporation, some of which are described below, and as may be provided by applicable law. Subject to the maximum number of shares of preferred stock and series A preferred stock authorized by our restated articles of incorporation, our board of directors is authorized, without the need for a vote or other action of our shareholders, to cause the issuance of shares of preferred stock and series A preferred stock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Terms Applicable to Currently Authorized Preferred Stock and Currently Authorized Preference Stock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described below, the following provisions are applicable to all shares of currently authorized preferred stock and currently authorized preference stock. </w:t>
      </w:r>
    </w:p>
    <w:p>
      <w:pPr>
        <w:pStyle w:val="TextBody"/>
        <w:bidi w:val="0"/>
        <w:spacing w:before="360" w:after="0"/>
        <w:jc w:val="left"/>
        <w:rPr>
          <w:rFonts w:ascii="Times New Roman" w:hAnsi="Times New Roman"/>
          <w:i/>
          <w:sz w:val="20"/>
        </w:rPr>
      </w:pPr>
      <w:r>
        <w:rPr>
          <w:rFonts w:ascii="Times New Roman" w:hAnsi="Times New Roman"/>
          <w:i/>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All shares of currently authorized preferred stock rank on parity with each other with respect to the payment of dividends and distributions in the event of our liquidation or dissolution. All shares of currently authorized preferred stock rank senior to currently authorized preference stock, and all shares of currently authorized preferred stock and currently authorized preference stock rank senior to our common stock, in each case with respect to the payment of dividends and with respect to distributions in the event of our liquidation or dissolution.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currently authorized preferred stock are entitled, without preference as between any classes or series of currently authorized preferred stock, to receive, if, when and as declared by our board of directors, out of any legally available funds, dividends at the respective rates established for such classes and series before any dividends are declared and set apart for payment or paid on the currently authorized preference stock or our common stock. Dividends on the preferred stock and series A preferred stock are payable at the annual rate of 6% of the $25 par value thereof. Dividends on each series of series preferred stock will be payable at the rate established for such series. Dividends on currently authorized preferred stock are cumulative, so that if, for any period, the full amount of dividends is not declared and set apart for payment or paid on all outstanding shares of currently authorized preferred stock, the deficiency shall be payable subsequently before any dividend is declared and set apart for payment or paid on the currently authorized preference stock or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currently authorized preference stock are entitled, without preference as between any series of currently authorized preference stock, to receive, if, when and as declared by our board of directors, out of any legally available funds, dividends at the respective rate established for such series before any dividends are declared and set apart for payment or paid on our common stock. Dividends on each series of currently authorized preference stock will be payable at the rate established for such series. Dividends on currently authorized preference stock are cumulative, so that if, for any period, the full amount of dividends is not declared and set apart for payment or paid on all outstanding shares of currently authorized preference stock, the deficiency shall be payable subsequently before any dividend is declared and set apart for payment or paid on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Whenever all cumulative dividends on currently authorized preferred stock and currently authorized preference stock have been declared and set apart for payment or paid, our board of directors may declare dividends on our common stock payable out of remaining funds legally available for dividends.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or dissolution, the holders of currently authorized preferred stock would be entitled, without preference as between any classes or series of currently authorized preferred stock, to receive out of our assets available for distribution to shareholders and after payment of or provision for our debts and other liabilities, the respective liquidation preferences established for each such class and series and accrued and unpaid dividends thereon before any distribution of assets is made to the holders of the currently authorized preference stock or our common stock. The liquidation preference of our preferred stock and series A preferred stock is $25.00 per share. The liquidation preference of any series of series preferred stock will be as established for each such series. After payment in full of the respective amounts to which the holders of currently authorized preferred stock are entitled in the event of our liquidation or dissolution, the holders of currently authorized preference stock would be entitled, without preference as between any series of currently authorized preference stock, to receive out of our assets available for distribution to shareholders, the respective liquidation preferences established for each such series and accrued and unpaid dividends thereon before any distribution of assets is made to the holders of our common stock. The liquidation preference for any series of currently authorized preference stock will be as established for each such series. After payment in full of the respective amounts to which the holders of currently authorized preference stock are entitled in the event of our liquidation or dissolution, the holders of preferred stock (but not the series A preferred stock or any series of series preferred stock) and the holders of our common stock would be entitled to receive, pro rata, our remaining assets available for distribution to shareholders.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currently authorized preferred stock, currently authorized preference stock and common stock are entitled to one vote for each share and all vote together in the election of directors and on all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presented to shareholders, except those matters for which a vote by class or series is required by applicable law or, in the case of any series of series preferred stock or any series of preference stock, by the terms established for such series.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and the series A preferred stock do not contain any conversion rights or sinking fund or redemption provisions. Any series of series preferred stock or preference stock may be convertible, redeemable or have sinking fund provisions, if at all, upon the terms established for each such series. Holders of currently authorized preferred stock and currently authorized preference stock are not entitled to preemptive rights to subscribe for or purchase any part of any new or additional issue of stock or securities convertible into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68199_10"/>
      <w:bookmarkEnd w:id="20"/>
      <w:r>
        <w:rPr>
          <w:rFonts w:ascii="Times New Roman" w:hAnsi="Times New Roman"/>
          <w:b/>
          <w:sz w:val="20"/>
        </w:rPr>
        <w:t xml:space="preserve">GLOBAL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Under this heading “Global Securities,” references to “we,” “us,” “our” and similar terms mean Southern California Gas Company excluding its consolidated entities (if any), and references to “securities” mean the first mortgage bonds and the senior debt securities offered under this prospectus and the applicable prospectus supplement or free writing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first mortgage bonds or global senior debt securities, as applicable (collectively, “global securities”). The global securities will be deposited with, or on behalf of, DTC, as depositary (which we sometimes refer to as the “depositary”), and registered in the name of Cede &amp; Co., the nominee of DTC. Unless and until it is exchanged for definitive securities in certificated form registered in the names of persons other than the depositary or its nominee, which we refer to as “certificated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Indirect access to the DTC system is also available to others, which we sometimes refer to as “indirect participants,” that clear transactions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nominee, Cede &amp; Co., or such other name as may be requested by an authorized representative of DTC. The deposit of securities with DTC and their registration in the name of Cede &amp; Co.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global securities of a particular series are being redeemed, DTC’s practice is to determine by lot the amount of the beneficial interest of each direct participant in the global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a consent or vote may be required with respect to any securities, neither DTC nor Cede &amp; Co. (or such other DTC nominee) will consent or vote with respect to the applicable global securities. Under its usual procedures, DTC will mail an omnibus proxy to us as soon as possible after the record date. The omnibus proxy assigns the consenting or voting rights of Cede &amp; Co. (or such other DTC nominee) to those direct participants to whose accounts beneficial interests in such global securities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the global securities will be paid to DTC or its nominee, as the registered owner of such securities, by wire transfer of immediately available funds. DTC’s practice is to credit direct participants’ accounts upon DTC’s receipt of funds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the principal of, premium (if any) and interest on the global securities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offered securities take physical delivery of offered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depositary for the global security or securities representing such series of securities or if DTC ceases to be a clearing agency registered under the Exchange Act at a time when it is required to be registered and a successor depositary is not appointed by us within 90 days of the notification to us or of our becoming aware of DTC’s ceasing to be so registered, as the case may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the securities of such series represented by one or more global securities of such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(as defined) under the applicable indenture has occurred and is continuing with respect to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certificated securities of such series in exchange for beneficial interests in the global securities. Any beneficial interest in a global security that is exchangeable under the circumstances described in the preceding sentence will be exchangeable for certificated securities of such series in definitive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24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i/>
          <w:sz w:val="20"/>
        </w:rPr>
      </w:pPr>
      <w:r>
        <w:rPr>
          <w:rFonts w:ascii="Times New Roman" w:hAnsi="Times New Roman"/>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under this heading “Global Securities”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nor any broker, dealer, underwriter or agent of ours involved in the offer or sale of any securities, has any control over those entities and none of us or them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the trustee nor any agent of ours or of the trustee, nor any broker, dealer, underwriter or agent of ours involved in the offer or sale of any securities,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68199_11"/>
      <w:bookmarkEnd w:id="2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offered pursuant to this prospectus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foregoing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respective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68199_12"/>
      <w:bookmarkEnd w:id="2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will pass upon certain legal matters relating to the issuance and sale of the securities offered hereby on behalf of Southern California Gas Company.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3" w:name="tx168199_13"/>
      <w:bookmarkEnd w:id="2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by reference in this prospectus and the effectiveness of Southern California Gas Company’s internal control over financial reporting, have been audited by Deloitte &amp; Touche LLP, an independent registered public accounting firm, as stated in their reports. Such financial statements are incorporated in reliance upon the reports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$500,000,000 </w:t>
      </w:r>
    </w:p>
    <w:p>
      <w:pPr>
        <w:pStyle w:val="TextBody"/>
        <w:bidi w:val="0"/>
        <w:spacing w:before="480" w:after="0"/>
        <w:jc w:val="center"/>
        <w:rPr>
          <w:rFonts w:ascii="Times New Roman" w:hAnsi="Times New Roman"/>
          <w:b/>
          <w:sz w:val="40"/>
        </w:rPr>
      </w:pPr>
      <w:r>
        <w:rPr>
          <w:rFonts w:ascii="Times New Roman" w:hAnsi="Times New Roman"/>
          <w:b/>
          <w:sz w:val="40"/>
        </w:rPr>
        <w:t xml:space="preserve">Southern California Gas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5.500% First Mortgage Bonds, Series GGG, due 2036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60" w:before="0" w:after="40"/>
        <w:jc w:val="center"/>
        <w:rPr>
          <w:bdr w:val="single" w:sz="2" w:space="1" w:color="000000"/>
        </w:rPr>
      </w:pPr>
      <w:r>
        <w:rPr>
          <w:bdr w:val="single" w:sz="2"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60" w:before="0" w:after="40"/>
        <w:jc w:val="center"/>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480" w:after="0"/>
        <w:jc w:val="center"/>
        <w:rPr>
          <w:rFonts w:ascii="Times New Roman" w:hAnsi="Times New Roman"/>
          <w:i/>
          <w:sz w:val="20"/>
        </w:rPr>
      </w:pPr>
      <w:r>
        <w:rPr>
          <w:rFonts w:ascii="Times New Roman" w:hAnsi="Times New Roman"/>
          <w:i/>
          <w:sz w:val="20"/>
        </w:rPr>
        <w:t xml:space="preserve">Joint Book-Running Managers </w:t>
      </w:r>
    </w:p>
    <w:p>
      <w:pPr>
        <w:pStyle w:val="TextBody"/>
        <w:bidi w:val="0"/>
        <w:spacing w:before="240" w:after="0"/>
        <w:jc w:val="center"/>
        <w:rPr>
          <w:rFonts w:ascii="Times New Roman" w:hAnsi="Times New Roman"/>
          <w:b/>
          <w:sz w:val="36"/>
        </w:rPr>
      </w:pPr>
      <w:r>
        <w:rPr>
          <w:rFonts w:ascii="Times New Roman" w:hAnsi="Times New Roman"/>
          <w:b/>
          <w:sz w:val="36"/>
        </w:rPr>
        <w:t xml:space="preserve">Barclays </w:t>
      </w:r>
    </w:p>
    <w:p>
      <w:pPr>
        <w:pStyle w:val="TextBody"/>
        <w:bidi w:val="0"/>
        <w:spacing w:before="240" w:after="0"/>
        <w:jc w:val="center"/>
        <w:rPr>
          <w:rFonts w:ascii="Times New Roman" w:hAnsi="Times New Roman"/>
          <w:b/>
          <w:sz w:val="36"/>
        </w:rPr>
      </w:pPr>
      <w:r>
        <w:rPr>
          <w:rFonts w:ascii="Times New Roman" w:hAnsi="Times New Roman"/>
          <w:b/>
          <w:sz w:val="36"/>
        </w:rPr>
        <w:t xml:space="preserve">Credit Agricole CIB </w:t>
      </w:r>
    </w:p>
    <w:p>
      <w:pPr>
        <w:pStyle w:val="TextBody"/>
        <w:bidi w:val="0"/>
        <w:spacing w:before="240" w:after="0"/>
        <w:jc w:val="center"/>
        <w:rPr>
          <w:rFonts w:ascii="Times New Roman" w:hAnsi="Times New Roman"/>
          <w:b/>
          <w:sz w:val="36"/>
        </w:rPr>
      </w:pPr>
      <w:r>
        <w:rPr>
          <w:rFonts w:ascii="Times New Roman" w:hAnsi="Times New Roman"/>
          <w:b/>
          <w:sz w:val="36"/>
        </w:rPr>
        <w:t xml:space="preserve">MUFG </w:t>
      </w:r>
    </w:p>
    <w:p>
      <w:pPr>
        <w:pStyle w:val="TextBody"/>
        <w:bidi w:val="0"/>
        <w:spacing w:before="240" w:after="0"/>
        <w:jc w:val="center"/>
        <w:rPr>
          <w:rFonts w:ascii="Times New Roman" w:hAnsi="Times New Roman"/>
          <w:b/>
          <w:sz w:val="36"/>
        </w:rPr>
      </w:pPr>
      <w:r>
        <w:rPr>
          <w:rFonts w:ascii="Times New Roman" w:hAnsi="Times New Roman"/>
          <w:b/>
          <w:sz w:val="36"/>
        </w:rPr>
        <w:t xml:space="preserve">TD Securities </w:t>
      </w:r>
    </w:p>
    <w:p>
      <w:pPr>
        <w:pStyle w:val="TextBody"/>
        <w:bidi w:val="0"/>
        <w:spacing w:before="240" w:after="0"/>
        <w:jc w:val="center"/>
        <w:rPr>
          <w:rFonts w:ascii="Times New Roman" w:hAnsi="Times New Roman"/>
          <w:b/>
          <w:sz w:val="36"/>
        </w:rPr>
      </w:pPr>
      <w:r>
        <w:rPr>
          <w:rFonts w:ascii="Times New Roman" w:hAnsi="Times New Roman"/>
          <w:b/>
          <w:sz w:val="36"/>
        </w:rPr>
        <w:t xml:space="preserve">Penserra Securities LLC </w:t>
      </w:r>
    </w:p>
    <w:p>
      <w:pPr>
        <w:pStyle w:val="TextBody"/>
        <w:bidi w:val="0"/>
        <w:spacing w:before="0" w:after="0"/>
        <w:jc w:val="left"/>
        <w:rPr/>
      </w:pPr>
      <w:r>
        <w:rPr/>
        <w:t> </w:t>
      </w:r>
    </w:p>
    <w:p>
      <w:pPr>
        <w:pStyle w:val="TextBody"/>
        <w:bidi w:val="0"/>
        <w:spacing w:lineRule="atLeast" w:line="160" w:before="0" w:after="40"/>
        <w:jc w:val="center"/>
        <w:rPr>
          <w:bdr w:val="single" w:sz="2" w:space="1" w:color="000000"/>
        </w:rPr>
      </w:pPr>
      <w:r>
        <w:rPr>
          <w:bdr w:val="single" w:sz="2" w:space="1" w:color="000000"/>
        </w:rPr>
        <w:t> </w:t>
      </w:r>
    </w:p>
    <w:p>
      <w:pPr>
        <w:pStyle w:val="TextBody"/>
        <w:bidi w:val="0"/>
        <w:spacing w:before="0" w:after="0"/>
        <w:jc w:val="center"/>
        <w:rPr>
          <w:rFonts w:ascii="Times New Roman" w:hAnsi="Times New Roman"/>
          <w:i/>
          <w:sz w:val="20"/>
        </w:rPr>
      </w:pPr>
      <w:r>
        <w:rPr>
          <w:rFonts w:ascii="Times New Roman" w:hAnsi="Times New Roman"/>
          <w:i/>
          <w:sz w:val="20"/>
        </w:rPr>
        <w:t xml:space="preserve">Co-Managers </w:t>
      </w:r>
    </w:p>
    <w:p>
      <w:pPr>
        <w:pStyle w:val="TextBody"/>
        <w:bidi w:val="0"/>
        <w:spacing w:before="240" w:after="0"/>
        <w:jc w:val="center"/>
        <w:rPr>
          <w:rFonts w:ascii="Times New Roman" w:hAnsi="Times New Roman"/>
          <w:b/>
          <w:sz w:val="36"/>
        </w:rPr>
      </w:pPr>
      <w:r>
        <w:rPr>
          <w:rFonts w:ascii="Times New Roman" w:hAnsi="Times New Roman"/>
          <w:b/>
          <w:sz w:val="36"/>
        </w:rPr>
        <w:t xml:space="preserve">Blaylock Van, LLC </w:t>
      </w:r>
    </w:p>
    <w:p>
      <w:pPr>
        <w:pStyle w:val="TextBody"/>
        <w:bidi w:val="0"/>
        <w:spacing w:before="240" w:after="0"/>
        <w:jc w:val="center"/>
        <w:rPr>
          <w:rFonts w:ascii="Times New Roman" w:hAnsi="Times New Roman"/>
          <w:b/>
          <w:sz w:val="36"/>
        </w:rPr>
      </w:pPr>
      <w:r>
        <w:rPr>
          <w:rFonts w:ascii="Times New Roman" w:hAnsi="Times New Roman"/>
          <w:b/>
          <w:sz w:val="36"/>
        </w:rPr>
        <w:t xml:space="preserve">MFR Securities, Inc. </w:t>
      </w:r>
    </w:p>
    <w:p>
      <w:pPr>
        <w:pStyle w:val="TextBody"/>
        <w:bidi w:val="0"/>
        <w:spacing w:before="0" w:after="0"/>
        <w:jc w:val="left"/>
        <w:rPr/>
      </w:pPr>
      <w:r>
        <w:rPr/>
        <w:t> </w:t>
      </w:r>
    </w:p>
    <w:p>
      <w:pPr>
        <w:pStyle w:val="TextBody"/>
        <w:bidi w:val="0"/>
        <w:spacing w:lineRule="atLeast" w:line="160" w:before="0" w:after="40"/>
        <w:jc w:val="center"/>
        <w:rPr>
          <w:bdr w:val="single" w:sz="2" w:space="1" w:color="000000"/>
        </w:rPr>
      </w:pPr>
      <w:r>
        <w:rPr>
          <w:bdr w:val="single" w:sz="2" w:space="1" w:color="000000"/>
        </w:rPr>
        <w:t> </w:t>
      </w:r>
    </w:p>
    <w:p>
      <w:pPr>
        <w:pStyle w:val="TextBody"/>
        <w:bidi w:val="0"/>
        <w:spacing w:before="840" w:after="0"/>
        <w:jc w:val="center"/>
        <w:rPr>
          <w:rFonts w:ascii="Times New Roman" w:hAnsi="Times New Roman"/>
          <w:b/>
          <w:sz w:val="20"/>
        </w:rPr>
      </w:pPr>
      <w:r>
        <w:rPr>
          <w:rFonts w:ascii="Times New Roman" w:hAnsi="Times New Roman"/>
          <w:b/>
          <w:sz w:val="20"/>
        </w:rPr>
        <w:t xml:space="preserve">August 17, 2026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Normal"/>
        <w:bidi w:val="0"/>
        <w:spacing w:before="0" w:after="0"/>
        <w:jc w:val="left"/>
        <w:rPr>
          <w:sz w:val="4"/>
          <w:szCs w:val="4"/>
        </w:rPr>
      </w:pPr>
      <w:r>
        <w:rPr>
          <w:sz w:val="4"/>
          <w:szCs w:val="4"/>
        </w:rPr>
      </w:r>
      <w:bookmarkStart w:id="24" w:name="d168199dexfilingfees.htm"/>
      <w:bookmarkStart w:id="25" w:name="ksd168199dexfilingfees"/>
      <w:bookmarkStart w:id="26" w:name="d168199dexfilingfees.htm"/>
      <w:bookmarkStart w:id="27" w:name="ksd168199dexfilingfees"/>
      <w:bookmarkEnd w:id="26"/>
      <w:bookmarkEnd w:id="27"/>
      <w:r>
        <w:br w:type="page"/>
      </w:r>
    </w:p>
    <w:tbl>
      <w:tblPr>
        <w:tblW w:w="4310" w:type="dxa"/>
        <w:jc w:val="left"/>
        <w:tblInd w:w="0" w:type="dxa"/>
        <w:tblLayout w:type="fixed"/>
        <w:tblCellMar>
          <w:top w:w="28" w:type="dxa"/>
          <w:left w:w="28" w:type="dxa"/>
          <w:bottom w:w="28" w:type="dxa"/>
          <w:right w:w="28" w:type="dxa"/>
        </w:tblCellMar>
      </w:tblPr>
      <w:tblGrid>
        <w:gridCol w:w="4156"/>
        <w:gridCol w:w="154"/>
      </w:tblGrid>
      <w:tr>
        <w:trPr/>
        <w:tc>
          <w:tcPr>
            <w:tcW w:w="431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15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156" w:type="dxa"/>
            <w:tcBorders/>
            <w:vAlign w:val="center"/>
          </w:tcPr>
          <w:p>
            <w:pPr>
              <w:pStyle w:val="TableContents"/>
              <w:bidi w:val="0"/>
              <w:spacing w:before="0" w:after="283"/>
              <w:jc w:val="left"/>
              <w:rPr>
                <w:b/>
              </w:rPr>
            </w:pPr>
            <w:r>
              <w:rPr>
                <w:b/>
              </w:rPr>
              <w:t xml:space="preserve">SOUTHERN CALIFORNIA GAS CO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04" w:type="dxa"/>
        <w:jc w:val="left"/>
        <w:tblInd w:w="0" w:type="dxa"/>
        <w:tblLayout w:type="fixed"/>
        <w:tblCellMar>
          <w:top w:w="28" w:type="dxa"/>
          <w:left w:w="28" w:type="dxa"/>
          <w:bottom w:w="28" w:type="dxa"/>
          <w:right w:w="28" w:type="dxa"/>
        </w:tblCellMar>
      </w:tblPr>
      <w:tblGrid>
        <w:gridCol w:w="1126"/>
        <w:gridCol w:w="226"/>
        <w:gridCol w:w="946"/>
        <w:gridCol w:w="1021"/>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5.500% First Mortgage Bonds, Series GGG, due 2036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right"/>
              <w:rPr/>
            </w:pPr>
            <w:r>
              <w:rPr/>
              <w:t xml:space="preserve">$ 0.99405 </w:t>
            </w:r>
          </w:p>
        </w:tc>
        <w:tc>
          <w:tcPr>
            <w:tcW w:w="1786" w:type="dxa"/>
            <w:tcBorders/>
            <w:shd w:fill="E7E7E2" w:val="clear"/>
            <w:vAlign w:val="center"/>
          </w:tcPr>
          <w:p>
            <w:pPr>
              <w:pStyle w:val="TableContents"/>
              <w:bidi w:val="0"/>
              <w:spacing w:before="0" w:after="283"/>
              <w:jc w:val="right"/>
              <w:rPr/>
            </w:pPr>
            <w:r>
              <w:rPr/>
              <w:t xml:space="preserve">$ 497,025,000.00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$ 68,639.16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8" w:name="MaxAggtOfferingPrice"/>
            <w:bookmarkEnd w:id="28"/>
            <w:r>
              <w:rPr/>
              <w:t xml:space="preserve">$ 497,025,000.00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9" w:name="TotalFeeAmt"/>
            <w:bookmarkEnd w:id="29"/>
            <w:r>
              <w:rPr/>
              <w:t xml:space="preserve">$ 68,639.16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PreviouslyPaid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TotalOffsetAmt"/>
            <w:bookmarkEnd w:id="31"/>
            <w:r>
              <w:rPr/>
              <w:t xml:space="preserve">$ 68,639.16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NetFee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0"/>
        <w:gridCol w:w="1294"/>
        <w:gridCol w:w="8701"/>
      </w:tblGrid>
      <w:tr>
        <w:trPr/>
        <w:tc>
          <w:tcPr>
            <w:tcW w:w="21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5" w:type="dxa"/>
            <w:gridSpan w:val="2"/>
            <w:tcBorders/>
            <w:vAlign w:val="center"/>
          </w:tcPr>
          <w:p>
            <w:pPr>
              <w:pStyle w:val="TableContents"/>
              <w:bidi w:val="0"/>
              <w:spacing w:before="0" w:after="283"/>
              <w:jc w:val="left"/>
              <w:rPr/>
            </w:pPr>
            <w:r>
              <w:rPr/>
              <w:t xml:space="preserve">The registration fee is calculated in accordance with Rule 457(r) of the Securities Act of 1933, as amended. This "Calculation of Filing Fee" table shall be deemed to update the "Calculation of Registration Fee" table in the registrant's Registration Statement on Form S-3ASR (File No. 333-295219) in accordance with Rules 456(b) and 457(r) under the Securities Act of 1933, as amended.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427"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1246"/>
        <w:gridCol w:w="1246"/>
        <w:gridCol w:w="1246"/>
        <w:gridCol w:w="1186"/>
        <w:gridCol w:w="178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24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42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42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Southern California Gas Co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333-270939 </w:t>
            </w:r>
          </w:p>
        </w:tc>
        <w:tc>
          <w:tcPr>
            <w:tcW w:w="706" w:type="dxa"/>
            <w:tcBorders/>
            <w:shd w:fill="E7E7E2" w:val="clear"/>
            <w:vAlign w:val="center"/>
          </w:tcPr>
          <w:p>
            <w:pPr>
              <w:pStyle w:val="TableContents"/>
              <w:bidi w:val="0"/>
              <w:spacing w:before="0" w:after="283"/>
              <w:jc w:val="left"/>
              <w:rPr/>
            </w:pPr>
            <w:r>
              <w:rPr/>
              <w:t xml:space="preserve">03/29/2023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$ 68,639.16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$ 622,859,891.11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pPr>
            <w:r>
              <w:rPr/>
              <w:t xml:space="preserve">2 </w:t>
            </w:r>
          </w:p>
        </w:tc>
        <w:tc>
          <w:tcPr>
            <w:tcW w:w="1171" w:type="dxa"/>
            <w:tcBorders/>
            <w:shd w:fill="E7E7E2" w:val="clear"/>
            <w:vAlign w:val="center"/>
          </w:tcPr>
          <w:p>
            <w:pPr>
              <w:pStyle w:val="TableContents"/>
              <w:bidi w:val="0"/>
              <w:spacing w:before="0" w:after="283"/>
              <w:jc w:val="left"/>
              <w:rPr/>
            </w:pPr>
            <w:r>
              <w:rPr/>
              <w:t xml:space="preserve">Southern California Gas Co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333-270939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03/29/2023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$ 68,639.16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Southern California Gas Company previously registered senior debt securities, first mortgage bonds and shares of preferred stock, without par value (collectively, the "Offered Securities"), having an aggregate gross sales price of up to $4,000,000,000, pursuant to a prospectus dated April 27, 2023 (the "Prior Prospectus") that formed a part of a registration statement on Form S-3 (Registration No. 333-270939) filed on March 29, 2023. The offering under the Prior Prospectus terminated. The registration fee for the Offered Securities registered pursuant to the Prior Prospectus totaled $341,620, of which $68,639.16 (calculated at the filing fee rate in effect at the time of the filing of the Prior Prospectus) was contemporaneously paid with the filing of the Prior Prospectus and relates to unsold Offered Securities having an aggregate gross sales price of up to $622,859,891.11 and therefore is available to offset registration fees payable pursuant to this prospectus supplement. Southern California Gas Company hereby uses the available previously paid but unused registration fees associated with the Prior Prospectus in the amount of $68,639.16 to offset the total registration fee due under this prospectus supplement.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pPr>
            <w:r>
              <w:rPr>
                <w:b/>
              </w:rPr>
              <w:t>Offset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576" w:type="dxa"/>
        <w:jc w:val="left"/>
        <w:tblInd w:w="0" w:type="dxa"/>
        <w:tblLayout w:type="fixed"/>
        <w:tblCellMar>
          <w:top w:w="28" w:type="dxa"/>
          <w:left w:w="28" w:type="dxa"/>
          <w:bottom w:w="28" w:type="dxa"/>
          <w:right w:w="28" w:type="dxa"/>
        </w:tblCellMar>
      </w:tblPr>
      <w:tblGrid>
        <w:gridCol w:w="256"/>
        <w:gridCol w:w="171"/>
        <w:gridCol w:w="1149"/>
      </w:tblGrid>
      <w:tr>
        <w:trPr/>
        <w:tc>
          <w:tcPr>
            <w:tcW w:w="256"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320" w:type="dxa"/>
            <w:gridSpan w:val="2"/>
            <w:tcBorders/>
            <w:vAlign w:val="center"/>
          </w:tcPr>
          <w:p>
            <w:pPr>
              <w:pStyle w:val="TableContents"/>
              <w:bidi w:val="0"/>
              <w:spacing w:before="0" w:after="283"/>
              <w:jc w:val="left"/>
              <w:rPr/>
            </w:pPr>
            <w:r>
              <w:rPr/>
              <w:t xml:space="preserve">See Note 1. </w:t>
            </w:r>
          </w:p>
        </w:tc>
      </w:tr>
      <w:tr>
        <w:trPr/>
        <w:tc>
          <w:tcPr>
            <w:tcW w:w="427" w:type="dxa"/>
            <w:gridSpan w:val="2"/>
            <w:tcBorders/>
            <w:vAlign w:val="center"/>
          </w:tcPr>
          <w:p>
            <w:pPr>
              <w:pStyle w:val="HorizontalLine"/>
              <w:pBdr>
                <w:bottom w:val="double" w:sz="2" w:space="0" w:color="808080"/>
              </w:pBdr>
              <w:bidi w:val="0"/>
              <w:spacing w:before="0" w:after="283"/>
              <w:jc w:val="left"/>
              <w:rPr/>
            </w:pPr>
            <w:r>
              <w:rPr/>
            </w:r>
          </w:p>
        </w:tc>
        <w:tc>
          <w:tcPr>
            <w:tcW w:w="1149"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$497,025,000.00.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86521/000103220826000010/sre-20251231.htm" TargetMode="External"/><Relationship Id="rId4" Type="http://schemas.openxmlformats.org/officeDocument/2006/relationships/hyperlink" Target="http://www.sec.gov/Archives/edgar/data/../../../ix?doc=/Archives/edgar/data/92108/000119312526154917/d93619ddef14c.htm" TargetMode="External"/><Relationship Id="rId5" Type="http://schemas.openxmlformats.org/officeDocument/2006/relationships/hyperlink" Target="http://www.sec.gov/Archives/edgar/data/../../../ix?doc=/Archives/edgar/data/92108/000009210826000004/socalgas-20260106.htm" TargetMode="External"/><Relationship Id="rId6" Type="http://schemas.openxmlformats.org/officeDocument/2006/relationships/hyperlink" Target="http://www.sec.gov/Archives/edgar/data/../../../ix?doc=/Archives/edgar/data/92108/000009210826000007/socalgas-20260320.htm" TargetMode="External"/><Relationship Id="rId7" Type="http://schemas.openxmlformats.org/officeDocument/2006/relationships/hyperlink" Target="http://www.sec.gov/Archives/edgar/data/../../../ix?doc=/Archives/edgar/data/92108/000009210826000009/socalgas-20260406.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83</Pages>
  <Words>35253</Words>
  <Characters>184007</Characters>
  <CharactersWithSpaces>219748</CharactersWithSpaces>
  <Paragraphs>2030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