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233680</wp:posOffset>
            </wp:positionH>
            <wp:positionV relativeFrom="page">
              <wp:posOffset>997585</wp:posOffset>
            </wp:positionV>
            <wp:extent cx="70808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0885"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1023620</wp:posOffset>
            </wp:positionV>
            <wp:extent cx="70808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6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0"/>
          <w:szCs w:val="20"/>
          <w:color w:val="auto"/>
        </w:rPr>
        <w:t>UNITED STATES</w:t>
      </w:r>
    </w:p>
    <w:p>
      <w:pPr>
        <w:ind w:left="3540"/>
        <w:spacing w:after="0" w:line="197" w:lineRule="auto"/>
        <w:rPr>
          <w:sz w:val="20"/>
          <w:szCs w:val="20"/>
          <w:color w:val="auto"/>
        </w:rPr>
      </w:pPr>
      <w:r>
        <w:rPr>
          <w:rFonts w:ascii="Times New Roman" w:cs="Times New Roman" w:eastAsia="Times New Roman" w:hAnsi="Times New Roman"/>
          <w:sz w:val="20"/>
          <w:szCs w:val="20"/>
          <w:color w:val="auto"/>
        </w:rPr>
        <w:t>SECURITIES AND EXCHANGE COMMISSION</w:t>
      </w:r>
    </w:p>
    <w:p>
      <w:pPr>
        <w:jc w:val="center"/>
        <w:ind w:right="-1060"/>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71"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20"/>
          <w:szCs w:val="20"/>
          <w:b w:val="1"/>
          <w:bCs w:val="1"/>
          <w:color w:val="auto"/>
        </w:rPr>
        <w:t>FORM 11-K</w:t>
      </w:r>
    </w:p>
    <w:p>
      <w:pPr>
        <w:spacing w:after="0" w:line="30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(Mark One)</w:t>
      </w:r>
    </w:p>
    <w:p>
      <w:pPr>
        <w:spacing w:after="0" w:line="28" w:lineRule="exact"/>
        <w:rPr>
          <w:sz w:val="24"/>
          <w:szCs w:val="24"/>
          <w:color w:val="auto"/>
        </w:rPr>
      </w:pPr>
    </w:p>
    <w:p>
      <w:pPr>
        <w:ind w:left="740" w:hanging="468"/>
        <w:spacing w:after="0"/>
        <w:tabs>
          <w:tab w:leader="none" w:pos="7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ANNUAL REPORT PURSUANT TO SECTION 15(d) OF THE SECURITIES EXCHANGE ACT OF 1934</w:t>
      </w:r>
    </w:p>
    <w:p>
      <w:pPr>
        <w:spacing w:after="0" w:line="47" w:lineRule="exact"/>
        <w:rPr>
          <w:sz w:val="24"/>
          <w:szCs w:val="24"/>
          <w:color w:val="auto"/>
        </w:rPr>
      </w:pPr>
    </w:p>
    <w:p>
      <w:pPr>
        <w:ind w:left="740"/>
        <w:spacing w:after="0"/>
        <w:tabs>
          <w:tab w:leader="none" w:pos="7700" w:val="left"/>
        </w:tabs>
        <w:rPr>
          <w:sz w:val="20"/>
          <w:szCs w:val="20"/>
          <w:color w:val="auto"/>
        </w:rPr>
      </w:pPr>
      <w:r>
        <w:rPr>
          <w:rFonts w:ascii="Times New Roman" w:cs="Times New Roman" w:eastAsia="Times New Roman" w:hAnsi="Times New Roman"/>
          <w:sz w:val="20"/>
          <w:szCs w:val="20"/>
          <w:color w:val="auto"/>
        </w:rPr>
        <w:t>For the fiscal year ended</w:t>
      </w:r>
      <w:r>
        <w:rPr>
          <w:sz w:val="20"/>
          <w:szCs w:val="20"/>
          <w:color w:val="auto"/>
        </w:rPr>
        <w:tab/>
      </w:r>
      <w:r>
        <w:rPr>
          <w:rFonts w:ascii="Times New Roman" w:cs="Times New Roman" w:eastAsia="Times New Roman" w:hAnsi="Times New Roman"/>
          <w:sz w:val="19"/>
          <w:szCs w:val="19"/>
          <w:color w:val="auto"/>
        </w:rPr>
        <w:t>December 31, 2025</w:t>
      </w:r>
    </w:p>
    <w:p>
      <w:pPr>
        <w:spacing w:after="0" w:line="6" w:lineRule="exact"/>
        <w:rPr>
          <w:sz w:val="24"/>
          <w:szCs w:val="24"/>
          <w:color w:val="auto"/>
        </w:rPr>
      </w:pPr>
    </w:p>
    <w:p>
      <w:pPr>
        <w:ind w:left="5420"/>
        <w:spacing w:after="0"/>
        <w:rPr>
          <w:sz w:val="20"/>
          <w:szCs w:val="20"/>
          <w:color w:val="auto"/>
        </w:rPr>
      </w:pPr>
      <w:r>
        <w:rPr>
          <w:rFonts w:ascii="Times New Roman" w:cs="Times New Roman" w:eastAsia="Times New Roman" w:hAnsi="Times New Roman"/>
          <w:sz w:val="20"/>
          <w:szCs w:val="20"/>
          <w:color w:val="auto"/>
        </w:rPr>
        <w:t>OR</w:t>
      </w:r>
    </w:p>
    <w:p>
      <w:pPr>
        <w:spacing w:after="0" w:line="27" w:lineRule="exact"/>
        <w:rPr>
          <w:sz w:val="24"/>
          <w:szCs w:val="24"/>
          <w:color w:val="auto"/>
        </w:rPr>
      </w:pPr>
    </w:p>
    <w:p>
      <w:pPr>
        <w:ind w:left="740" w:hanging="468"/>
        <w:spacing w:after="0"/>
        <w:tabs>
          <w:tab w:leader="none" w:pos="740" w:val="left"/>
        </w:tabs>
        <w:numPr>
          <w:ilvl w:val="0"/>
          <w:numId w:val="2"/>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TRANSITION REPORT PURSUANT TO SECTION 15(d) OF THE SECURITIES EXCHANGE ACT OF 1934</w:t>
      </w:r>
    </w:p>
    <w:p>
      <w:pPr>
        <w:spacing w:after="0" w:line="58" w:lineRule="exact"/>
        <w:rPr>
          <w:sz w:val="24"/>
          <w:szCs w:val="24"/>
          <w:color w:val="auto"/>
        </w:rPr>
      </w:pPr>
    </w:p>
    <w:p>
      <w:pPr>
        <w:ind w:left="740"/>
        <w:spacing w:after="0"/>
        <w:tabs>
          <w:tab w:leader="none" w:pos="6860" w:val="left"/>
        </w:tabs>
        <w:rPr>
          <w:sz w:val="20"/>
          <w:szCs w:val="20"/>
          <w:color w:val="auto"/>
        </w:rPr>
      </w:pPr>
      <w:r>
        <w:rPr>
          <w:rFonts w:ascii="Times New Roman" w:cs="Times New Roman" w:eastAsia="Times New Roman" w:hAnsi="Times New Roman"/>
          <w:sz w:val="20"/>
          <w:szCs w:val="20"/>
          <w:color w:val="auto"/>
        </w:rPr>
        <w:t>For the transition period from</w:t>
      </w:r>
      <w:r>
        <w:rPr>
          <w:sz w:val="20"/>
          <w:szCs w:val="20"/>
          <w:color w:val="auto"/>
        </w:rPr>
        <w:tab/>
      </w:r>
      <w:r>
        <w:rPr>
          <w:rFonts w:ascii="Times New Roman" w:cs="Times New Roman" w:eastAsia="Times New Roman" w:hAnsi="Times New Roman"/>
          <w:sz w:val="20"/>
          <w:szCs w:val="20"/>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2573020</wp:posOffset>
            </wp:positionH>
            <wp:positionV relativeFrom="paragraph">
              <wp:posOffset>8890</wp:posOffset>
            </wp:positionV>
            <wp:extent cx="45002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pacing w:after="0" w:line="34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Commission file number: 1-14201</w:t>
      </w:r>
    </w:p>
    <w:p>
      <w:pPr>
        <w:spacing w:after="0" w:line="39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A. Full title of the plans and the address of the plans, if different from that of the issuer named below:</w:t>
      </w:r>
    </w:p>
    <w:p>
      <w:pPr>
        <w:spacing w:after="0" w:line="386"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20"/>
          <w:szCs w:val="20"/>
          <w:color w:val="auto"/>
        </w:rPr>
        <w:t>SEMPRA SAVINGS PLAN,</w:t>
      </w:r>
    </w:p>
    <w:p>
      <w:pPr>
        <w:ind w:left="2720"/>
        <w:spacing w:after="0" w:line="197" w:lineRule="auto"/>
        <w:rPr>
          <w:sz w:val="20"/>
          <w:szCs w:val="20"/>
          <w:color w:val="auto"/>
        </w:rPr>
      </w:pPr>
      <w:r>
        <w:rPr>
          <w:rFonts w:ascii="Times New Roman" w:cs="Times New Roman" w:eastAsia="Times New Roman" w:hAnsi="Times New Roman"/>
          <w:sz w:val="20"/>
          <w:szCs w:val="20"/>
          <w:color w:val="auto"/>
        </w:rPr>
        <w:t>SAN DIEGO GAS &amp; ELECTRIC COMPANY SAVINGS PLAN, AND</w:t>
      </w:r>
    </w:p>
    <w:p>
      <w:pPr>
        <w:ind w:left="2300"/>
        <w:spacing w:after="0"/>
        <w:rPr>
          <w:sz w:val="20"/>
          <w:szCs w:val="20"/>
          <w:color w:val="auto"/>
        </w:rPr>
      </w:pPr>
      <w:r>
        <w:rPr>
          <w:rFonts w:ascii="Times New Roman" w:cs="Times New Roman" w:eastAsia="Times New Roman" w:hAnsi="Times New Roman"/>
          <w:sz w:val="20"/>
          <w:szCs w:val="20"/>
          <w:color w:val="auto"/>
        </w:rPr>
        <w:t>SOUTHERN CALIFORNIA GAS COMPANY RETIREMENT SAVINGS PLAN</w:t>
      </w:r>
    </w:p>
    <w:p>
      <w:pPr>
        <w:spacing w:after="0" w:line="27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B. Name of issuer of the securities held pursuant to the plans and the address of its principal executive office:</w:t>
      </w:r>
    </w:p>
    <w:p>
      <w:pPr>
        <w:spacing w:after="0" w:line="386" w:lineRule="exact"/>
        <w:rPr>
          <w:sz w:val="24"/>
          <w:szCs w:val="24"/>
          <w:color w:val="auto"/>
        </w:rPr>
      </w:pPr>
    </w:p>
    <w:p>
      <w:pPr>
        <w:ind w:left="5160"/>
        <w:spacing w:after="0"/>
        <w:rPr>
          <w:sz w:val="20"/>
          <w:szCs w:val="20"/>
          <w:color w:val="auto"/>
        </w:rPr>
      </w:pPr>
      <w:r>
        <w:rPr>
          <w:rFonts w:ascii="Times New Roman" w:cs="Times New Roman" w:eastAsia="Times New Roman" w:hAnsi="Times New Roman"/>
          <w:sz w:val="20"/>
          <w:szCs w:val="20"/>
          <w:color w:val="auto"/>
        </w:rPr>
        <w:t>SEMPRA</w:t>
      </w:r>
    </w:p>
    <w:p>
      <w:pPr>
        <w:ind w:left="4940"/>
        <w:spacing w:after="0" w:line="197" w:lineRule="auto"/>
        <w:rPr>
          <w:sz w:val="20"/>
          <w:szCs w:val="20"/>
          <w:color w:val="auto"/>
        </w:rPr>
      </w:pPr>
      <w:r>
        <w:rPr>
          <w:rFonts w:ascii="Times New Roman" w:cs="Times New Roman" w:eastAsia="Times New Roman" w:hAnsi="Times New Roman"/>
          <w:sz w:val="20"/>
          <w:szCs w:val="20"/>
          <w:color w:val="auto"/>
        </w:rPr>
        <w:t>488 8th Avenue</w:t>
      </w:r>
    </w:p>
    <w:p>
      <w:pPr>
        <w:ind w:left="4420"/>
        <w:spacing w:after="0"/>
        <w:rPr>
          <w:sz w:val="20"/>
          <w:szCs w:val="20"/>
          <w:color w:val="auto"/>
        </w:rPr>
      </w:pPr>
      <w:r>
        <w:rPr>
          <w:rFonts w:ascii="Times New Roman" w:cs="Times New Roman" w:eastAsia="Times New Roman" w:hAnsi="Times New Roman"/>
          <w:sz w:val="20"/>
          <w:szCs w:val="20"/>
          <w:color w:val="auto"/>
        </w:rPr>
        <w:t>San Diego, California 92101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-45085</wp:posOffset>
            </wp:positionH>
            <wp:positionV relativeFrom="paragraph">
              <wp:posOffset>1350645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222885</wp:posOffset>
            </wp:positionV>
            <wp:extent cx="70808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088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248920</wp:posOffset>
            </wp:positionV>
            <wp:extent cx="70808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ectPr>
          <w:pgSz w:w="11900" w:h="16838" w:orient="portrait"/>
          <w:cols w:equalWidth="0" w:num="1">
            <w:col w:w="10079"/>
          </w:cols>
          <w:pgMar w:left="380" w:top="1440" w:right="1440" w:bottom="1440" w:gutter="0" w:footer="0" w:header="0"/>
        </w:sectPr>
      </w:pPr>
    </w:p>
    <w:bookmarkStart w:id="1" w:name="page2"/>
    <w:bookmarkEnd w:id="1"/>
    <w:p>
      <w:pPr>
        <w:spacing w:after="0" w:line="3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wp:posOffset>
            </wp:positionV>
            <wp:extent cx="6720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20840" cy="825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AUDITED FINANCIAL STATEMENTS</w:t>
      </w: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u w:val="single" w:color="auto"/>
          <w:color w:val="0000FF"/>
        </w:rPr>
        <w:t>Sempra Savings Plan</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u w:val="single" w:color="auto"/>
          <w:color w:val="0000FF"/>
        </w:rPr>
        <w:t>San Diego Gas &amp; Electric Company Savings Plan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u w:val="single" w:color="auto"/>
          <w:color w:val="0000FF"/>
        </w:rPr>
        <w:t>Southern California Gas Company Retirement Savings Plan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SIGNATURES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EXHIBITS</w:t>
      </w: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u w:val="single" w:color="auto"/>
          <w:color w:val="0000FF"/>
        </w:rPr>
        <w:t>23.0 Consent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1525905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47"/>
          <w:szCs w:val="47"/>
          <w:color w:val="auto"/>
        </w:rPr>
        <w:t>Sempra</w:t>
      </w:r>
    </w:p>
    <w:p>
      <w:pPr>
        <w:spacing w:after="0"/>
        <w:rPr>
          <w:sz w:val="20"/>
          <w:szCs w:val="20"/>
          <w:color w:val="auto"/>
        </w:rPr>
      </w:pPr>
      <w:r>
        <w:rPr>
          <w:rFonts w:ascii="Times New Roman" w:cs="Times New Roman" w:eastAsia="Times New Roman" w:hAnsi="Times New Roman"/>
          <w:sz w:val="47"/>
          <w:szCs w:val="47"/>
          <w:color w:val="auto"/>
        </w:rPr>
        <w:t>Savings Plan</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color w:val="auto"/>
        </w:rPr>
        <w:t>Employer ID No: 33-0732627</w:t>
      </w:r>
    </w:p>
    <w:p>
      <w:pPr>
        <w:spacing w:after="0"/>
        <w:rPr>
          <w:sz w:val="20"/>
          <w:szCs w:val="20"/>
          <w:color w:val="auto"/>
        </w:rPr>
      </w:pPr>
      <w:r>
        <w:rPr>
          <w:rFonts w:ascii="Arial" w:cs="Arial" w:eastAsia="Arial" w:hAnsi="Arial"/>
          <w:sz w:val="22"/>
          <w:szCs w:val="22"/>
          <w:color w:val="auto"/>
        </w:rPr>
        <w:t>Plan Number: 002</w:t>
      </w:r>
    </w:p>
    <w:p>
      <w:pPr>
        <w:spacing w:after="0" w:line="159" w:lineRule="exact"/>
        <w:rPr>
          <w:sz w:val="20"/>
          <w:szCs w:val="20"/>
          <w:color w:val="auto"/>
        </w:rPr>
      </w:pPr>
    </w:p>
    <w:p>
      <w:pPr>
        <w:ind w:right="3579"/>
        <w:spacing w:after="0" w:line="220" w:lineRule="auto"/>
        <w:rPr>
          <w:sz w:val="20"/>
          <w:szCs w:val="20"/>
          <w:color w:val="auto"/>
        </w:rPr>
      </w:pPr>
      <w:r>
        <w:rPr>
          <w:rFonts w:ascii="Arial" w:cs="Arial" w:eastAsia="Arial" w:hAnsi="Arial"/>
          <w:sz w:val="22"/>
          <w:szCs w:val="22"/>
          <w:color w:val="auto"/>
        </w:rPr>
        <w:t>Financial Statements as of December 31, 2025 and 2024, and for the Year Ended December 31, 2025, Supplemental Schedule as of December 31, 2025, and 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2552700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59"/>
          </w:cols>
          <w:pgMar w:left="800" w:top="1440" w:right="1440" w:bottom="1440" w:gutter="0" w:footer="0" w:header="0"/>
        </w:sectPr>
      </w:pPr>
    </w:p>
    <w:bookmarkStart w:id="3" w:name="page4"/>
    <w:bookmarkEnd w:id="3"/>
    <w:p>
      <w:pPr>
        <w:spacing w:after="0"/>
        <w:rPr>
          <w:sz w:val="20"/>
          <w:szCs w:val="20"/>
          <w:color w:val="auto"/>
        </w:rPr>
      </w:pPr>
      <w:r>
        <w:rPr>
          <w:rFonts w:ascii="Arial" w:cs="Arial" w:eastAsia="Arial" w:hAnsi="Arial"/>
          <w:sz w:val="23"/>
          <w:szCs w:val="23"/>
          <w:b w:val="1"/>
          <w:bCs w:val="1"/>
          <w:color w:val="auto"/>
        </w:rPr>
        <w:t>SEMPRA SAVINGS PLAN</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73"/>
        </w:trPr>
        <w:tc>
          <w:tcPr>
            <w:tcW w:w="9240" w:type="dxa"/>
            <w:vAlign w:val="bottom"/>
          </w:tcPr>
          <w:p>
            <w:pPr>
              <w:spacing w:after="0"/>
              <w:rPr>
                <w:sz w:val="23"/>
                <w:szCs w:val="23"/>
                <w:color w:val="auto"/>
              </w:rPr>
            </w:pPr>
          </w:p>
        </w:tc>
        <w:tc>
          <w:tcPr>
            <w:tcW w:w="1800" w:type="dxa"/>
            <w:vAlign w:val="bottom"/>
          </w:tcPr>
          <w:p>
            <w:pPr>
              <w:ind w:left="1340"/>
              <w:spacing w:after="0"/>
              <w:rPr>
                <w:sz w:val="20"/>
                <w:szCs w:val="20"/>
                <w:color w:val="auto"/>
              </w:rPr>
            </w:pPr>
            <w:r>
              <w:rPr>
                <w:rFonts w:ascii="Arial" w:cs="Arial" w:eastAsia="Arial" w:hAnsi="Arial"/>
                <w:sz w:val="20"/>
                <w:szCs w:val="20"/>
                <w:b w:val="1"/>
                <w:bCs w:val="1"/>
                <w:color w:val="auto"/>
                <w:w w:val="91"/>
              </w:rPr>
              <w:t>Page</w:t>
            </w:r>
          </w:p>
        </w:tc>
        <w:tc>
          <w:tcPr>
            <w:tcW w:w="0" w:type="dxa"/>
            <w:vAlign w:val="bottom"/>
          </w:tcPr>
          <w:p>
            <w:pPr>
              <w:spacing w:after="0"/>
              <w:rPr>
                <w:sz w:val="1"/>
                <w:szCs w:val="1"/>
                <w:color w:val="auto"/>
              </w:rPr>
            </w:pPr>
          </w:p>
        </w:tc>
      </w:tr>
      <w:tr>
        <w:trPr>
          <w:trHeight w:val="513"/>
        </w:trPr>
        <w:tc>
          <w:tcPr>
            <w:tcW w:w="9240" w:type="dxa"/>
            <w:vAlign w:val="bottom"/>
          </w:tcPr>
          <w:p>
            <w:pPr>
              <w:spacing w:after="0"/>
              <w:rPr>
                <w:sz w:val="20"/>
                <w:szCs w:val="20"/>
                <w:color w:val="auto"/>
              </w:rPr>
            </w:pPr>
            <w:r>
              <w:rPr>
                <w:rFonts w:ascii="Times New Roman" w:cs="Times New Roman" w:eastAsia="Times New Roman" w:hAnsi="Times New Roman"/>
                <w:sz w:val="20"/>
                <w:szCs w:val="20"/>
                <w:color w:val="3051F2"/>
              </w:rPr>
              <w:t>REPORT OF INDEPENDENT REGISTERED PUBLIC ACCOUNTING FIRM</w:t>
            </w:r>
          </w:p>
        </w:tc>
        <w:tc>
          <w:tcPr>
            <w:tcW w:w="1800" w:type="dxa"/>
            <w:vAlign w:val="bottom"/>
          </w:tcPr>
          <w:p>
            <w:pPr>
              <w:jc w:val="center"/>
              <w:ind w:left="1241"/>
              <w:spacing w:after="0"/>
              <w:rPr>
                <w:sz w:val="20"/>
                <w:szCs w:val="20"/>
                <w:color w:val="auto"/>
              </w:rPr>
            </w:pPr>
            <w:r>
              <w:rPr>
                <w:rFonts w:ascii="Times New Roman" w:cs="Times New Roman" w:eastAsia="Times New Roman" w:hAnsi="Times New Roman"/>
                <w:sz w:val="20"/>
                <w:szCs w:val="20"/>
                <w:color w:val="3051F2"/>
                <w:w w:val="99"/>
              </w:rPr>
              <w:t>1</w:t>
            </w:r>
          </w:p>
        </w:tc>
        <w:tc>
          <w:tcPr>
            <w:tcW w:w="0" w:type="dxa"/>
            <w:vAlign w:val="bottom"/>
          </w:tcPr>
          <w:p>
            <w:pPr>
              <w:spacing w:after="0"/>
              <w:rPr>
                <w:sz w:val="1"/>
                <w:szCs w:val="1"/>
                <w:color w:val="auto"/>
              </w:rPr>
            </w:pPr>
          </w:p>
        </w:tc>
      </w:tr>
      <w:tr>
        <w:trPr>
          <w:trHeight w:val="526"/>
        </w:trPr>
        <w:tc>
          <w:tcPr>
            <w:tcW w:w="9240" w:type="dxa"/>
            <w:vAlign w:val="bottom"/>
          </w:tcPr>
          <w:p>
            <w:pPr>
              <w:spacing w:after="0"/>
              <w:rPr>
                <w:sz w:val="20"/>
                <w:szCs w:val="20"/>
                <w:color w:val="auto"/>
              </w:rPr>
            </w:pPr>
            <w:r>
              <w:rPr>
                <w:rFonts w:ascii="Times New Roman" w:cs="Times New Roman" w:eastAsia="Times New Roman" w:hAnsi="Times New Roman"/>
                <w:sz w:val="20"/>
                <w:szCs w:val="20"/>
                <w:color w:val="3051F2"/>
              </w:rPr>
              <w:t>GLOSSARY</w:t>
            </w:r>
          </w:p>
        </w:tc>
        <w:tc>
          <w:tcPr>
            <w:tcW w:w="1800" w:type="dxa"/>
            <w:vAlign w:val="bottom"/>
          </w:tcPr>
          <w:p>
            <w:pPr>
              <w:jc w:val="center"/>
              <w:ind w:left="1241"/>
              <w:spacing w:after="0"/>
              <w:rPr>
                <w:sz w:val="20"/>
                <w:szCs w:val="20"/>
                <w:color w:val="auto"/>
              </w:rPr>
            </w:pPr>
            <w:r>
              <w:rPr>
                <w:rFonts w:ascii="Times New Roman" w:cs="Times New Roman" w:eastAsia="Times New Roman" w:hAnsi="Times New Roman"/>
                <w:sz w:val="20"/>
                <w:szCs w:val="20"/>
                <w:color w:val="3051F2"/>
                <w:w w:val="99"/>
              </w:rPr>
              <w:t>2</w:t>
            </w:r>
          </w:p>
        </w:tc>
        <w:tc>
          <w:tcPr>
            <w:tcW w:w="0" w:type="dxa"/>
            <w:vAlign w:val="bottom"/>
          </w:tcPr>
          <w:p>
            <w:pPr>
              <w:spacing w:after="0"/>
              <w:rPr>
                <w:sz w:val="1"/>
                <w:szCs w:val="1"/>
                <w:color w:val="auto"/>
              </w:rPr>
            </w:pPr>
          </w:p>
        </w:tc>
      </w:tr>
      <w:tr>
        <w:trPr>
          <w:trHeight w:val="527"/>
        </w:trPr>
        <w:tc>
          <w:tcPr>
            <w:tcW w:w="9240" w:type="dxa"/>
            <w:vAlign w:val="bottom"/>
          </w:tcPr>
          <w:p>
            <w:pPr>
              <w:spacing w:after="0"/>
              <w:rPr>
                <w:sz w:val="20"/>
                <w:szCs w:val="20"/>
                <w:color w:val="auto"/>
              </w:rPr>
            </w:pPr>
            <w:r>
              <w:rPr>
                <w:rFonts w:ascii="Times New Roman" w:cs="Times New Roman" w:eastAsia="Times New Roman" w:hAnsi="Times New Roman"/>
                <w:sz w:val="20"/>
                <w:szCs w:val="20"/>
                <w:color w:val="auto"/>
              </w:rPr>
              <w:t>FINANCIAL STATEMENTS:</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240" w:type="dxa"/>
            <w:vAlign w:val="bottom"/>
          </w:tcPr>
          <w:p>
            <w:pPr>
              <w:ind w:left="120"/>
              <w:spacing w:after="0"/>
              <w:rPr>
                <w:sz w:val="20"/>
                <w:szCs w:val="20"/>
                <w:color w:val="auto"/>
              </w:rPr>
            </w:pPr>
            <w:r>
              <w:rPr>
                <w:rFonts w:ascii="Times New Roman" w:cs="Times New Roman" w:eastAsia="Times New Roman" w:hAnsi="Times New Roman"/>
                <w:sz w:val="20"/>
                <w:szCs w:val="20"/>
                <w:color w:val="3051F2"/>
              </w:rPr>
              <w:t>Statements of Net Assets Available for Benefits as of December 31, 2025 and 2024</w:t>
            </w:r>
          </w:p>
        </w:tc>
        <w:tc>
          <w:tcPr>
            <w:tcW w:w="1800" w:type="dxa"/>
            <w:vAlign w:val="bottom"/>
          </w:tcPr>
          <w:p>
            <w:pPr>
              <w:jc w:val="center"/>
              <w:ind w:left="1241"/>
              <w:spacing w:after="0"/>
              <w:rPr>
                <w:sz w:val="20"/>
                <w:szCs w:val="20"/>
                <w:color w:val="auto"/>
              </w:rPr>
            </w:pPr>
            <w:r>
              <w:rPr>
                <w:rFonts w:ascii="Times New Roman" w:cs="Times New Roman" w:eastAsia="Times New Roman" w:hAnsi="Times New Roman"/>
                <w:sz w:val="20"/>
                <w:szCs w:val="20"/>
                <w:color w:val="3051F2"/>
                <w:w w:val="99"/>
              </w:rPr>
              <w:t>3</w:t>
            </w:r>
          </w:p>
        </w:tc>
        <w:tc>
          <w:tcPr>
            <w:tcW w:w="0" w:type="dxa"/>
            <w:vAlign w:val="bottom"/>
          </w:tcPr>
          <w:p>
            <w:pPr>
              <w:spacing w:after="0"/>
              <w:rPr>
                <w:sz w:val="1"/>
                <w:szCs w:val="1"/>
                <w:color w:val="auto"/>
              </w:rPr>
            </w:pPr>
          </w:p>
        </w:tc>
      </w:tr>
      <w:tr>
        <w:trPr>
          <w:trHeight w:val="527"/>
        </w:trPr>
        <w:tc>
          <w:tcPr>
            <w:tcW w:w="9240" w:type="dxa"/>
            <w:vAlign w:val="bottom"/>
          </w:tcPr>
          <w:p>
            <w:pPr>
              <w:ind w:left="120"/>
              <w:spacing w:after="0"/>
              <w:rPr>
                <w:sz w:val="20"/>
                <w:szCs w:val="20"/>
                <w:color w:val="auto"/>
              </w:rPr>
            </w:pPr>
            <w:r>
              <w:rPr>
                <w:rFonts w:ascii="Times New Roman" w:cs="Times New Roman" w:eastAsia="Times New Roman" w:hAnsi="Times New Roman"/>
                <w:sz w:val="20"/>
                <w:szCs w:val="20"/>
                <w:color w:val="3051F2"/>
              </w:rPr>
              <w:t>Statement of Changes in Net Assets Available for Benefits for the Year Ended December 31, 2025</w:t>
            </w:r>
          </w:p>
        </w:tc>
        <w:tc>
          <w:tcPr>
            <w:tcW w:w="1800" w:type="dxa"/>
            <w:vAlign w:val="bottom"/>
          </w:tcPr>
          <w:p>
            <w:pPr>
              <w:jc w:val="center"/>
              <w:ind w:left="1241"/>
              <w:spacing w:after="0"/>
              <w:rPr>
                <w:sz w:val="20"/>
                <w:szCs w:val="20"/>
                <w:color w:val="auto"/>
              </w:rPr>
            </w:pPr>
            <w:r>
              <w:rPr>
                <w:rFonts w:ascii="Times New Roman" w:cs="Times New Roman" w:eastAsia="Times New Roman" w:hAnsi="Times New Roman"/>
                <w:sz w:val="20"/>
                <w:szCs w:val="20"/>
                <w:color w:val="3051F2"/>
                <w:w w:val="99"/>
              </w:rPr>
              <w:t>4</w:t>
            </w:r>
          </w:p>
        </w:tc>
        <w:tc>
          <w:tcPr>
            <w:tcW w:w="0" w:type="dxa"/>
            <w:vAlign w:val="bottom"/>
          </w:tcPr>
          <w:p>
            <w:pPr>
              <w:spacing w:after="0"/>
              <w:rPr>
                <w:sz w:val="1"/>
                <w:szCs w:val="1"/>
                <w:color w:val="auto"/>
              </w:rPr>
            </w:pPr>
          </w:p>
        </w:tc>
      </w:tr>
      <w:tr>
        <w:trPr>
          <w:trHeight w:val="471"/>
        </w:trPr>
        <w:tc>
          <w:tcPr>
            <w:tcW w:w="9240" w:type="dxa"/>
            <w:vAlign w:val="bottom"/>
          </w:tcPr>
          <w:p>
            <w:pPr>
              <w:ind w:left="120"/>
              <w:spacing w:after="0"/>
              <w:rPr>
                <w:sz w:val="20"/>
                <w:szCs w:val="20"/>
                <w:color w:val="auto"/>
              </w:rPr>
            </w:pPr>
            <w:r>
              <w:rPr>
                <w:rFonts w:ascii="Times New Roman" w:cs="Times New Roman" w:eastAsia="Times New Roman" w:hAnsi="Times New Roman"/>
                <w:sz w:val="20"/>
                <w:szCs w:val="20"/>
                <w:color w:val="3051F2"/>
              </w:rPr>
              <w:t>Notes to Financial Statements as of December 31, 2025 and 2024 and for the</w:t>
            </w:r>
          </w:p>
        </w:tc>
        <w:tc>
          <w:tcPr>
            <w:tcW w:w="1800" w:type="dxa"/>
            <w:vAlign w:val="bottom"/>
            <w:vMerge w:val="restart"/>
          </w:tcPr>
          <w:p>
            <w:pPr>
              <w:jc w:val="center"/>
              <w:ind w:left="1241"/>
              <w:spacing w:after="0"/>
              <w:rPr>
                <w:sz w:val="20"/>
                <w:szCs w:val="20"/>
                <w:color w:val="auto"/>
              </w:rPr>
            </w:pPr>
            <w:r>
              <w:rPr>
                <w:rFonts w:ascii="Times New Roman" w:cs="Times New Roman" w:eastAsia="Times New Roman" w:hAnsi="Times New Roman"/>
                <w:sz w:val="20"/>
                <w:szCs w:val="20"/>
                <w:color w:val="3051F2"/>
                <w:w w:val="99"/>
              </w:rPr>
              <w:t>5</w:t>
            </w:r>
          </w:p>
        </w:tc>
        <w:tc>
          <w:tcPr>
            <w:tcW w:w="0" w:type="dxa"/>
            <w:vAlign w:val="bottom"/>
          </w:tcPr>
          <w:p>
            <w:pPr>
              <w:spacing w:after="0"/>
              <w:rPr>
                <w:sz w:val="1"/>
                <w:szCs w:val="1"/>
                <w:color w:val="auto"/>
              </w:rPr>
            </w:pPr>
          </w:p>
        </w:tc>
      </w:tr>
      <w:tr>
        <w:trPr>
          <w:trHeight w:val="258"/>
        </w:trPr>
        <w:tc>
          <w:tcPr>
            <w:tcW w:w="9240" w:type="dxa"/>
            <w:vAlign w:val="bottom"/>
          </w:tcPr>
          <w:p>
            <w:pPr>
              <w:ind w:left="200"/>
              <w:spacing w:after="0"/>
              <w:rPr>
                <w:sz w:val="20"/>
                <w:szCs w:val="20"/>
                <w:color w:val="auto"/>
              </w:rPr>
            </w:pPr>
            <w:r>
              <w:rPr>
                <w:rFonts w:ascii="Times New Roman" w:cs="Times New Roman" w:eastAsia="Times New Roman" w:hAnsi="Times New Roman"/>
                <w:sz w:val="20"/>
                <w:szCs w:val="20"/>
                <w:color w:val="3051F2"/>
              </w:rPr>
              <w:t>Year Ended December 31, 2025</w:t>
            </w:r>
          </w:p>
        </w:tc>
        <w:tc>
          <w:tcPr>
            <w:tcW w:w="1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13"/>
        </w:trPr>
        <w:tc>
          <w:tcPr>
            <w:tcW w:w="9240" w:type="dxa"/>
            <w:vAlign w:val="bottom"/>
          </w:tcPr>
          <w:p>
            <w:pPr>
              <w:spacing w:after="0"/>
              <w:rPr>
                <w:sz w:val="20"/>
                <w:szCs w:val="20"/>
                <w:color w:val="auto"/>
              </w:rPr>
            </w:pPr>
            <w:r>
              <w:rPr>
                <w:rFonts w:ascii="Times New Roman" w:cs="Times New Roman" w:eastAsia="Times New Roman" w:hAnsi="Times New Roman"/>
                <w:sz w:val="20"/>
                <w:szCs w:val="20"/>
                <w:color w:val="auto"/>
              </w:rPr>
              <w:t>SUPPLEMENTAL SCHEDULE:</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1"/>
        </w:trPr>
        <w:tc>
          <w:tcPr>
            <w:tcW w:w="9240" w:type="dxa"/>
            <w:vAlign w:val="bottom"/>
          </w:tcPr>
          <w:p>
            <w:pPr>
              <w:ind w:left="120"/>
              <w:spacing w:after="0"/>
              <w:rPr>
                <w:sz w:val="20"/>
                <w:szCs w:val="20"/>
                <w:color w:val="auto"/>
              </w:rPr>
            </w:pPr>
            <w:r>
              <w:rPr>
                <w:rFonts w:ascii="Times New Roman" w:cs="Times New Roman" w:eastAsia="Times New Roman" w:hAnsi="Times New Roman"/>
                <w:sz w:val="20"/>
                <w:szCs w:val="20"/>
                <w:color w:val="3051F2"/>
              </w:rPr>
              <w:t>Form 5500, Schedule H, Part IV, Line 4i — Schedule of Assets (Held at End of Year) as of</w:t>
            </w:r>
          </w:p>
        </w:tc>
        <w:tc>
          <w:tcPr>
            <w:tcW w:w="1800" w:type="dxa"/>
            <w:vAlign w:val="bottom"/>
            <w:vMerge w:val="restart"/>
          </w:tcPr>
          <w:p>
            <w:pPr>
              <w:jc w:val="center"/>
              <w:ind w:left="1221"/>
              <w:spacing w:after="0"/>
              <w:rPr>
                <w:sz w:val="20"/>
                <w:szCs w:val="20"/>
                <w:color w:val="auto"/>
              </w:rPr>
            </w:pPr>
            <w:r>
              <w:rPr>
                <w:rFonts w:ascii="Times New Roman" w:cs="Times New Roman" w:eastAsia="Times New Roman" w:hAnsi="Times New Roman"/>
                <w:sz w:val="20"/>
                <w:szCs w:val="20"/>
                <w:color w:val="3051F2"/>
                <w:w w:val="99"/>
              </w:rPr>
              <w:t>18</w:t>
            </w:r>
          </w:p>
        </w:tc>
        <w:tc>
          <w:tcPr>
            <w:tcW w:w="0" w:type="dxa"/>
            <w:vAlign w:val="bottom"/>
          </w:tcPr>
          <w:p>
            <w:pPr>
              <w:spacing w:after="0"/>
              <w:rPr>
                <w:sz w:val="1"/>
                <w:szCs w:val="1"/>
                <w:color w:val="auto"/>
              </w:rPr>
            </w:pPr>
          </w:p>
        </w:tc>
      </w:tr>
      <w:tr>
        <w:trPr>
          <w:trHeight w:val="258"/>
        </w:trPr>
        <w:tc>
          <w:tcPr>
            <w:tcW w:w="9240" w:type="dxa"/>
            <w:vAlign w:val="bottom"/>
          </w:tcPr>
          <w:p>
            <w:pPr>
              <w:ind w:left="200"/>
              <w:spacing w:after="0"/>
              <w:rPr>
                <w:sz w:val="20"/>
                <w:szCs w:val="20"/>
                <w:color w:val="auto"/>
              </w:rPr>
            </w:pPr>
            <w:r>
              <w:rPr>
                <w:rFonts w:ascii="Times New Roman" w:cs="Times New Roman" w:eastAsia="Times New Roman" w:hAnsi="Times New Roman"/>
                <w:sz w:val="20"/>
                <w:szCs w:val="20"/>
                <w:color w:val="3051F2"/>
              </w:rPr>
              <w:t>December 31, 2025</w:t>
            </w:r>
          </w:p>
        </w:tc>
        <w:tc>
          <w:tcPr>
            <w:tcW w:w="1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740" w:right="1580" w:hanging="566"/>
        <w:spacing w:after="0" w:line="275" w:lineRule="auto"/>
        <w:tabs>
          <w:tab w:leader="none" w:pos="720" w:val="left"/>
        </w:tabs>
        <w:rPr>
          <w:sz w:val="20"/>
          <w:szCs w:val="20"/>
          <w:color w:val="auto"/>
        </w:rPr>
      </w:pPr>
      <w:r>
        <w:rPr>
          <w:rFonts w:ascii="Arial" w:cs="Arial" w:eastAsia="Arial" w:hAnsi="Arial"/>
          <w:sz w:val="16"/>
          <w:szCs w:val="16"/>
          <w:color w:val="auto"/>
        </w:rPr>
        <w:t>NOTE:</w:t>
        <w:tab/>
        <w:t>All other schedules required by Section 2520.103-10 of the Department of Labor’s Rules and Regulations for Reporting and Disclosure under the Employee Retirement Income Security Act of 1974 are omitted because of the absence of conditions under which they are required or they are filed by the Trustee of the Master Trust in which the Plan participates.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991870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16" w:right="5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Plan Participants and Plan Administrator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Sempra Savings Plan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8"/>
          <w:szCs w:val="18"/>
          <w:color w:val="auto"/>
        </w:rPr>
        <w:t xml:space="preserve">We have audited the accompanying statements of net assets available for benefits of the Sempra Savings Plan (the </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Plan</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as of December 31, 2025 and 2024, the related statement of changes in net assets available for benefits for the year ended December 31, 2025, and the related notes (collectively referred to as the </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financial statements</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on Supplemental Schedule</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supplemental schedule of assets (held at end of year) as of December 31, 2025, has been subjected to audit procedures performed in conjunction with the audit of the Plan’s financial statements. The supplemental schedule is the responsibility of the Plan’s management. Our audit procedures included determining whether the supplemental schedule reconciles to the financial statements or the underlying accounting and other records, as applicable, and performing procedures to test the completeness and accuracy of the information presented in the supplemental schedule. In forming our opinion on the supplemental schedule, we evaluated whether the supplemental schedule, including its form and content, is presented in compliance with the Department of Labor’s Rules and Regulations for Reporting and Disclosure under the Employee Retirement Income Security Act of 1974. In our opinion, such schedule is fairly stated, in all material respects, in relation to the financial statements as a whole.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DELOITTE &amp; TOUCHE LLP</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auditor of the Plan since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5" w:name="page6"/>
    <w:bookmarkEnd w:id="5"/>
    <w:p>
      <w:pPr>
        <w:spacing w:after="0"/>
        <w:rPr>
          <w:sz w:val="20"/>
          <w:szCs w:val="20"/>
          <w:color w:val="auto"/>
        </w:rPr>
      </w:pPr>
      <w:r>
        <w:rPr>
          <w:rFonts w:ascii="Arial" w:cs="Arial" w:eastAsia="Arial" w:hAnsi="Arial"/>
          <w:sz w:val="23"/>
          <w:szCs w:val="23"/>
          <w:b w:val="1"/>
          <w:bCs w:val="1"/>
          <w:color w:val="auto"/>
        </w:rPr>
        <w:t>SEMPRA SAVINGS PLAN</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GLOSSARY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7" w:lineRule="exact"/>
        <w:rPr>
          <w:sz w:val="20"/>
          <w:szCs w:val="20"/>
          <w:color w:val="auto"/>
        </w:rPr>
      </w:pPr>
    </w:p>
    <w:p>
      <w:pPr>
        <w:ind w:left="40" w:right="2180" w:hanging="12"/>
        <w:spacing w:after="0" w:line="363" w:lineRule="auto"/>
        <w:rPr>
          <w:sz w:val="20"/>
          <w:szCs w:val="20"/>
          <w:color w:val="auto"/>
        </w:rPr>
      </w:pPr>
      <w:r>
        <w:rPr>
          <w:rFonts w:ascii="Times New Roman" w:cs="Times New Roman" w:eastAsia="Times New Roman" w:hAnsi="Times New Roman"/>
          <w:sz w:val="20"/>
          <w:szCs w:val="20"/>
          <w:color w:val="auto"/>
        </w:rPr>
        <w:t xml:space="preserve">The following terms and abbreviations appearing in these financial statements have the meanings indicated below. </w:t>
      </w:r>
      <w:r>
        <w:rPr>
          <w:rFonts w:ascii="Times New Roman" w:cs="Times New Roman" w:eastAsia="Times New Roman" w:hAnsi="Times New Roman"/>
          <w:sz w:val="20"/>
          <w:szCs w:val="20"/>
          <w:b w:val="1"/>
          <w:bCs w:val="1"/>
          <w:color w:val="auto"/>
        </w:rPr>
        <w:t>GLOSSARY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40575" cy="37287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0575" cy="37287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9"/>
        </w:trPr>
        <w:tc>
          <w:tcPr>
            <w:tcW w:w="274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Company</w:t>
            </w:r>
          </w:p>
        </w:tc>
        <w:tc>
          <w:tcPr>
            <w:tcW w:w="8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Sempra</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Employer</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Sempra</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ERISA</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Employee Retirement Income Security Act of 1974</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FIAM</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Fidelity Institutional Asset Management</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IRC</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 Internal Revenue Code</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IRS</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 Internal Revenue Service</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Master Trust</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Sempra Savings Master Trust</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NAV</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net asset value</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Newport</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Newport Trust Company</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Plan</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Sempra Savings Plan</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Plan Administrator</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Sempra Pension and Benefits Committee</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Plan Sponsor</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Sempra</w:t>
            </w:r>
          </w:p>
        </w:tc>
      </w:tr>
      <w:tr>
        <w:trPr>
          <w:trHeight w:val="187"/>
        </w:trPr>
        <w:tc>
          <w:tcPr>
            <w:tcW w:w="2740" w:type="dxa"/>
            <w:vAlign w:val="bottom"/>
            <w:tcBorders>
              <w:right w:val="single" w:sz="8" w:color="auto"/>
            </w:tcBorders>
          </w:tcPr>
          <w:p>
            <w:pPr>
              <w:ind w:left="40"/>
              <w:spacing w:after="0" w:line="186" w:lineRule="exact"/>
              <w:rPr>
                <w:sz w:val="20"/>
                <w:szCs w:val="20"/>
                <w:color w:val="auto"/>
              </w:rPr>
            </w:pPr>
            <w:r>
              <w:rPr>
                <w:rFonts w:ascii="Times New Roman" w:cs="Times New Roman" w:eastAsia="Times New Roman" w:hAnsi="Times New Roman"/>
                <w:sz w:val="20"/>
                <w:szCs w:val="20"/>
                <w:color w:val="auto"/>
              </w:rPr>
              <w:t>Roth</w:t>
            </w:r>
          </w:p>
        </w:tc>
        <w:tc>
          <w:tcPr>
            <w:tcW w:w="85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Type of employee elective deferral contributions that are made on an after-tax basis and for which the</w:t>
            </w:r>
          </w:p>
        </w:tc>
      </w:tr>
      <w:tr>
        <w:trPr>
          <w:trHeight w:val="252"/>
        </w:trPr>
        <w:tc>
          <w:tcPr>
            <w:tcW w:w="2740" w:type="dxa"/>
            <w:vAlign w:val="bottom"/>
            <w:tcBorders>
              <w:bottom w:val="single" w:sz="8" w:color="auto"/>
              <w:right w:val="single" w:sz="8" w:color="auto"/>
            </w:tcBorders>
          </w:tcPr>
          <w:p>
            <w:pPr>
              <w:spacing w:after="0"/>
              <w:rPr>
                <w:sz w:val="21"/>
                <w:szCs w:val="21"/>
                <w:color w:val="auto"/>
              </w:rPr>
            </w:pP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distributions of such contributions and the earnings thereon are tax-free if certain conditions are met</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SDBA</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self-directed brokerage account</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Sempra P&amp;B Committee</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Sempra Pension and Benefits Committee</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Sempra Stock Fund</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Stock Investment Fund</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State Street</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State Street Investment Management (formerly known as State Street Global Advisors (SSGA))</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TRP</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 Rowe Price</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Trustee</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 Rowe Price</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 GAAP</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generally accepted accounting principles in the United States of America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16" w:right="319" w:bottom="1440" w:gutter="0" w:footer="0" w:header="0"/>
        </w:sectPr>
      </w:pPr>
    </w:p>
    <w:bookmarkStart w:id="6" w:name="page7"/>
    <w:bookmarkEnd w:id="6"/>
    <w:p>
      <w:pPr>
        <w:spacing w:after="0"/>
        <w:rPr>
          <w:sz w:val="20"/>
          <w:szCs w:val="20"/>
          <w:color w:val="auto"/>
        </w:rPr>
      </w:pPr>
      <w:r>
        <w:rPr>
          <w:rFonts w:ascii="Arial" w:cs="Arial" w:eastAsia="Arial" w:hAnsi="Arial"/>
          <w:sz w:val="23"/>
          <w:szCs w:val="23"/>
          <w:b w:val="1"/>
          <w:bCs w:val="1"/>
          <w:color w:val="auto"/>
        </w:rPr>
        <w:t>SEMPRA SAVINGS PLAN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2025 AND 2024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0628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19"/>
                <w:szCs w:val="19"/>
                <w:color w:val="auto"/>
              </w:rPr>
            </w:pPr>
          </w:p>
        </w:tc>
        <w:tc>
          <w:tcPr>
            <w:tcW w:w="1640" w:type="dxa"/>
            <w:vAlign w:val="bottom"/>
          </w:tcPr>
          <w:p>
            <w:pPr>
              <w:jc w:val="right"/>
              <w:ind w:right="263"/>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716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ASSETS</w:t>
            </w: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43"/>
              <w:spacing w:after="0"/>
              <w:rPr>
                <w:sz w:val="20"/>
                <w:szCs w:val="20"/>
                <w:color w:val="auto"/>
              </w:rPr>
            </w:pPr>
            <w:r>
              <w:rPr>
                <w:rFonts w:ascii="Arial" w:cs="Arial" w:eastAsia="Arial" w:hAnsi="Arial"/>
                <w:sz w:val="18"/>
                <w:szCs w:val="18"/>
                <w:b w:val="1"/>
                <w:bCs w:val="1"/>
                <w:color w:val="auto"/>
              </w:rPr>
              <w:t>2025</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43"/>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27"/>
        </w:trPr>
        <w:tc>
          <w:tcPr>
            <w:tcW w:w="71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1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INVESTMENT:</w:t>
            </w:r>
          </w:p>
        </w:tc>
        <w:tc>
          <w:tcPr>
            <w:tcW w:w="2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71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Plan interest in Master Trust, at fair value</w:t>
            </w:r>
          </w:p>
        </w:tc>
        <w:tc>
          <w:tcPr>
            <w:tcW w:w="2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558,441</w:t>
            </w:r>
          </w:p>
        </w:tc>
        <w:tc>
          <w:tcPr>
            <w:tcW w:w="280" w:type="dxa"/>
            <w:vAlign w:val="bottom"/>
          </w:tcPr>
          <w:p>
            <w:pPr>
              <w:spacing w:after="0"/>
              <w:rPr>
                <w:sz w:val="22"/>
                <w:szCs w:val="22"/>
                <w:color w:val="auto"/>
              </w:rPr>
            </w:pPr>
          </w:p>
        </w:tc>
        <w:tc>
          <w:tcPr>
            <w:tcW w:w="2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496,399</w:t>
            </w:r>
          </w:p>
        </w:tc>
        <w:tc>
          <w:tcPr>
            <w:tcW w:w="0" w:type="dxa"/>
            <w:vAlign w:val="bottom"/>
          </w:tcPr>
          <w:p>
            <w:pPr>
              <w:spacing w:after="0"/>
              <w:rPr>
                <w:sz w:val="1"/>
                <w:szCs w:val="1"/>
                <w:color w:val="auto"/>
              </w:rPr>
            </w:pPr>
          </w:p>
        </w:tc>
      </w:tr>
      <w:tr>
        <w:trPr>
          <w:trHeight w:val="504"/>
        </w:trPr>
        <w:tc>
          <w:tcPr>
            <w:tcW w:w="71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RECEIVABLES:</w:t>
            </w: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1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Notes receivable from participants</w:t>
            </w:r>
          </w:p>
        </w:tc>
        <w:tc>
          <w:tcPr>
            <w:tcW w:w="2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3,189</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3,129</w:t>
            </w:r>
          </w:p>
        </w:tc>
        <w:tc>
          <w:tcPr>
            <w:tcW w:w="0" w:type="dxa"/>
            <w:vAlign w:val="bottom"/>
          </w:tcPr>
          <w:p>
            <w:pPr>
              <w:spacing w:after="0"/>
              <w:rPr>
                <w:sz w:val="1"/>
                <w:szCs w:val="1"/>
                <w:color w:val="auto"/>
              </w:rPr>
            </w:pPr>
          </w:p>
        </w:tc>
      </w:tr>
      <w:tr>
        <w:trPr>
          <w:trHeight w:val="257"/>
        </w:trPr>
        <w:tc>
          <w:tcPr>
            <w:tcW w:w="71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Dividends</w:t>
            </w:r>
          </w:p>
        </w:tc>
        <w:tc>
          <w:tcPr>
            <w:tcW w:w="2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487</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495</w:t>
            </w:r>
          </w:p>
        </w:tc>
        <w:tc>
          <w:tcPr>
            <w:tcW w:w="0" w:type="dxa"/>
            <w:vAlign w:val="bottom"/>
          </w:tcPr>
          <w:p>
            <w:pPr>
              <w:spacing w:after="0"/>
              <w:rPr>
                <w:sz w:val="1"/>
                <w:szCs w:val="1"/>
                <w:color w:val="auto"/>
              </w:rPr>
            </w:pPr>
          </w:p>
        </w:tc>
      </w:tr>
      <w:tr>
        <w:trPr>
          <w:trHeight w:val="257"/>
        </w:trPr>
        <w:tc>
          <w:tcPr>
            <w:tcW w:w="71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Employer contributions</w:t>
            </w:r>
          </w:p>
        </w:tc>
        <w:tc>
          <w:tcPr>
            <w:tcW w:w="2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2"/>
        </w:trPr>
        <w:tc>
          <w:tcPr>
            <w:tcW w:w="71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Participant contributions</w:t>
            </w:r>
          </w:p>
        </w:tc>
        <w:tc>
          <w:tcPr>
            <w:tcW w:w="2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507"/>
        </w:trPr>
        <w:tc>
          <w:tcPr>
            <w:tcW w:w="71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Total receivables</w:t>
            </w:r>
          </w:p>
        </w:tc>
        <w:tc>
          <w:tcPr>
            <w:tcW w:w="2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3,679</w:t>
            </w:r>
          </w:p>
        </w:tc>
        <w:tc>
          <w:tcPr>
            <w:tcW w:w="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3,624</w:t>
            </w:r>
          </w:p>
        </w:tc>
        <w:tc>
          <w:tcPr>
            <w:tcW w:w="0" w:type="dxa"/>
            <w:vAlign w:val="bottom"/>
          </w:tcPr>
          <w:p>
            <w:pPr>
              <w:spacing w:after="0"/>
              <w:rPr>
                <w:sz w:val="1"/>
                <w:szCs w:val="1"/>
                <w:color w:val="auto"/>
              </w:rPr>
            </w:pPr>
          </w:p>
        </w:tc>
      </w:tr>
      <w:tr>
        <w:trPr>
          <w:trHeight w:val="506"/>
        </w:trPr>
        <w:tc>
          <w:tcPr>
            <w:tcW w:w="7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ASSETS</w:t>
            </w:r>
          </w:p>
        </w:tc>
        <w:tc>
          <w:tcPr>
            <w:tcW w:w="2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562,120</w:t>
            </w:r>
          </w:p>
        </w:tc>
        <w:tc>
          <w:tcPr>
            <w:tcW w:w="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500,023</w:t>
            </w:r>
          </w:p>
        </w:tc>
        <w:tc>
          <w:tcPr>
            <w:tcW w:w="0" w:type="dxa"/>
            <w:vAlign w:val="bottom"/>
          </w:tcPr>
          <w:p>
            <w:pPr>
              <w:spacing w:after="0"/>
              <w:rPr>
                <w:sz w:val="1"/>
                <w:szCs w:val="1"/>
                <w:color w:val="auto"/>
              </w:rPr>
            </w:pPr>
          </w:p>
        </w:tc>
      </w:tr>
      <w:tr>
        <w:trPr>
          <w:trHeight w:val="480"/>
        </w:trPr>
        <w:tc>
          <w:tcPr>
            <w:tcW w:w="7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LIABILITIES</w:t>
            </w:r>
          </w:p>
        </w:tc>
        <w:tc>
          <w:tcPr>
            <w:tcW w:w="240" w:type="dxa"/>
            <w:vAlign w:val="bottom"/>
          </w:tcPr>
          <w:p>
            <w:pPr>
              <w:spacing w:after="0"/>
              <w:rPr>
                <w:sz w:val="24"/>
                <w:szCs w:val="24"/>
                <w:color w:val="auto"/>
              </w:rPr>
            </w:pPr>
          </w:p>
        </w:tc>
        <w:tc>
          <w:tcPr>
            <w:tcW w:w="19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510"/>
        </w:trPr>
        <w:tc>
          <w:tcPr>
            <w:tcW w:w="7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NET ASSETS AVAILABLE FOR BENEFITS</w:t>
            </w:r>
          </w:p>
        </w:tc>
        <w:tc>
          <w:tcPr>
            <w:tcW w:w="2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562,120</w:t>
            </w:r>
          </w:p>
        </w:tc>
        <w:tc>
          <w:tcPr>
            <w:tcW w:w="28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500,023</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See Notes to Financial Statements.</w:t>
            </w: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3"/>
        </w:trPr>
        <w:tc>
          <w:tcPr>
            <w:tcW w:w="71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6" w:right="379" w:bottom="1440" w:gutter="0" w:footer="0" w:header="0"/>
        </w:sectPr>
      </w:pPr>
    </w:p>
    <w:bookmarkStart w:id="7" w:name="page8"/>
    <w:bookmarkEnd w:id="7"/>
    <w:p>
      <w:pPr>
        <w:spacing w:after="0"/>
        <w:rPr>
          <w:sz w:val="20"/>
          <w:szCs w:val="20"/>
          <w:color w:val="auto"/>
        </w:rPr>
      </w:pPr>
      <w:r>
        <w:rPr>
          <w:rFonts w:ascii="Arial" w:cs="Arial" w:eastAsia="Arial" w:hAnsi="Arial"/>
          <w:sz w:val="23"/>
          <w:szCs w:val="23"/>
          <w:b w:val="1"/>
          <w:bCs w:val="1"/>
          <w:color w:val="auto"/>
        </w:rPr>
        <w:t>SEMPRA SAVINGS PLAN</w:t>
      </w:r>
    </w:p>
    <w:p>
      <w:pPr>
        <w:spacing w:after="0" w:line="38" w:lineRule="exact"/>
        <w:rPr>
          <w:sz w:val="20"/>
          <w:szCs w:val="20"/>
          <w:color w:val="auto"/>
        </w:rPr>
      </w:pPr>
    </w:p>
    <w:p>
      <w:pPr>
        <w:ind w:right="5080"/>
        <w:spacing w:after="0" w:line="263" w:lineRule="auto"/>
        <w:rPr>
          <w:sz w:val="20"/>
          <w:szCs w:val="20"/>
          <w:color w:val="auto"/>
        </w:rPr>
      </w:pPr>
      <w:r>
        <w:rPr>
          <w:rFonts w:ascii="Arial" w:cs="Arial" w:eastAsia="Arial" w:hAnsi="Arial"/>
          <w:sz w:val="18"/>
          <w:szCs w:val="18"/>
          <w:b w:val="1"/>
          <w:bCs w:val="1"/>
          <w:color w:val="auto"/>
        </w:rPr>
        <w:t>STATEMENT OF CHANGES IN NET ASSETS AVAILABLE FOR BENEFITS FOR THE YEAR ENDED DECEMBER 31, 2025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9560" w:type="dxa"/>
            <w:vAlign w:val="bottom"/>
          </w:tcPr>
          <w:p>
            <w:pPr>
              <w:spacing w:after="0"/>
              <w:rPr>
                <w:sz w:val="20"/>
                <w:szCs w:val="20"/>
                <w:color w:val="auto"/>
              </w:rPr>
            </w:pPr>
            <w:r>
              <w:rPr>
                <w:rFonts w:ascii="Times New Roman" w:cs="Times New Roman" w:eastAsia="Times New Roman" w:hAnsi="Times New Roman"/>
                <w:sz w:val="20"/>
                <w:szCs w:val="20"/>
                <w:color w:val="auto"/>
              </w:rPr>
              <w:t>ADDITIONS:</w:t>
            </w:r>
          </w:p>
        </w:tc>
        <w:tc>
          <w:tcPr>
            <w:tcW w:w="5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9"/>
        </w:trPr>
        <w:tc>
          <w:tcPr>
            <w:tcW w:w="95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Net investment gain — Plan interest in Master Trust</w:t>
            </w:r>
          </w:p>
        </w:tc>
        <w:tc>
          <w:tcPr>
            <w:tcW w:w="5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72,070</w:t>
            </w:r>
          </w:p>
        </w:tc>
      </w:tr>
      <w:tr>
        <w:trPr>
          <w:trHeight w:val="342"/>
        </w:trPr>
        <w:tc>
          <w:tcPr>
            <w:tcW w:w="95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Contributions:</w:t>
            </w: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6"/>
        </w:trPr>
        <w:tc>
          <w:tcPr>
            <w:tcW w:w="95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Employer, net of forfeitures</w:t>
            </w:r>
          </w:p>
        </w:tc>
        <w:tc>
          <w:tcPr>
            <w:tcW w:w="5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6,467</w:t>
            </w:r>
          </w:p>
        </w:tc>
      </w:tr>
      <w:tr>
        <w:trPr>
          <w:trHeight w:val="257"/>
        </w:trPr>
        <w:tc>
          <w:tcPr>
            <w:tcW w:w="95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Participant</w:t>
            </w:r>
          </w:p>
        </w:tc>
        <w:tc>
          <w:tcPr>
            <w:tcW w:w="5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20,247</w:t>
            </w:r>
          </w:p>
        </w:tc>
      </w:tr>
      <w:tr>
        <w:trPr>
          <w:trHeight w:val="262"/>
        </w:trPr>
        <w:tc>
          <w:tcPr>
            <w:tcW w:w="95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Participant rollovers</w:t>
            </w:r>
          </w:p>
        </w:tc>
        <w:tc>
          <w:tcPr>
            <w:tcW w:w="5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4,640</w:t>
            </w:r>
          </w:p>
        </w:tc>
      </w:tr>
      <w:tr>
        <w:trPr>
          <w:trHeight w:val="345"/>
        </w:trPr>
        <w:tc>
          <w:tcPr>
            <w:tcW w:w="95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Total contributions</w:t>
            </w:r>
          </w:p>
        </w:tc>
        <w:tc>
          <w:tcPr>
            <w:tcW w:w="5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31,354</w:t>
            </w:r>
          </w:p>
        </w:tc>
      </w:tr>
      <w:tr>
        <w:trPr>
          <w:trHeight w:val="344"/>
        </w:trPr>
        <w:tc>
          <w:tcPr>
            <w:tcW w:w="95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Interest income on notes receivable from participants</w:t>
            </w:r>
          </w:p>
        </w:tc>
        <w:tc>
          <w:tcPr>
            <w:tcW w:w="5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239</w:t>
            </w:r>
          </w:p>
        </w:tc>
      </w:tr>
      <w:tr>
        <w:trPr>
          <w:trHeight w:val="342"/>
        </w:trPr>
        <w:tc>
          <w:tcPr>
            <w:tcW w:w="95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Total additions</w:t>
            </w:r>
          </w:p>
        </w:tc>
        <w:tc>
          <w:tcPr>
            <w:tcW w:w="5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103,663</w:t>
            </w:r>
          </w:p>
        </w:tc>
      </w:tr>
      <w:tr>
        <w:trPr>
          <w:trHeight w:val="342"/>
        </w:trPr>
        <w:tc>
          <w:tcPr>
            <w:tcW w:w="9560" w:type="dxa"/>
            <w:vAlign w:val="bottom"/>
          </w:tcPr>
          <w:p>
            <w:pPr>
              <w:spacing w:after="0"/>
              <w:rPr>
                <w:sz w:val="20"/>
                <w:szCs w:val="20"/>
                <w:color w:val="auto"/>
              </w:rPr>
            </w:pPr>
            <w:r>
              <w:rPr>
                <w:rFonts w:ascii="Times New Roman" w:cs="Times New Roman" w:eastAsia="Times New Roman" w:hAnsi="Times New Roman"/>
                <w:sz w:val="20"/>
                <w:szCs w:val="20"/>
                <w:color w:val="auto"/>
              </w:rPr>
              <w:t>DEDUCTIONS:</w:t>
            </w: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95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Distributions to participants or their beneficiaries</w:t>
            </w:r>
          </w:p>
        </w:tc>
        <w:tc>
          <w:tcPr>
            <w:tcW w:w="5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43,569</w:t>
            </w:r>
          </w:p>
        </w:tc>
      </w:tr>
      <w:tr>
        <w:trPr>
          <w:trHeight w:val="262"/>
        </w:trPr>
        <w:tc>
          <w:tcPr>
            <w:tcW w:w="95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Administrative expenses</w:t>
            </w:r>
          </w:p>
        </w:tc>
        <w:tc>
          <w:tcPr>
            <w:tcW w:w="5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345"/>
        </w:trPr>
        <w:tc>
          <w:tcPr>
            <w:tcW w:w="95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Total deductions</w:t>
            </w:r>
          </w:p>
        </w:tc>
        <w:tc>
          <w:tcPr>
            <w:tcW w:w="5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43,606</w:t>
            </w:r>
          </w:p>
        </w:tc>
      </w:tr>
      <w:tr>
        <w:trPr>
          <w:trHeight w:val="342"/>
        </w:trPr>
        <w:tc>
          <w:tcPr>
            <w:tcW w:w="9560" w:type="dxa"/>
            <w:vAlign w:val="bottom"/>
          </w:tcPr>
          <w:p>
            <w:pPr>
              <w:spacing w:after="0"/>
              <w:rPr>
                <w:sz w:val="20"/>
                <w:szCs w:val="20"/>
                <w:color w:val="auto"/>
              </w:rPr>
            </w:pPr>
            <w:r>
              <w:rPr>
                <w:rFonts w:ascii="Times New Roman" w:cs="Times New Roman" w:eastAsia="Times New Roman" w:hAnsi="Times New Roman"/>
                <w:sz w:val="20"/>
                <w:szCs w:val="20"/>
                <w:color w:val="auto"/>
              </w:rPr>
              <w:t>INCREASE IN NET ASSETS BEFORE PLAN TRANSFERS</w:t>
            </w:r>
          </w:p>
        </w:tc>
        <w:tc>
          <w:tcPr>
            <w:tcW w:w="5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60,057</w:t>
            </w:r>
          </w:p>
        </w:tc>
      </w:tr>
      <w:tr>
        <w:trPr>
          <w:trHeight w:val="342"/>
        </w:trPr>
        <w:tc>
          <w:tcPr>
            <w:tcW w:w="9560" w:type="dxa"/>
            <w:vAlign w:val="bottom"/>
          </w:tcPr>
          <w:p>
            <w:pPr>
              <w:spacing w:after="0"/>
              <w:rPr>
                <w:sz w:val="20"/>
                <w:szCs w:val="20"/>
                <w:color w:val="auto"/>
              </w:rPr>
            </w:pPr>
            <w:r>
              <w:rPr>
                <w:rFonts w:ascii="Times New Roman" w:cs="Times New Roman" w:eastAsia="Times New Roman" w:hAnsi="Times New Roman"/>
                <w:sz w:val="20"/>
                <w:szCs w:val="20"/>
                <w:color w:val="auto"/>
              </w:rPr>
              <w:t>PLAN TRANSFERS:</w:t>
            </w: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95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From plans of related entities</w:t>
            </w:r>
          </w:p>
        </w:tc>
        <w:tc>
          <w:tcPr>
            <w:tcW w:w="5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3,723</w:t>
            </w:r>
          </w:p>
        </w:tc>
      </w:tr>
      <w:tr>
        <w:trPr>
          <w:trHeight w:val="262"/>
        </w:trPr>
        <w:tc>
          <w:tcPr>
            <w:tcW w:w="95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 plans of related entities</w:t>
            </w:r>
          </w:p>
        </w:tc>
        <w:tc>
          <w:tcPr>
            <w:tcW w:w="5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(1,683)</w:t>
            </w:r>
          </w:p>
        </w:tc>
      </w:tr>
      <w:tr>
        <w:trPr>
          <w:trHeight w:val="344"/>
        </w:trPr>
        <w:tc>
          <w:tcPr>
            <w:tcW w:w="95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Net plan transfers</w:t>
            </w:r>
          </w:p>
        </w:tc>
        <w:tc>
          <w:tcPr>
            <w:tcW w:w="5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2,040</w:t>
            </w:r>
          </w:p>
        </w:tc>
      </w:tr>
      <w:tr>
        <w:trPr>
          <w:trHeight w:val="341"/>
        </w:trPr>
        <w:tc>
          <w:tcPr>
            <w:tcW w:w="9560" w:type="dxa"/>
            <w:vAlign w:val="bottom"/>
          </w:tcPr>
          <w:p>
            <w:pPr>
              <w:spacing w:after="0"/>
              <w:rPr>
                <w:sz w:val="20"/>
                <w:szCs w:val="20"/>
                <w:color w:val="auto"/>
              </w:rPr>
            </w:pPr>
            <w:r>
              <w:rPr>
                <w:rFonts w:ascii="Times New Roman" w:cs="Times New Roman" w:eastAsia="Times New Roman" w:hAnsi="Times New Roman"/>
                <w:sz w:val="20"/>
                <w:szCs w:val="20"/>
                <w:color w:val="auto"/>
              </w:rPr>
              <w:t>NET INCREASE IN NET ASSETS</w:t>
            </w:r>
          </w:p>
        </w:tc>
        <w:tc>
          <w:tcPr>
            <w:tcW w:w="5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62,097</w:t>
            </w:r>
          </w:p>
        </w:tc>
      </w:tr>
      <w:tr>
        <w:trPr>
          <w:trHeight w:val="363"/>
        </w:trPr>
        <w:tc>
          <w:tcPr>
            <w:tcW w:w="9560" w:type="dxa"/>
            <w:vAlign w:val="bottom"/>
          </w:tcPr>
          <w:p>
            <w:pPr>
              <w:spacing w:after="0"/>
              <w:rPr>
                <w:sz w:val="20"/>
                <w:szCs w:val="20"/>
                <w:color w:val="auto"/>
              </w:rPr>
            </w:pPr>
            <w:r>
              <w:rPr>
                <w:rFonts w:ascii="Times New Roman" w:cs="Times New Roman" w:eastAsia="Times New Roman" w:hAnsi="Times New Roman"/>
                <w:sz w:val="20"/>
                <w:szCs w:val="20"/>
                <w:color w:val="auto"/>
              </w:rPr>
              <w:t>NET ASSETS AVAILABLE FOR BENEFITS:</w:t>
            </w: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2"/>
        </w:trPr>
        <w:tc>
          <w:tcPr>
            <w:tcW w:w="95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Beginning of year</w:t>
            </w:r>
          </w:p>
        </w:tc>
        <w:tc>
          <w:tcPr>
            <w:tcW w:w="5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500,023</w:t>
            </w:r>
          </w:p>
        </w:tc>
      </w:tr>
      <w:tr>
        <w:trPr>
          <w:trHeight w:val="348"/>
        </w:trPr>
        <w:tc>
          <w:tcPr>
            <w:tcW w:w="95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End of year</w:t>
            </w:r>
          </w:p>
        </w:tc>
        <w:tc>
          <w:tcPr>
            <w:tcW w:w="5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562,120</w:t>
            </w:r>
          </w:p>
        </w:tc>
      </w:tr>
      <w:tr>
        <w:trPr>
          <w:trHeight w:val="20"/>
        </w:trPr>
        <w:tc>
          <w:tcPr>
            <w:tcW w:w="95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8" w:name="page9"/>
    <w:bookmarkEnd w:id="8"/>
    <w:p>
      <w:pPr>
        <w:spacing w:after="0"/>
        <w:rPr>
          <w:sz w:val="20"/>
          <w:szCs w:val="20"/>
          <w:color w:val="auto"/>
        </w:rPr>
      </w:pPr>
      <w:r>
        <w:rPr>
          <w:rFonts w:ascii="Arial" w:cs="Arial" w:eastAsia="Arial" w:hAnsi="Arial"/>
          <w:sz w:val="23"/>
          <w:szCs w:val="23"/>
          <w:b w:val="1"/>
          <w:bCs w:val="1"/>
          <w:color w:val="auto"/>
        </w:rPr>
        <w:t>SEMPRA SAVINGS PLAN</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2025 AND 2024 AND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PLAN DESCRIPTION AND RELATED INFORMATION</w:t>
      </w:r>
    </w:p>
    <w:p>
      <w:pPr>
        <w:spacing w:after="0" w:line="233" w:lineRule="exact"/>
        <w:rPr>
          <w:sz w:val="20"/>
          <w:szCs w:val="20"/>
          <w:color w:val="auto"/>
        </w:rPr>
      </w:pPr>
    </w:p>
    <w:p>
      <w:pPr>
        <w:ind w:left="340" w:right="140"/>
        <w:spacing w:after="0" w:line="269" w:lineRule="auto"/>
        <w:rPr>
          <w:sz w:val="20"/>
          <w:szCs w:val="20"/>
          <w:color w:val="auto"/>
        </w:rPr>
      </w:pPr>
      <w:r>
        <w:rPr>
          <w:rFonts w:ascii="Times New Roman" w:cs="Times New Roman" w:eastAsia="Times New Roman" w:hAnsi="Times New Roman"/>
          <w:sz w:val="20"/>
          <w:szCs w:val="20"/>
          <w:color w:val="auto"/>
        </w:rPr>
        <w:t>The following description of the Plan is provided for general information purposes only. Participants in the Plan should refer to the Plan document for a more complete description of the Plan’s provisions.</w:t>
      </w:r>
    </w:p>
    <w:p>
      <w:pPr>
        <w:spacing w:after="0" w:line="169" w:lineRule="exact"/>
        <w:rPr>
          <w:sz w:val="20"/>
          <w:szCs w:val="20"/>
          <w:color w:val="auto"/>
        </w:rPr>
      </w:pPr>
    </w:p>
    <w:p>
      <w:pPr>
        <w:ind w:left="340" w:right="20"/>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General </w:t>
      </w:r>
      <w:r>
        <w:rPr>
          <w:rFonts w:ascii="Times New Roman" w:cs="Times New Roman" w:eastAsia="Times New Roman" w:hAnsi="Times New Roman"/>
          <w:sz w:val="20"/>
          <w:szCs w:val="20"/>
          <w:color w:val="auto"/>
        </w:rPr>
        <w:t>— The Plan is a defined contribution plan that provides employees of the Company, or any affiliate who has adopted this Plan,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retirement benefits. All employees, both full-time and part-time, are eligible to participate immediately in the Plan after their date of hire. Participants may make elective deferral contributions and are eligible to receive an Employer matching contribution based on each participant’s level of elective deferral contributions.</w:t>
      </w:r>
    </w:p>
    <w:p>
      <w:pPr>
        <w:spacing w:after="0" w:line="168" w:lineRule="exact"/>
        <w:rPr>
          <w:sz w:val="20"/>
          <w:szCs w:val="20"/>
          <w:color w:val="auto"/>
        </w:rPr>
      </w:pPr>
    </w:p>
    <w:p>
      <w:pPr>
        <w:ind w:left="340" w:right="60"/>
        <w:spacing w:after="0" w:line="258" w:lineRule="auto"/>
        <w:rPr>
          <w:sz w:val="20"/>
          <w:szCs w:val="20"/>
          <w:color w:val="auto"/>
        </w:rPr>
      </w:pPr>
      <w:r>
        <w:rPr>
          <w:rFonts w:ascii="Times New Roman" w:cs="Times New Roman" w:eastAsia="Times New Roman" w:hAnsi="Times New Roman"/>
          <w:sz w:val="20"/>
          <w:szCs w:val="20"/>
          <w:color w:val="auto"/>
        </w:rPr>
        <w:t>Employees may make regular savings investments in Sempra common stock through the Sempra Stock Fund, which is invested solely in Sempra common stock. Participants may alternatively, or also, elect to invest in other investments permitted by the Plan (further discussed below). The Sempra P&amp;B Committee manages the operation and administration of the Plan as the Plan Administrator. TRP serves as the Trustee of the Plan. The Plan is subject to the provisions of ERISA.</w:t>
      </w:r>
    </w:p>
    <w:p>
      <w:pPr>
        <w:spacing w:after="0" w:line="182" w:lineRule="exact"/>
        <w:rPr>
          <w:sz w:val="20"/>
          <w:szCs w:val="20"/>
          <w:color w:val="auto"/>
        </w:rPr>
      </w:pPr>
    </w:p>
    <w:p>
      <w:pPr>
        <w:ind w:left="340" w:right="24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Plan Transfers </w:t>
      </w:r>
      <w:r>
        <w:rPr>
          <w:rFonts w:ascii="Times New Roman" w:cs="Times New Roman" w:eastAsia="Times New Roman" w:hAnsi="Times New Roman"/>
          <w:sz w:val="20"/>
          <w:szCs w:val="20"/>
          <w:color w:val="auto"/>
        </w:rPr>
        <w:t>— Employees transfer between the Company and related entities for various reasons, and this results in the transfer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participation and participant assets from one plan to another.</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color w:val="auto"/>
        </w:rPr>
        <w:t xml:space="preserve">Contributions </w:t>
      </w:r>
      <w:r>
        <w:rPr>
          <w:rFonts w:ascii="Times New Roman" w:cs="Times New Roman" w:eastAsia="Times New Roman" w:hAnsi="Times New Roman"/>
          <w:sz w:val="20"/>
          <w:szCs w:val="20"/>
          <w:color w:val="auto"/>
        </w:rPr>
        <w:t>— Contributions to the Plan can be made under the following provisions:</w:t>
      </w:r>
    </w:p>
    <w:p>
      <w:pPr>
        <w:spacing w:after="0" w:line="216" w:lineRule="exact"/>
        <w:rPr>
          <w:sz w:val="20"/>
          <w:szCs w:val="20"/>
          <w:color w:val="auto"/>
        </w:rPr>
      </w:pPr>
    </w:p>
    <w:p>
      <w:pPr>
        <w:ind w:left="340" w:right="4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Participating Employee Contributions </w:t>
      </w:r>
      <w:r>
        <w:rPr>
          <w:rFonts w:ascii="Times New Roman" w:cs="Times New Roman" w:eastAsia="Times New Roman" w:hAnsi="Times New Roman"/>
          <w:sz w:val="20"/>
          <w:szCs w:val="20"/>
          <w:color w:val="auto"/>
        </w:rPr>
        <w:t>— Under the terms of the Plan, participants may contribute up to 50% of eligible pay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increments of 1%) on a pre-tax basis, a designated Roth after-tax basis, a regular after-tax basis or a combination thereof. The IRC limited total individual pre-tax and/or designated Roth after-tax contributions to $23,500 for 2025. In addition, a participant’s overall annual employee contributions and employer contributions (as described below, excluding any catch-up and rollover contributions) is limited to the lesser of (a) 100% of the participant’s annual compensation and (b) $70,000 for 2025. Catch-up contributions are permitted for participants of at least 50 years of age. For 2025, the catch-up provision provided participants aged 60-63 the ability to contribute an additional $11,250 and all other participants aged 50 or older the opportunity to contribute an additional $7,500, both on a pre-tax and/or designated Roth after-tax basis. Participants may also make rollover contributions (including Roth rollover contributions) into the Plan from other eligible retirement plans and eligible participants may also make in-Plan Roth conversions.</w:t>
      </w:r>
    </w:p>
    <w:p>
      <w:pPr>
        <w:spacing w:after="0" w:line="193"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20"/>
          <w:szCs w:val="20"/>
          <w:color w:val="auto"/>
        </w:rPr>
        <w:t>The Plan allows for automatic enrollment of and automatic deferral for newly hired employees who either do not elect a specific deferral percentage or do not opt out of the Plan. The automatic deferral percentage for participants is 6% of eligible pay, increasing each May 1st by 1% up to a maximum of 11%. The default investment vehicle is the T. Rowe Price Retirement Trust option that most closely aligns with the employee’s expected year of retirement at age 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9" w:name="page10"/>
    <w:bookmarkEnd w:id="9"/>
    <w:p>
      <w:pPr>
        <w:ind w:right="100"/>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Employer Matching Contributions </w:t>
      </w:r>
      <w:r>
        <w:rPr>
          <w:rFonts w:ascii="Times New Roman" w:cs="Times New Roman" w:eastAsia="Times New Roman" w:hAnsi="Times New Roman"/>
          <w:sz w:val="20"/>
          <w:szCs w:val="20"/>
          <w:color w:val="auto"/>
        </w:rPr>
        <w:t>— Each pay period, the Employer makes matching contributions to the Plan for all participants equal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50% of each participant’s contribution, up to the first 6% of eligible pay, and an additional 0.2% for each 1% incremental increase to each participant’s contribution over 6%, up to 11% of eligible pay. Employer matching contributions can be made in Sempra common stock, cash or any combination thereof at the discretion of the Plan Sponsor. Employer matching contributions made in cash are subsequently invested into any of the Plan’s designated investments according to each participant’s investment election. Employer matching contributions made in Sempra common stock can be transferred, all or in part, into any of the Plan’s other designated investments at the election of the participant.</w:t>
      </w:r>
    </w:p>
    <w:p>
      <w:pPr>
        <w:spacing w:after="0" w:line="173"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Participant Accounts </w:t>
      </w:r>
      <w:r>
        <w:rPr>
          <w:rFonts w:ascii="Times New Roman" w:cs="Times New Roman" w:eastAsia="Times New Roman" w:hAnsi="Times New Roman"/>
          <w:sz w:val="20"/>
          <w:szCs w:val="20"/>
          <w:color w:val="auto"/>
        </w:rPr>
        <w:t>— A separate account is established and maintained in the name of each participant. Each participant’s account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reflects the participant’s contributions, Employer matching contributions, the earnings and losses attributed to each investment, benefit distributions, and certain administrative expenses as described in Note 2. Participants are allocated a share of each fund’s investment earnings and losses, less investment fees, on a daily basis, based on their account balance.</w:t>
      </w:r>
    </w:p>
    <w:p>
      <w:pPr>
        <w:spacing w:after="0" w:line="178"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0"/>
          <w:szCs w:val="20"/>
          <w:b w:val="1"/>
          <w:bCs w:val="1"/>
          <w:color w:val="auto"/>
        </w:rPr>
        <w:t xml:space="preserve">Vesting </w:t>
      </w:r>
      <w:r>
        <w:rPr>
          <w:rFonts w:ascii="Times New Roman" w:cs="Times New Roman" w:eastAsia="Times New Roman" w:hAnsi="Times New Roman"/>
          <w:sz w:val="20"/>
          <w:szCs w:val="20"/>
          <w:color w:val="auto"/>
        </w:rPr>
        <w:t>— Participant contributions are fully vested at all times. Vesting of Employer matching contributions in a participant’s account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occurs upon the earliest of the date: (a) the participant is credited with one year of vesting service; (b) the participant reaches the normal retirement age, which is the first day of the calendar month following the month of their 65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birthday; or (c) of the participant’s death while an employee of the Company. Additionally, Employer matching contributions in a participant’s account become fully vested upon the termination or discontinuation of the Plan.</w:t>
      </w:r>
    </w:p>
    <w:p>
      <w:pPr>
        <w:spacing w:after="0" w:line="20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Investment Options </w:t>
      </w:r>
      <w:r>
        <w:rPr>
          <w:rFonts w:ascii="Times New Roman" w:cs="Times New Roman" w:eastAsia="Times New Roman" w:hAnsi="Times New Roman"/>
          <w:sz w:val="20"/>
          <w:szCs w:val="20"/>
          <w:color w:val="auto"/>
        </w:rPr>
        <w:t>— All investments are held in the Master Trust (see Note 4). Employees elect to have their contributions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Employer matching contributions made in cash invested in increments of 1% in various investment options. Available investment options as of December 31, 2025 included:</w:t>
      </w:r>
    </w:p>
    <w:p>
      <w:pPr>
        <w:spacing w:after="0" w:line="166" w:lineRule="exact"/>
        <w:rPr>
          <w:sz w:val="20"/>
          <w:szCs w:val="20"/>
          <w:color w:val="auto"/>
        </w:rPr>
      </w:pPr>
    </w:p>
    <w:p>
      <w:pPr>
        <w:ind w:left="620" w:hanging="304"/>
        <w:spacing w:after="0"/>
        <w:tabs>
          <w:tab w:leader="none" w:pos="620" w:val="left"/>
        </w:tabs>
        <w:numPr>
          <w:ilvl w:val="0"/>
          <w:numId w:val="3"/>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Sempra common stock through the Sempra Stock Fund;</w:t>
      </w:r>
    </w:p>
    <w:p>
      <w:pPr>
        <w:spacing w:after="0" w:line="229" w:lineRule="exact"/>
        <w:rPr>
          <w:rFonts w:ascii="Times New Roman" w:cs="Times New Roman" w:eastAsia="Times New Roman" w:hAnsi="Times New Roman"/>
          <w:sz w:val="20"/>
          <w:szCs w:val="20"/>
          <w:b w:val="1"/>
          <w:bCs w:val="1"/>
          <w:i w:val="1"/>
          <w:iCs w:val="1"/>
          <w:color w:val="auto"/>
        </w:rPr>
      </w:pPr>
    </w:p>
    <w:p>
      <w:pPr>
        <w:ind w:left="640" w:right="340" w:hanging="324"/>
        <w:spacing w:after="0" w:line="269" w:lineRule="auto"/>
        <w:tabs>
          <w:tab w:leader="none" w:pos="6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Mutual funds and common/collective trusts including those offered by TRP, Pacific Investment Management Company LLC, State Street, and The Vanguard Group, Inc.;</w:t>
      </w:r>
    </w:p>
    <w:p>
      <w:pPr>
        <w:spacing w:after="0" w:line="172" w:lineRule="exact"/>
        <w:rPr>
          <w:rFonts w:ascii="Times New Roman" w:cs="Times New Roman" w:eastAsia="Times New Roman" w:hAnsi="Times New Roman"/>
          <w:sz w:val="20"/>
          <w:szCs w:val="20"/>
          <w:color w:val="auto"/>
        </w:rPr>
      </w:pPr>
    </w:p>
    <w:p>
      <w:pPr>
        <w:ind w:left="620" w:hanging="304"/>
        <w:spacing w:after="0"/>
        <w:tabs>
          <w:tab w:leader="none" w:pos="6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 investment funds (see below) offered through TRP and Northern Trust Company; and</w:t>
      </w:r>
    </w:p>
    <w:p>
      <w:pPr>
        <w:spacing w:after="0" w:line="229" w:lineRule="exact"/>
        <w:rPr>
          <w:rFonts w:ascii="Times New Roman" w:cs="Times New Roman" w:eastAsia="Times New Roman" w:hAnsi="Times New Roman"/>
          <w:sz w:val="20"/>
          <w:szCs w:val="20"/>
          <w:color w:val="auto"/>
        </w:rPr>
      </w:pPr>
    </w:p>
    <w:p>
      <w:pPr>
        <w:jc w:val="both"/>
        <w:ind w:left="640" w:right="40" w:hanging="324"/>
        <w:spacing w:after="0" w:line="261" w:lineRule="auto"/>
        <w:tabs>
          <w:tab w:leader="none" w:pos="6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broad range of investments through an SDBA. The Plan allows participants to invest a maximum of 50% of the entire value of their Plan account in their SDBA. The SDBA allows participants to invest in any listed fund or security except Sempra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60" w:top="1409" w:right="359" w:bottom="1440" w:gutter="0" w:footer="0" w:header="0"/>
        </w:sectPr>
      </w:pPr>
    </w:p>
    <w:bookmarkStart w:id="10" w:name="page11"/>
    <w:bookmarkEnd w:id="10"/>
    <w:p>
      <w:pPr>
        <w:ind w:right="60"/>
        <w:spacing w:after="0" w:line="253" w:lineRule="auto"/>
        <w:rPr>
          <w:sz w:val="20"/>
          <w:szCs w:val="20"/>
          <w:color w:val="auto"/>
        </w:rPr>
      </w:pPr>
      <w:r>
        <w:rPr>
          <w:rFonts w:ascii="Times New Roman" w:cs="Times New Roman" w:eastAsia="Times New Roman" w:hAnsi="Times New Roman"/>
          <w:sz w:val="20"/>
          <w:szCs w:val="20"/>
          <w:color w:val="auto"/>
        </w:rPr>
        <w:t>Certain custom investment funds are offered to participants as investment options. These custom funds are proprietary investments designed specifically for the Plan and similar employee benefit plans sponsored by Sempra and are invested in one or more underlying investments, which may include mutual funds and/or common/collective trusts. The Sempra P&amp;B Committee makes the decisions about selecting, monitoring and allocating assets between the investment managers and underlying investments within each custom investment fund. The custom investment funds and their underlying target investment allocations are described below. Actual allocations may periodically deviate from target allocations due to market conditions and other factors.</w:t>
      </w:r>
    </w:p>
    <w:p>
      <w:pPr>
        <w:spacing w:after="0" w:line="192" w:lineRule="exact"/>
        <w:rPr>
          <w:sz w:val="20"/>
          <w:szCs w:val="20"/>
          <w:color w:val="auto"/>
        </w:rPr>
      </w:pPr>
    </w:p>
    <w:p>
      <w:pPr>
        <w:ind w:left="640" w:right="40" w:hanging="324"/>
        <w:spacing w:after="0" w:line="269" w:lineRule="auto"/>
        <w:tabs>
          <w:tab w:leader="none" w:pos="6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International Equity Fund is a multi-manager structure with target allocations at December 31, 2025 and December 31, 2024 as follows:</w:t>
      </w:r>
    </w:p>
    <w:p>
      <w:pPr>
        <w:spacing w:after="0" w:line="244"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6000" w:type="dxa"/>
            <w:vAlign w:val="bottom"/>
          </w:tcPr>
          <w:p>
            <w:pPr>
              <w:spacing w:after="0"/>
              <w:rPr>
                <w:sz w:val="19"/>
                <w:szCs w:val="19"/>
                <w:color w:val="auto"/>
              </w:rPr>
            </w:pPr>
          </w:p>
        </w:tc>
        <w:tc>
          <w:tcPr>
            <w:tcW w:w="3680" w:type="dxa"/>
            <w:vAlign w:val="bottom"/>
            <w:gridSpan w:val="3"/>
          </w:tcPr>
          <w:p>
            <w:pPr>
              <w:ind w:left="1000"/>
              <w:spacing w:after="0"/>
              <w:rPr>
                <w:sz w:val="20"/>
                <w:szCs w:val="20"/>
                <w:color w:val="auto"/>
              </w:rPr>
            </w:pPr>
            <w:r>
              <w:rPr>
                <w:rFonts w:ascii="Arial" w:cs="Arial" w:eastAsia="Arial" w:hAnsi="Arial"/>
                <w:sz w:val="18"/>
                <w:szCs w:val="18"/>
                <w:b w:val="1"/>
                <w:bCs w:val="1"/>
                <w:color w:val="auto"/>
              </w:rPr>
              <w:t>Target Allocation %</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19"/>
                <w:szCs w:val="19"/>
                <w:color w:val="auto"/>
              </w:rPr>
            </w:pPr>
          </w:p>
        </w:tc>
        <w:tc>
          <w:tcPr>
            <w:tcW w:w="1980" w:type="dxa"/>
            <w:vAlign w:val="bottom"/>
            <w:gridSpan w:val="2"/>
          </w:tcPr>
          <w:p>
            <w:pPr>
              <w:ind w:left="260"/>
              <w:spacing w:after="0"/>
              <w:rPr>
                <w:sz w:val="20"/>
                <w:szCs w:val="20"/>
                <w:color w:val="auto"/>
              </w:rPr>
            </w:pPr>
            <w:r>
              <w:rPr>
                <w:rFonts w:ascii="Arial" w:cs="Arial" w:eastAsia="Arial" w:hAnsi="Arial"/>
                <w:sz w:val="18"/>
                <w:szCs w:val="18"/>
                <w:b w:val="1"/>
                <w:bCs w:val="1"/>
                <w:color w:val="auto"/>
              </w:rPr>
              <w:t>December 31,</w:t>
            </w:r>
          </w:p>
        </w:tc>
        <w:tc>
          <w:tcPr>
            <w:tcW w:w="1700" w:type="dxa"/>
            <w:vAlign w:val="bottom"/>
          </w:tcPr>
          <w:p>
            <w:pPr>
              <w:ind w:left="2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6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Schroder International Equity Trust</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2025</w:t>
            </w:r>
          </w:p>
        </w:tc>
        <w:tc>
          <w:tcPr>
            <w:tcW w:w="30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2024</w:t>
            </w:r>
          </w:p>
        </w:tc>
        <w:tc>
          <w:tcPr>
            <w:tcW w:w="0" w:type="dxa"/>
            <w:vAlign w:val="bottom"/>
          </w:tcPr>
          <w:p>
            <w:pPr>
              <w:spacing w:after="0"/>
              <w:rPr>
                <w:sz w:val="1"/>
                <w:szCs w:val="1"/>
                <w:color w:val="auto"/>
              </w:rPr>
            </w:pPr>
          </w:p>
        </w:tc>
      </w:tr>
      <w:tr>
        <w:trPr>
          <w:trHeight w:val="241"/>
        </w:trPr>
        <w:tc>
          <w:tcPr>
            <w:tcW w:w="6000" w:type="dxa"/>
            <w:vAlign w:val="bottom"/>
            <w:vMerge w:val="continue"/>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57.5%</w:t>
            </w:r>
          </w:p>
        </w:tc>
        <w:tc>
          <w:tcPr>
            <w:tcW w:w="3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58.7%</w:t>
            </w:r>
          </w:p>
        </w:tc>
        <w:tc>
          <w:tcPr>
            <w:tcW w:w="0" w:type="dxa"/>
            <w:vAlign w:val="bottom"/>
          </w:tcPr>
          <w:p>
            <w:pPr>
              <w:spacing w:after="0"/>
              <w:rPr>
                <w:sz w:val="1"/>
                <w:szCs w:val="1"/>
                <w:color w:val="auto"/>
              </w:rPr>
            </w:pPr>
          </w:p>
        </w:tc>
      </w:tr>
      <w:tr>
        <w:trPr>
          <w:trHeight w:val="256"/>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auto"/>
              </w:rPr>
              <w:t>FIAM Select Emerging Market Equity Commingled Pool</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24.2%</w:t>
            </w:r>
          </w:p>
        </w:tc>
        <w:tc>
          <w:tcPr>
            <w:tcW w:w="30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23.2%</w:t>
            </w:r>
          </w:p>
        </w:tc>
        <w:tc>
          <w:tcPr>
            <w:tcW w:w="0" w:type="dxa"/>
            <w:vAlign w:val="bottom"/>
          </w:tcPr>
          <w:p>
            <w:pPr>
              <w:spacing w:after="0"/>
              <w:rPr>
                <w:sz w:val="1"/>
                <w:szCs w:val="1"/>
                <w:color w:val="auto"/>
              </w:rPr>
            </w:pPr>
          </w:p>
        </w:tc>
      </w:tr>
      <w:tr>
        <w:trPr>
          <w:trHeight w:val="257"/>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auto"/>
              </w:rPr>
              <w:t>FIAM Select International Small Cap Commingled Pool</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13.3%</w:t>
            </w:r>
          </w:p>
        </w:tc>
        <w:tc>
          <w:tcPr>
            <w:tcW w:w="30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13.1%</w:t>
            </w:r>
          </w:p>
        </w:tc>
        <w:tc>
          <w:tcPr>
            <w:tcW w:w="0" w:type="dxa"/>
            <w:vAlign w:val="bottom"/>
          </w:tcPr>
          <w:p>
            <w:pPr>
              <w:spacing w:after="0"/>
              <w:rPr>
                <w:sz w:val="1"/>
                <w:szCs w:val="1"/>
                <w:color w:val="auto"/>
              </w:rPr>
            </w:pPr>
          </w:p>
        </w:tc>
      </w:tr>
      <w:tr>
        <w:trPr>
          <w:trHeight w:val="198"/>
        </w:trPr>
        <w:tc>
          <w:tcPr>
            <w:tcW w:w="6000" w:type="dxa"/>
            <w:vAlign w:val="bottom"/>
          </w:tcPr>
          <w:p>
            <w:pPr>
              <w:spacing w:after="0" w:line="198" w:lineRule="exact"/>
              <w:rPr>
                <w:sz w:val="20"/>
                <w:szCs w:val="20"/>
                <w:color w:val="auto"/>
              </w:rPr>
            </w:pPr>
            <w:r>
              <w:rPr>
                <w:rFonts w:ascii="Times New Roman" w:cs="Times New Roman" w:eastAsia="Times New Roman" w:hAnsi="Times New Roman"/>
                <w:sz w:val="20"/>
                <w:szCs w:val="20"/>
                <w:color w:val="auto"/>
              </w:rPr>
              <w:t>State Street All Cap Equity ex-U.S. Index Non-Lending</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5.0%</w:t>
            </w:r>
          </w:p>
        </w:tc>
        <w:tc>
          <w:tcPr>
            <w:tcW w:w="300" w:type="dxa"/>
            <w:vAlign w:val="bottom"/>
          </w:tcPr>
          <w:p>
            <w:pPr>
              <w:spacing w:after="0"/>
              <w:rPr>
                <w:sz w:val="17"/>
                <w:szCs w:val="17"/>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258"/>
        </w:trPr>
        <w:tc>
          <w:tcPr>
            <w:tcW w:w="6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Fund</w:t>
            </w:r>
          </w:p>
        </w:tc>
        <w:tc>
          <w:tcPr>
            <w:tcW w:w="168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7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640" w:right="500" w:hanging="324"/>
        <w:spacing w:after="0" w:line="268" w:lineRule="auto"/>
        <w:tabs>
          <w:tab w:leader="none" w:pos="62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Diversified Fixed Income Fund is a multi-manager structure that includes a 95% target allocation in the MetWest Total Return Bond Fund and a 5% target allocation in the Vanguard Total Bond Market Index at both December 31, 2025 and December 31, 2024.</w:t>
      </w:r>
    </w:p>
    <w:p>
      <w:pPr>
        <w:spacing w:after="0" w:line="161" w:lineRule="exact"/>
        <w:rPr>
          <w:rFonts w:ascii="Times New Roman" w:cs="Times New Roman" w:eastAsia="Times New Roman" w:hAnsi="Times New Roman"/>
          <w:sz w:val="20"/>
          <w:szCs w:val="20"/>
          <w:color w:val="auto"/>
        </w:rPr>
      </w:pPr>
    </w:p>
    <w:p>
      <w:pPr>
        <w:ind w:left="640" w:right="180" w:hanging="324"/>
        <w:spacing w:after="0" w:line="283" w:lineRule="auto"/>
        <w:tabs>
          <w:tab w:leader="none" w:pos="62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Small/Mid Cap Equity Fund is a multi-manager structure with target allocations at December 31, 2025 and December 31, 2024 as follows:</w:t>
      </w:r>
    </w:p>
    <w:p>
      <w:pPr>
        <w:spacing w:after="0" w:line="21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000" w:type="dxa"/>
            <w:vAlign w:val="bottom"/>
          </w:tcPr>
          <w:p>
            <w:pPr>
              <w:spacing w:after="0"/>
              <w:rPr>
                <w:sz w:val="19"/>
                <w:szCs w:val="19"/>
                <w:color w:val="auto"/>
              </w:rPr>
            </w:pPr>
          </w:p>
        </w:tc>
        <w:tc>
          <w:tcPr>
            <w:tcW w:w="3680" w:type="dxa"/>
            <w:vAlign w:val="bottom"/>
            <w:gridSpan w:val="3"/>
          </w:tcPr>
          <w:p>
            <w:pPr>
              <w:ind w:left="1000"/>
              <w:spacing w:after="0"/>
              <w:rPr>
                <w:sz w:val="20"/>
                <w:szCs w:val="20"/>
                <w:color w:val="auto"/>
              </w:rPr>
            </w:pPr>
            <w:r>
              <w:rPr>
                <w:rFonts w:ascii="Arial" w:cs="Arial" w:eastAsia="Arial" w:hAnsi="Arial"/>
                <w:sz w:val="18"/>
                <w:szCs w:val="18"/>
                <w:b w:val="1"/>
                <w:bCs w:val="1"/>
                <w:color w:val="auto"/>
              </w:rPr>
              <w:t>Target Allocation %</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19"/>
                <w:szCs w:val="19"/>
                <w:color w:val="auto"/>
              </w:rPr>
            </w:pPr>
          </w:p>
        </w:tc>
        <w:tc>
          <w:tcPr>
            <w:tcW w:w="1980" w:type="dxa"/>
            <w:vAlign w:val="bottom"/>
            <w:gridSpan w:val="2"/>
          </w:tcPr>
          <w:p>
            <w:pPr>
              <w:ind w:left="260"/>
              <w:spacing w:after="0"/>
              <w:rPr>
                <w:sz w:val="20"/>
                <w:szCs w:val="20"/>
                <w:color w:val="auto"/>
              </w:rPr>
            </w:pPr>
            <w:r>
              <w:rPr>
                <w:rFonts w:ascii="Arial" w:cs="Arial" w:eastAsia="Arial" w:hAnsi="Arial"/>
                <w:sz w:val="18"/>
                <w:szCs w:val="18"/>
                <w:b w:val="1"/>
                <w:bCs w:val="1"/>
                <w:color w:val="auto"/>
              </w:rPr>
              <w:t>December 31,</w:t>
            </w:r>
          </w:p>
        </w:tc>
        <w:tc>
          <w:tcPr>
            <w:tcW w:w="1700" w:type="dxa"/>
            <w:vAlign w:val="bottom"/>
          </w:tcPr>
          <w:p>
            <w:pPr>
              <w:ind w:left="2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6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 Rowe Price Institutional Small-Cap Stock Fund</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2025</w:t>
            </w:r>
          </w:p>
        </w:tc>
        <w:tc>
          <w:tcPr>
            <w:tcW w:w="30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2024</w:t>
            </w:r>
          </w:p>
        </w:tc>
        <w:tc>
          <w:tcPr>
            <w:tcW w:w="0" w:type="dxa"/>
            <w:vAlign w:val="bottom"/>
          </w:tcPr>
          <w:p>
            <w:pPr>
              <w:spacing w:after="0"/>
              <w:rPr>
                <w:sz w:val="1"/>
                <w:szCs w:val="1"/>
                <w:color w:val="auto"/>
              </w:rPr>
            </w:pPr>
          </w:p>
        </w:tc>
      </w:tr>
      <w:tr>
        <w:trPr>
          <w:trHeight w:val="241"/>
        </w:trPr>
        <w:tc>
          <w:tcPr>
            <w:tcW w:w="6000" w:type="dxa"/>
            <w:vAlign w:val="bottom"/>
            <w:vMerge w:val="continue"/>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32.0%</w:t>
            </w:r>
          </w:p>
        </w:tc>
        <w:tc>
          <w:tcPr>
            <w:tcW w:w="3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32.0%</w:t>
            </w:r>
          </w:p>
        </w:tc>
        <w:tc>
          <w:tcPr>
            <w:tcW w:w="0" w:type="dxa"/>
            <w:vAlign w:val="bottom"/>
          </w:tcPr>
          <w:p>
            <w:pPr>
              <w:spacing w:after="0"/>
              <w:rPr>
                <w:sz w:val="1"/>
                <w:szCs w:val="1"/>
                <w:color w:val="auto"/>
              </w:rPr>
            </w:pPr>
          </w:p>
        </w:tc>
      </w:tr>
      <w:tr>
        <w:trPr>
          <w:trHeight w:val="203"/>
        </w:trPr>
        <w:tc>
          <w:tcPr>
            <w:tcW w:w="600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AllianceBernstein U.S. Small &amp; Mid Cap Value Collective</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31.5%</w:t>
            </w:r>
          </w:p>
        </w:tc>
        <w:tc>
          <w:tcPr>
            <w:tcW w:w="300" w:type="dxa"/>
            <w:vAlign w:val="bottom"/>
          </w:tcPr>
          <w:p>
            <w:pPr>
              <w:spacing w:after="0"/>
              <w:rPr>
                <w:sz w:val="17"/>
                <w:szCs w:val="17"/>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31.5%</w:t>
            </w:r>
          </w:p>
        </w:tc>
        <w:tc>
          <w:tcPr>
            <w:tcW w:w="0" w:type="dxa"/>
            <w:vAlign w:val="bottom"/>
          </w:tcPr>
          <w:p>
            <w:pPr>
              <w:spacing w:after="0"/>
              <w:rPr>
                <w:sz w:val="1"/>
                <w:szCs w:val="1"/>
                <w:color w:val="auto"/>
              </w:rPr>
            </w:pPr>
          </w:p>
        </w:tc>
      </w:tr>
      <w:tr>
        <w:trPr>
          <w:trHeight w:val="243"/>
        </w:trPr>
        <w:tc>
          <w:tcPr>
            <w:tcW w:w="6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Investment Trust</w:t>
            </w:r>
          </w:p>
        </w:tc>
        <w:tc>
          <w:tcPr>
            <w:tcW w:w="168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auto"/>
              </w:rPr>
              <w:t>Loomis Sayles Small/Mid Cap Growth Trust</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31.5%</w:t>
            </w:r>
          </w:p>
        </w:tc>
        <w:tc>
          <w:tcPr>
            <w:tcW w:w="30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31.5%</w:t>
            </w:r>
          </w:p>
        </w:tc>
        <w:tc>
          <w:tcPr>
            <w:tcW w:w="0" w:type="dxa"/>
            <w:vAlign w:val="bottom"/>
          </w:tcPr>
          <w:p>
            <w:pPr>
              <w:spacing w:after="0"/>
              <w:rPr>
                <w:sz w:val="1"/>
                <w:szCs w:val="1"/>
                <w:color w:val="auto"/>
              </w:rPr>
            </w:pPr>
          </w:p>
        </w:tc>
      </w:tr>
      <w:tr>
        <w:trPr>
          <w:trHeight w:val="203"/>
        </w:trPr>
        <w:tc>
          <w:tcPr>
            <w:tcW w:w="600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State Street Russell Small/Mid Cap Index Non-Lending</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5.0%</w:t>
            </w:r>
          </w:p>
        </w:tc>
        <w:tc>
          <w:tcPr>
            <w:tcW w:w="300" w:type="dxa"/>
            <w:vAlign w:val="bottom"/>
          </w:tcPr>
          <w:p>
            <w:pPr>
              <w:spacing w:after="0"/>
              <w:rPr>
                <w:sz w:val="17"/>
                <w:szCs w:val="17"/>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258"/>
        </w:trPr>
        <w:tc>
          <w:tcPr>
            <w:tcW w:w="6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Series Fund</w:t>
            </w:r>
          </w:p>
        </w:tc>
        <w:tc>
          <w:tcPr>
            <w:tcW w:w="168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7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ind w:left="640" w:hanging="324"/>
        <w:spacing w:after="0" w:line="283" w:lineRule="auto"/>
        <w:tabs>
          <w:tab w:leader="none" w:pos="62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Large Cap Equity Fund invests all underlying assets in the Vanguard Institutional 500 Index Trust, a common/collective trust that invests in the Vanguard 500 Index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60" w:top="1413" w:right="359" w:bottom="1440" w:gutter="0" w:footer="0" w:header="0"/>
        </w:sectPr>
      </w:pPr>
    </w:p>
    <w:bookmarkStart w:id="11" w:name="page12"/>
    <w:bookmarkEnd w:id="11"/>
    <w:p>
      <w:pPr>
        <w:ind w:right="80"/>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Payment of Dividends </w:t>
      </w:r>
      <w:r>
        <w:rPr>
          <w:rFonts w:ascii="Times New Roman" w:cs="Times New Roman" w:eastAsia="Times New Roman" w:hAnsi="Times New Roman"/>
          <w:sz w:val="20"/>
          <w:szCs w:val="20"/>
          <w:color w:val="auto"/>
        </w:rPr>
        <w:t>— Active participants may elect at any time either to receive distributions of cash dividends on the shares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Sempra common stock held in their account through the Sempra Stock Fund or to reinvest those dividends in the Sempra Stock Fund. Terminated participants that elect to leave their account balance in the Plan and receive cash dividends from Sempra common stock held in their account will receive such dividends in cash or have them reinvested in Sempra common stock held through the Sempra Stock Fund, based on their election on the date of termination of employment with the Company, retirement or permanent disability.</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Payment of Benefits </w:t>
      </w:r>
      <w:r>
        <w:rPr>
          <w:rFonts w:ascii="Times New Roman" w:cs="Times New Roman" w:eastAsia="Times New Roman" w:hAnsi="Times New Roman"/>
          <w:sz w:val="20"/>
          <w:szCs w:val="20"/>
          <w:color w:val="auto"/>
        </w:rPr>
        <w:t>— Upon termination of employment with the Company, including retirement, permanent disability, or death,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participants or the named beneficiary(ies) (in the event of death) with an account balance greater than $5,000 are given the option to have their vested account balance remain in the Plan (subject to the required minimum distribution rules under U.S. federal tax laws), roll the entire amount to another eligible retirement plan, receive a partial withdrawal, or receive their vested account balance in a single lump-sum payment in cash or in Sempra common stock for any portion of their account held in Sempra common stock. Plan participants, in addition to the benefit payment options above, may elect to have all or a portion of their Plan benefits paid in monthly, quarterly, semi-annual or annual installments over a period of years not to exceed their life expectancy based on the appropriate tables in the IRS regulations.</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The accounts of terminated participants with account balances from $1,001 to $5,000 that do not elect a lump-sum payment or a rollover to an eligible retirement plan will be automatically rolled into an individual retirement account. Terminated participants with account balances of $1,000 or less automatically receive a lump-sum cash payment, with the ability to elect to rollover the balance to another eligible retirement plan if the account balance is greater than $200.</w:t>
      </w:r>
    </w:p>
    <w:p>
      <w:pPr>
        <w:spacing w:after="0" w:line="168"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Plan Termination </w:t>
      </w:r>
      <w:r>
        <w:rPr>
          <w:rFonts w:ascii="Times New Roman" w:cs="Times New Roman" w:eastAsia="Times New Roman" w:hAnsi="Times New Roman"/>
          <w:sz w:val="20"/>
          <w:szCs w:val="20"/>
          <w:color w:val="auto"/>
        </w:rPr>
        <w:t>— Although it has not expressed any intent to do so, the Company has the right under the Plan to discontinue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contributions and to terminate the Plan at any time, subject to the provisions of ERISA. In the event of termination, participants would become 100% vested in their Employer contributions and the net assets of the Plan would be distributed to the participants.</w:t>
      </w:r>
    </w:p>
    <w:p>
      <w:pPr>
        <w:spacing w:after="0" w:line="179"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0"/>
          <w:szCs w:val="20"/>
          <w:color w:val="auto"/>
        </w:rPr>
        <w:t>In September 2025, the Company entered into an agreement to (i) sell a portion of its 70% equity interest in Sempra Infrastructure Partners, LP (“SI”) and (ii) contribute Sempra Services Corporation, which is a 100%-owned subsidiary of the Company, is a participating employer in the Plan, and employs U.S. employees performing services for SI, to SI. Upon closing the sale, Sempra Services Corporation will cease to be a participating employer in the Plan, resulting in a partial plan termination due to a reduction in the number of active participants in the Plan by more than 20%. All impacted participants will be fully vested in their retirement benefits under the Plan as of the termination date. The impact on the Plan’s net assets available for benefits is not expected to be material at the date of issuance of the Plan’s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60" w:top="1409" w:right="359" w:bottom="1440" w:gutter="0" w:footer="0" w:header="0"/>
        </w:sectPr>
      </w:pPr>
    </w:p>
    <w:bookmarkStart w:id="12" w:name="page13"/>
    <w:bookmarkEnd w:id="12"/>
    <w:p>
      <w:pPr>
        <w:ind w:right="500"/>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Related Party and Exempt Party-in-Interest Transactions </w:t>
      </w:r>
      <w:r>
        <w:rPr>
          <w:rFonts w:ascii="Times New Roman" w:cs="Times New Roman" w:eastAsia="Times New Roman" w:hAnsi="Times New Roman"/>
          <w:sz w:val="20"/>
          <w:szCs w:val="20"/>
          <w:color w:val="auto"/>
        </w:rPr>
        <w:t>— The Plan’s investment held in the Master Trust includes shares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certain investment funds managed by TRP. Additionally, the Plan issues loans to participants (reported as notes receivable from participants), which are secured by the balances in the participants’ accounts. These transactions qualify as exempt party-in-interest transactions.</w:t>
      </w:r>
    </w:p>
    <w:p>
      <w:pPr>
        <w:spacing w:after="0" w:line="1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Additionally, at December 31, 2025 and 2024, the Plan held, through the Master Trust, 755,334 shares and 793,444 shares, respectively, of Sempra common stock with a cost basis of $33,886,000 and $33,466,000, respectively. For shares of Sempra common stock held during the year ended December 31, 2025, the Plan recorded related dividend income of $2,030,000, which is included in Net investment gain – Plan interest in Master Trust in the Statement of Changes in Net Assets Available for Benefits.</w:t>
      </w:r>
    </w:p>
    <w:p>
      <w:pPr>
        <w:spacing w:after="0" w:line="18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Newport is the independent fiduciary and investment manager of the Sempra Stock Fund. Newport has sole fiduciary responsibility under the Plan for deciding, among other things, whether to restrict investment in the Sempra Stock Fund or to sell or otherwise dispose of all or any portion of the stock held in the Sempra Stock Fund. Under the terms of the Plan, Newport will continue to maintain the Sempra Stock Fund as a Plan investment option consistent with the terms of the Plan unless otherwise prohibited by ERISA. In the event Newport determines to sell or dispose of stock in the Sempra Stock Fund, Newport would designate an alternative investment fund under the Plan for the temporary investment of any proceeds from the sale or other disposition of Sempra common stock pending further investment directions from Plan participants.</w:t>
      </w:r>
    </w:p>
    <w:p>
      <w:pPr>
        <w:spacing w:after="0" w:line="220" w:lineRule="exact"/>
        <w:rPr>
          <w:sz w:val="20"/>
          <w:szCs w:val="20"/>
          <w:color w:val="auto"/>
        </w:rPr>
      </w:pPr>
    </w:p>
    <w:p>
      <w:pPr>
        <w:ind w:right="600"/>
        <w:spacing w:after="0" w:line="283" w:lineRule="auto"/>
        <w:rPr>
          <w:sz w:val="20"/>
          <w:szCs w:val="20"/>
          <w:color w:val="auto"/>
        </w:rPr>
      </w:pPr>
      <w:r>
        <w:rPr>
          <w:rFonts w:ascii="Times New Roman" w:cs="Times New Roman" w:eastAsia="Times New Roman" w:hAnsi="Times New Roman"/>
          <w:sz w:val="20"/>
          <w:szCs w:val="20"/>
          <w:color w:val="auto"/>
        </w:rPr>
        <w:t>Certain administrative functions of the Plan are performed by officers or employees of the Company. No such officer or employee receives compensation from the Plan.</w:t>
      </w:r>
    </w:p>
    <w:p>
      <w:pPr>
        <w:spacing w:after="0" w:line="14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Notes Receivable from Participants </w:t>
      </w:r>
      <w:r>
        <w:rPr>
          <w:rFonts w:ascii="Times New Roman" w:cs="Times New Roman" w:eastAsia="Times New Roman" w:hAnsi="Times New Roman"/>
          <w:sz w:val="20"/>
          <w:szCs w:val="20"/>
          <w:color w:val="auto"/>
        </w:rPr>
        <w:t>— The Plan permits participants to borrow against the balances in their individual accounts.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is limited to borrowing a maximum of 50% of the value of his/her vested account balance, or $50,000 less the participant’s highest outstanding loan balance in the preceding 12 months, whichever is less. The minimum amount that can be borrowed is $1,000. The fee charged for processing a loan is paid by the participant who takes out the loan and the participant also is charged an annual maintenance fee for each year a loan is outstanding. Participants may have up to two loans outstanding, both of which can be primary residence loans. Primary residence loans are amortized over a maximum repayment period of 15 years, and other loans have a maximum repayment period of five years. All participant loans bear interest at 1% above the prime rate at the time the loan was made. At December 31, 2025 and 2024, interest rates on participant loans ranged from 4.25% to 9.50% for both years, and participant loans outstanding at December 31, 2025 had maturity dates through August 2040.</w:t>
      </w:r>
    </w:p>
    <w:p>
      <w:pPr>
        <w:spacing w:after="0" w:line="176"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Forfeited Accounts </w:t>
      </w:r>
      <w:r>
        <w:rPr>
          <w:rFonts w:ascii="Times New Roman" w:cs="Times New Roman" w:eastAsia="Times New Roman" w:hAnsi="Times New Roman"/>
          <w:sz w:val="19"/>
          <w:szCs w:val="19"/>
          <w:color w:val="auto"/>
        </w:rPr>
        <w:t>— If a participant’s employment terminates prior to being fully vested in their Employer contributions, the non-vested portion of their account is forfeited on the earlier of the date the participant takes a complete distribution of their vested account balance or has five consecutive one-year breaks in service. Participants’ forfeited accounts are transferred to a forfeiture account, which is maintained for the benefit of the Plan as a whole and is not attributable to any given participant. The balance of the forfeiture account is used to reduce future Employer contributions. At December 31, 2025 and 2024, the balances of forfeited non-vested accounts totaled $6,000 and $5,000, respectively. In 2025, Employer contributions were reduced by $37,000 from forfeited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09" w:right="339" w:bottom="1440" w:gutter="0" w:footer="0" w:header="0"/>
        </w:sectPr>
      </w:pPr>
    </w:p>
    <w:bookmarkStart w:id="13" w:name="page14"/>
    <w:bookmarkEnd w:id="13"/>
    <w:p>
      <w:pPr>
        <w:ind w:left="332" w:right="24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Withdrawals </w:t>
      </w:r>
      <w:r>
        <w:rPr>
          <w:rFonts w:ascii="Times New Roman" w:cs="Times New Roman" w:eastAsia="Times New Roman" w:hAnsi="Times New Roman"/>
          <w:sz w:val="20"/>
          <w:szCs w:val="20"/>
          <w:color w:val="auto"/>
        </w:rPr>
        <w:t>— The Plan offers a dividend pass-through withdrawal option for cash dividends received on shares of Sempra common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held in participants’ accounts through the Sempra Stock Fund and the following in-service withdrawal options:</w:t>
      </w:r>
    </w:p>
    <w:p>
      <w:pPr>
        <w:spacing w:after="0" w:line="142" w:lineRule="exact"/>
        <w:rPr>
          <w:sz w:val="20"/>
          <w:szCs w:val="20"/>
          <w:color w:val="auto"/>
        </w:rPr>
      </w:pPr>
    </w:p>
    <w:p>
      <w:pPr>
        <w:ind w:left="952" w:hanging="304"/>
        <w:spacing w:after="0"/>
        <w:tabs>
          <w:tab w:leader="none" w:pos="952"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After-tax and rollover accounts;</w:t>
      </w:r>
    </w:p>
    <w:p>
      <w:pPr>
        <w:spacing w:after="0" w:line="229" w:lineRule="exact"/>
        <w:rPr>
          <w:rFonts w:ascii="Times New Roman" w:cs="Times New Roman" w:eastAsia="Times New Roman" w:hAnsi="Times New Roman"/>
          <w:sz w:val="20"/>
          <w:szCs w:val="20"/>
          <w:color w:val="auto"/>
        </w:rPr>
      </w:pPr>
    </w:p>
    <w:p>
      <w:pPr>
        <w:ind w:left="952" w:hanging="304"/>
        <w:spacing w:after="0"/>
        <w:tabs>
          <w:tab w:leader="none" w:pos="952"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Hardship withdrawals;</w:t>
      </w:r>
    </w:p>
    <w:p>
      <w:pPr>
        <w:spacing w:after="0" w:line="215" w:lineRule="exact"/>
        <w:rPr>
          <w:rFonts w:ascii="Times New Roman" w:cs="Times New Roman" w:eastAsia="Times New Roman" w:hAnsi="Times New Roman"/>
          <w:sz w:val="20"/>
          <w:szCs w:val="20"/>
          <w:color w:val="auto"/>
        </w:rPr>
      </w:pPr>
    </w:p>
    <w:p>
      <w:pPr>
        <w:ind w:left="952" w:hanging="304"/>
        <w:spacing w:after="0"/>
        <w:tabs>
          <w:tab w:leader="none" w:pos="952"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Military service withdrawals;</w:t>
      </w:r>
    </w:p>
    <w:p>
      <w:pPr>
        <w:spacing w:after="0" w:line="229" w:lineRule="exact"/>
        <w:rPr>
          <w:rFonts w:ascii="Times New Roman" w:cs="Times New Roman" w:eastAsia="Times New Roman" w:hAnsi="Times New Roman"/>
          <w:sz w:val="20"/>
          <w:szCs w:val="20"/>
          <w:color w:val="auto"/>
        </w:rPr>
      </w:pPr>
    </w:p>
    <w:p>
      <w:pPr>
        <w:ind w:left="952" w:hanging="304"/>
        <w:spacing w:after="0"/>
        <w:tabs>
          <w:tab w:leader="none" w:pos="952"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Disability withdrawals; and</w:t>
      </w:r>
    </w:p>
    <w:p>
      <w:pPr>
        <w:spacing w:after="0" w:line="229" w:lineRule="exact"/>
        <w:rPr>
          <w:rFonts w:ascii="Times New Roman" w:cs="Times New Roman" w:eastAsia="Times New Roman" w:hAnsi="Times New Roman"/>
          <w:sz w:val="20"/>
          <w:szCs w:val="20"/>
          <w:color w:val="auto"/>
        </w:rPr>
      </w:pPr>
    </w:p>
    <w:p>
      <w:pPr>
        <w:ind w:left="952" w:hanging="304"/>
        <w:spacing w:after="0"/>
        <w:tabs>
          <w:tab w:leader="none" w:pos="952"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Withdrawals at any time on or after a participant attains age 59-1/2.</w:t>
      </w:r>
    </w:p>
    <w:p>
      <w:pPr>
        <w:spacing w:after="0" w:line="200" w:lineRule="exact"/>
        <w:rPr>
          <w:rFonts w:ascii="Times New Roman" w:cs="Times New Roman" w:eastAsia="Times New Roman" w:hAnsi="Times New Roman"/>
          <w:sz w:val="20"/>
          <w:szCs w:val="20"/>
          <w:color w:val="auto"/>
        </w:rPr>
      </w:pPr>
    </w:p>
    <w:p>
      <w:pPr>
        <w:spacing w:after="0" w:line="254" w:lineRule="exact"/>
        <w:rPr>
          <w:rFonts w:ascii="Times New Roman" w:cs="Times New Roman" w:eastAsia="Times New Roman" w:hAnsi="Times New Roman"/>
          <w:sz w:val="20"/>
          <w:szCs w:val="20"/>
          <w:color w:val="auto"/>
        </w:rPr>
      </w:pPr>
    </w:p>
    <w:p>
      <w:pPr>
        <w:ind w:left="332" w:hanging="332"/>
        <w:spacing w:after="0"/>
        <w:tabs>
          <w:tab w:leader="none" w:pos="332"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SUMMARY OF SIGNIFICANT ACCOUNTING POLICIES</w:t>
      </w:r>
    </w:p>
    <w:p>
      <w:pPr>
        <w:spacing w:after="0" w:line="229" w:lineRule="exact"/>
        <w:rPr>
          <w:rFonts w:ascii="Times New Roman" w:cs="Times New Roman" w:eastAsia="Times New Roman" w:hAnsi="Times New Roman"/>
          <w:sz w:val="20"/>
          <w:szCs w:val="20"/>
          <w:b w:val="1"/>
          <w:bCs w:val="1"/>
          <w:color w:val="auto"/>
        </w:rPr>
      </w:pPr>
    </w:p>
    <w:p>
      <w:pPr>
        <w:ind w:left="332"/>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Basis of Accounting </w:t>
      </w:r>
      <w:r>
        <w:rPr>
          <w:rFonts w:ascii="Times New Roman" w:cs="Times New Roman" w:eastAsia="Times New Roman" w:hAnsi="Times New Roman"/>
          <w:sz w:val="20"/>
          <w:szCs w:val="20"/>
          <w:color w:val="auto"/>
        </w:rPr>
        <w:t>— The accompanying financial statements have been prepared in accordance with U.S. GAAP.</w:t>
      </w:r>
    </w:p>
    <w:p>
      <w:pPr>
        <w:spacing w:after="0" w:line="215" w:lineRule="exact"/>
        <w:rPr>
          <w:rFonts w:ascii="Times New Roman" w:cs="Times New Roman" w:eastAsia="Times New Roman" w:hAnsi="Times New Roman"/>
          <w:sz w:val="20"/>
          <w:szCs w:val="20"/>
          <w:b w:val="1"/>
          <w:bCs w:val="1"/>
          <w:color w:val="auto"/>
        </w:rPr>
      </w:pPr>
    </w:p>
    <w:p>
      <w:pPr>
        <w:ind w:left="332" w:right="40"/>
        <w:spacing w:after="0" w:line="27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Use of Estimates </w:t>
      </w:r>
      <w:r>
        <w:rPr>
          <w:rFonts w:ascii="Times New Roman" w:cs="Times New Roman" w:eastAsia="Times New Roman" w:hAnsi="Times New Roman"/>
          <w:sz w:val="20"/>
          <w:szCs w:val="20"/>
          <w:color w:val="auto"/>
        </w:rPr>
        <w:t>— The preparation of financial statements in conformity with U.S. GAAP requires management to make estimates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assumptions that affect the reported amounts of assets and liabilities, and changes therein, and disclosure of contingent assets and liabilities at the date of the financial statements. Actual results could differ from those estimates.</w:t>
      </w:r>
    </w:p>
    <w:p>
      <w:pPr>
        <w:spacing w:after="0" w:line="155" w:lineRule="exact"/>
        <w:rPr>
          <w:rFonts w:ascii="Times New Roman" w:cs="Times New Roman" w:eastAsia="Times New Roman" w:hAnsi="Times New Roman"/>
          <w:sz w:val="20"/>
          <w:szCs w:val="20"/>
          <w:b w:val="1"/>
          <w:bCs w:val="1"/>
          <w:color w:val="auto"/>
        </w:rPr>
      </w:pPr>
    </w:p>
    <w:p>
      <w:pPr>
        <w:ind w:left="332" w:right="6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Risks and Uncertainties </w:t>
      </w:r>
      <w:r>
        <w:rPr>
          <w:rFonts w:ascii="Times New Roman" w:cs="Times New Roman" w:eastAsia="Times New Roman" w:hAnsi="Times New Roman"/>
          <w:sz w:val="20"/>
          <w:szCs w:val="20"/>
          <w:color w:val="auto"/>
        </w:rPr>
        <w:t>— As discussed in Notes 1 and 4, the Plan invests in various investment instruments in the Master Trust.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Investments, in general, are exposed to various risks and uncertainties, such as interest rate risk, credit risk, and market risk. Market risks include global events which could impact the value of investments, such as a pandemic or international conflict. Due to the level of risk associated with certain investments, it is reasonably possible that changes in the values of investments will occur in the near-term and that such changes could materially affect the value of the participants’ account balances and the amounts reported in the financial statements.</w:t>
      </w:r>
    </w:p>
    <w:p>
      <w:pPr>
        <w:spacing w:after="0" w:line="186" w:lineRule="exact"/>
        <w:rPr>
          <w:rFonts w:ascii="Times New Roman" w:cs="Times New Roman" w:eastAsia="Times New Roman" w:hAnsi="Times New Roman"/>
          <w:sz w:val="20"/>
          <w:szCs w:val="20"/>
          <w:b w:val="1"/>
          <w:bCs w:val="1"/>
          <w:color w:val="auto"/>
        </w:rPr>
      </w:pPr>
    </w:p>
    <w:p>
      <w:pPr>
        <w:ind w:left="332" w:right="60"/>
        <w:spacing w:after="0" w:line="26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Investment Valuation and Income/Loss Recognition </w:t>
      </w:r>
      <w:r>
        <w:rPr>
          <w:rFonts w:ascii="Times New Roman" w:cs="Times New Roman" w:eastAsia="Times New Roman" w:hAnsi="Times New Roman"/>
          <w:sz w:val="20"/>
          <w:szCs w:val="20"/>
          <w:color w:val="auto"/>
        </w:rPr>
        <w:t>— The Plan’s investment consists of an interest in the Master Trust. The Plan’s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interest in the Master Trust is presented at fair value, which has been determined based on the fair value of the underlying investments of the Master Trust. See Note 5 for discussion of fair value measurements.</w:t>
      </w:r>
    </w:p>
    <w:p>
      <w:pPr>
        <w:spacing w:after="0" w:line="165" w:lineRule="exact"/>
        <w:rPr>
          <w:rFonts w:ascii="Times New Roman" w:cs="Times New Roman" w:eastAsia="Times New Roman" w:hAnsi="Times New Roman"/>
          <w:sz w:val="20"/>
          <w:szCs w:val="20"/>
          <w:b w:val="1"/>
          <w:bCs w:val="1"/>
          <w:color w:val="auto"/>
        </w:rPr>
      </w:pPr>
    </w:p>
    <w:p>
      <w:pPr>
        <w:ind w:left="332"/>
        <w:spacing w:after="0" w:line="257"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Investment income related to the Plan’s interest in the Master Trust is presented in Net investment gain – Plan interest in Master Trust in the Statement of Changes in Net Assets Available for Benefits and consists of net appreciation (depreciation) in the fair value of investments and dividend income. Net appreciation (depreciation) includes realized gains and losses on investments sold during the year and unrealized gains and losses on investments held as of year-end. Purchases and sales of investments are recorded on a trade-date basis. Dividend income is recorded on the ex-dividend date.</w:t>
      </w:r>
    </w:p>
    <w:p>
      <w:pPr>
        <w:spacing w:after="0" w:line="168" w:lineRule="exact"/>
        <w:rPr>
          <w:rFonts w:ascii="Times New Roman" w:cs="Times New Roman" w:eastAsia="Times New Roman" w:hAnsi="Times New Roman"/>
          <w:sz w:val="20"/>
          <w:szCs w:val="20"/>
          <w:b w:val="1"/>
          <w:bCs w:val="1"/>
          <w:color w:val="auto"/>
        </w:rPr>
      </w:pPr>
    </w:p>
    <w:p>
      <w:pPr>
        <w:ind w:left="332" w:right="120"/>
        <w:spacing w:after="0" w:line="26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Concentrations of Investments </w:t>
      </w:r>
      <w:r>
        <w:rPr>
          <w:rFonts w:ascii="Times New Roman" w:cs="Times New Roman" w:eastAsia="Times New Roman" w:hAnsi="Times New Roman"/>
          <w:sz w:val="20"/>
          <w:szCs w:val="20"/>
          <w:color w:val="auto"/>
        </w:rPr>
        <w:t>— Included in the Plan’s investment held in the Master Trust at December 31, 2025 and 2024,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of Sempra common stock with a fair value of $66,688,000 and $69,601,000, respectively. This investment represents 11.94% and 14.02% of the Plan’s investment at December 31, 2025 and 2024, respectively. A significant decline in the market value of Sempra common stock would significantly affect the Plan’s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9" w:right="339" w:bottom="1440" w:gutter="0" w:footer="0" w:header="0"/>
        </w:sectPr>
      </w:pPr>
    </w:p>
    <w:bookmarkStart w:id="14" w:name="page15"/>
    <w:bookmarkEnd w:id="14"/>
    <w:p>
      <w:pPr>
        <w:spacing w:after="0" w:line="258" w:lineRule="auto"/>
        <w:rPr>
          <w:sz w:val="20"/>
          <w:szCs w:val="20"/>
          <w:color w:val="auto"/>
        </w:rPr>
      </w:pPr>
      <w:r>
        <w:rPr>
          <w:rFonts w:ascii="Times New Roman" w:cs="Times New Roman" w:eastAsia="Times New Roman" w:hAnsi="Times New Roman"/>
          <w:sz w:val="20"/>
          <w:szCs w:val="20"/>
          <w:color w:val="auto"/>
        </w:rPr>
        <w:t>Additionally, the Master Trust has a significant concentration of investments in mutual funds and common/collective trusts offered by TRP and The Vanguard Group, Inc. at December 31, 2025 and 2024. A significant decline in the market value of these investments would significantly affect the Plan’s net assets available for benefits. The Plan’s share of these investments held in the Master Trust are as follows (dollars in thousands):</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2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900" w:type="dxa"/>
            <w:vAlign w:val="bottom"/>
            <w:gridSpan w:val="4"/>
          </w:tcPr>
          <w:p>
            <w:pPr>
              <w:ind w:left="680"/>
              <w:spacing w:after="0"/>
              <w:rPr>
                <w:sz w:val="20"/>
                <w:szCs w:val="20"/>
                <w:color w:val="auto"/>
              </w:rPr>
            </w:pPr>
            <w:r>
              <w:rPr>
                <w:rFonts w:ascii="Arial" w:cs="Arial" w:eastAsia="Arial" w:hAnsi="Arial"/>
                <w:sz w:val="18"/>
                <w:szCs w:val="18"/>
                <w:b w:val="1"/>
                <w:bCs w:val="1"/>
                <w:color w:val="auto"/>
              </w:rPr>
              <w:t>December 31, 2025</w:t>
            </w:r>
          </w:p>
        </w:tc>
        <w:tc>
          <w:tcPr>
            <w:tcW w:w="3320" w:type="dxa"/>
            <w:vAlign w:val="bottom"/>
            <w:gridSpan w:val="2"/>
          </w:tcPr>
          <w:p>
            <w:pPr>
              <w:ind w:left="680"/>
              <w:spacing w:after="0"/>
              <w:rPr>
                <w:sz w:val="20"/>
                <w:szCs w:val="20"/>
                <w:color w:val="auto"/>
              </w:rPr>
            </w:pPr>
            <w:r>
              <w:rPr>
                <w:rFonts w:ascii="Arial" w:cs="Arial" w:eastAsia="Arial" w:hAnsi="Arial"/>
                <w:sz w:val="18"/>
                <w:szCs w:val="18"/>
                <w:b w:val="1"/>
                <w:bCs w:val="1"/>
                <w:color w:val="auto"/>
              </w:rPr>
              <w:t>December 31, 2024</w:t>
            </w:r>
          </w:p>
        </w:tc>
        <w:tc>
          <w:tcPr>
            <w:tcW w:w="0" w:type="dxa"/>
            <w:vAlign w:val="bottom"/>
          </w:tcPr>
          <w:p>
            <w:pPr>
              <w:spacing w:after="0"/>
              <w:rPr>
                <w:sz w:val="1"/>
                <w:szCs w:val="1"/>
                <w:color w:val="auto"/>
              </w:rPr>
            </w:pPr>
          </w:p>
        </w:tc>
      </w:tr>
      <w:tr>
        <w:trPr>
          <w:trHeight w:val="191"/>
        </w:trPr>
        <w:tc>
          <w:tcPr>
            <w:tcW w:w="29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vMerge w:val="restart"/>
          </w:tcPr>
          <w:p>
            <w:pPr>
              <w:ind w:left="200"/>
              <w:spacing w:after="0"/>
              <w:rPr>
                <w:sz w:val="20"/>
                <w:szCs w:val="20"/>
                <w:color w:val="auto"/>
              </w:rPr>
            </w:pPr>
            <w:r>
              <w:rPr>
                <w:rFonts w:ascii="Arial" w:cs="Arial" w:eastAsia="Arial" w:hAnsi="Arial"/>
                <w:sz w:val="18"/>
                <w:szCs w:val="18"/>
                <w:b w:val="1"/>
                <w:bCs w:val="1"/>
                <w:color w:val="auto"/>
              </w:rPr>
              <w:t>Amount</w:t>
            </w:r>
          </w:p>
        </w:tc>
        <w:tc>
          <w:tcPr>
            <w:tcW w:w="1700" w:type="dxa"/>
            <w:vAlign w:val="bottom"/>
            <w:tcBorders>
              <w:top w:val="single" w:sz="8" w:color="auto"/>
            </w:tcBorders>
          </w:tcPr>
          <w:p>
            <w:pPr>
              <w:ind w:left="280"/>
              <w:spacing w:after="0" w:line="191" w:lineRule="exact"/>
              <w:rPr>
                <w:sz w:val="20"/>
                <w:szCs w:val="20"/>
                <w:color w:val="auto"/>
              </w:rPr>
            </w:pPr>
            <w:r>
              <w:rPr>
                <w:rFonts w:ascii="Arial" w:cs="Arial" w:eastAsia="Arial" w:hAnsi="Arial"/>
                <w:sz w:val="18"/>
                <w:szCs w:val="18"/>
                <w:b w:val="1"/>
                <w:bCs w:val="1"/>
                <w:color w:val="auto"/>
              </w:rPr>
              <w:t>% of Plan</w:t>
            </w:r>
            <w:r>
              <w:rPr>
                <w:rFonts w:ascii="Arial" w:cs="Arial" w:eastAsia="Arial" w:hAnsi="Arial"/>
                <w:sz w:val="19"/>
                <w:szCs w:val="19"/>
                <w:b w:val="1"/>
                <w:bCs w:val="1"/>
                <w:color w:val="auto"/>
              </w:rPr>
              <w:t>’</w:t>
            </w:r>
            <w:r>
              <w:rPr>
                <w:rFonts w:ascii="Arial" w:cs="Arial" w:eastAsia="Arial" w:hAnsi="Arial"/>
                <w:sz w:val="18"/>
                <w:szCs w:val="18"/>
                <w:b w:val="1"/>
                <w:bCs w:val="1"/>
                <w:color w:val="auto"/>
              </w:rPr>
              <w:t>s</w:t>
            </w:r>
          </w:p>
        </w:tc>
        <w:tc>
          <w:tcPr>
            <w:tcW w:w="2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b w:val="1"/>
                <w:bCs w:val="1"/>
                <w:color w:val="auto"/>
              </w:rPr>
              <w:t>Amount</w:t>
            </w:r>
          </w:p>
        </w:tc>
        <w:tc>
          <w:tcPr>
            <w:tcW w:w="1700" w:type="dxa"/>
            <w:vAlign w:val="bottom"/>
            <w:tcBorders>
              <w:top w:val="single" w:sz="8" w:color="auto"/>
            </w:tcBorders>
          </w:tcPr>
          <w:p>
            <w:pPr>
              <w:jc w:val="right"/>
              <w:ind w:right="366"/>
              <w:spacing w:after="0" w:line="191" w:lineRule="exact"/>
              <w:rPr>
                <w:sz w:val="20"/>
                <w:szCs w:val="20"/>
                <w:color w:val="auto"/>
              </w:rPr>
            </w:pPr>
            <w:r>
              <w:rPr>
                <w:rFonts w:ascii="Arial" w:cs="Arial" w:eastAsia="Arial" w:hAnsi="Arial"/>
                <w:sz w:val="18"/>
                <w:szCs w:val="18"/>
                <w:b w:val="1"/>
                <w:bCs w:val="1"/>
                <w:color w:val="auto"/>
              </w:rPr>
              <w:t>% of Plan</w:t>
            </w:r>
            <w:r>
              <w:rPr>
                <w:rFonts w:ascii="Arial" w:cs="Arial" w:eastAsia="Arial" w:hAnsi="Arial"/>
                <w:sz w:val="19"/>
                <w:szCs w:val="19"/>
                <w:b w:val="1"/>
                <w:bCs w:val="1"/>
                <w:color w:val="auto"/>
              </w:rPr>
              <w:t>’</w:t>
            </w:r>
            <w:r>
              <w:rPr>
                <w:rFonts w:ascii="Arial" w:cs="Arial" w:eastAsia="Arial" w:hAnsi="Arial"/>
                <w:sz w:val="18"/>
                <w:szCs w:val="18"/>
                <w:b w:val="1"/>
                <w:bCs w:val="1"/>
                <w:color w:val="auto"/>
              </w:rPr>
              <w:t>s</w:t>
            </w:r>
          </w:p>
        </w:tc>
        <w:tc>
          <w:tcPr>
            <w:tcW w:w="0" w:type="dxa"/>
            <w:vAlign w:val="bottom"/>
          </w:tcPr>
          <w:p>
            <w:pPr>
              <w:spacing w:after="0"/>
              <w:rPr>
                <w:sz w:val="1"/>
                <w:szCs w:val="1"/>
                <w:color w:val="auto"/>
              </w:rPr>
            </w:pPr>
          </w:p>
        </w:tc>
      </w:tr>
      <w:tr>
        <w:trPr>
          <w:trHeight w:val="226"/>
        </w:trPr>
        <w:tc>
          <w:tcPr>
            <w:tcW w:w="2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2300" w:type="dxa"/>
            <w:vAlign w:val="bottom"/>
            <w:gridSpan w:val="3"/>
          </w:tcPr>
          <w:p>
            <w:pPr>
              <w:ind w:left="280"/>
              <w:spacing w:after="0"/>
              <w:rPr>
                <w:sz w:val="20"/>
                <w:szCs w:val="20"/>
                <w:color w:val="auto"/>
              </w:rPr>
            </w:pPr>
            <w:r>
              <w:rPr>
                <w:rFonts w:ascii="Arial" w:cs="Arial" w:eastAsia="Arial" w:hAnsi="Arial"/>
                <w:sz w:val="18"/>
                <w:szCs w:val="18"/>
                <w:b w:val="1"/>
                <w:bCs w:val="1"/>
                <w:color w:val="auto"/>
              </w:rPr>
              <w:t>Investment</w:t>
            </w:r>
          </w:p>
        </w:tc>
        <w:tc>
          <w:tcPr>
            <w:tcW w:w="1620" w:type="dxa"/>
            <w:vAlign w:val="bottom"/>
            <w:vMerge w:val="continue"/>
          </w:tcPr>
          <w:p>
            <w:pPr>
              <w:spacing w:after="0"/>
              <w:rPr>
                <w:sz w:val="19"/>
                <w:szCs w:val="19"/>
                <w:color w:val="auto"/>
              </w:rPr>
            </w:pPr>
          </w:p>
        </w:tc>
        <w:tc>
          <w:tcPr>
            <w:tcW w:w="1700" w:type="dxa"/>
            <w:vAlign w:val="bottom"/>
          </w:tcPr>
          <w:p>
            <w:pPr>
              <w:jc w:val="right"/>
              <w:ind w:right="386"/>
              <w:spacing w:after="0"/>
              <w:rPr>
                <w:sz w:val="20"/>
                <w:szCs w:val="20"/>
                <w:color w:val="auto"/>
              </w:rPr>
            </w:pPr>
            <w:r>
              <w:rPr>
                <w:rFonts w:ascii="Arial" w:cs="Arial" w:eastAsia="Arial" w:hAnsi="Arial"/>
                <w:sz w:val="18"/>
                <w:szCs w:val="18"/>
                <w:b w:val="1"/>
                <w:bCs w:val="1"/>
                <w:color w:val="auto"/>
              </w:rPr>
              <w:t>Investment</w:t>
            </w:r>
          </w:p>
        </w:tc>
        <w:tc>
          <w:tcPr>
            <w:tcW w:w="0" w:type="dxa"/>
            <w:vAlign w:val="bottom"/>
          </w:tcPr>
          <w:p>
            <w:pPr>
              <w:spacing w:after="0"/>
              <w:rPr>
                <w:sz w:val="1"/>
                <w:szCs w:val="1"/>
                <w:color w:val="auto"/>
              </w:rPr>
            </w:pPr>
          </w:p>
        </w:tc>
      </w:tr>
      <w:tr>
        <w:trPr>
          <w:trHeight w:val="257"/>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TRP</w:t>
            </w: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60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278,518</w:t>
            </w:r>
          </w:p>
        </w:tc>
        <w:tc>
          <w:tcPr>
            <w:tcW w:w="2300" w:type="dxa"/>
            <w:vAlign w:val="bottom"/>
            <w:gridSpan w:val="3"/>
          </w:tcPr>
          <w:p>
            <w:pPr>
              <w:ind w:left="1020"/>
              <w:spacing w:after="0"/>
              <w:rPr>
                <w:sz w:val="20"/>
                <w:szCs w:val="20"/>
                <w:color w:val="auto"/>
              </w:rPr>
            </w:pPr>
            <w:r>
              <w:rPr>
                <w:rFonts w:ascii="Times New Roman" w:cs="Times New Roman" w:eastAsia="Times New Roman" w:hAnsi="Times New Roman"/>
                <w:sz w:val="20"/>
                <w:szCs w:val="20"/>
                <w:color w:val="auto"/>
              </w:rPr>
              <w:t>49.87 %   $</w:t>
            </w:r>
          </w:p>
        </w:tc>
        <w:tc>
          <w:tcPr>
            <w:tcW w:w="162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243,167</w:t>
            </w: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48.99 %</w:t>
            </w:r>
          </w:p>
        </w:tc>
        <w:tc>
          <w:tcPr>
            <w:tcW w:w="0" w:type="dxa"/>
            <w:vAlign w:val="bottom"/>
          </w:tcPr>
          <w:p>
            <w:pPr>
              <w:spacing w:after="0"/>
              <w:rPr>
                <w:sz w:val="1"/>
                <w:szCs w:val="1"/>
                <w:color w:val="auto"/>
              </w:rPr>
            </w:pPr>
          </w:p>
        </w:tc>
      </w:tr>
      <w:tr>
        <w:trPr>
          <w:trHeight w:val="258"/>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The Vanguard Group, Inc.</w:t>
            </w:r>
          </w:p>
        </w:tc>
        <w:tc>
          <w:tcPr>
            <w:tcW w:w="320" w:type="dxa"/>
            <w:vAlign w:val="bottom"/>
          </w:tcPr>
          <w:p>
            <w:pPr>
              <w:spacing w:after="0"/>
              <w:rPr>
                <w:sz w:val="22"/>
                <w:szCs w:val="22"/>
                <w:color w:val="auto"/>
              </w:rPr>
            </w:pPr>
          </w:p>
        </w:tc>
        <w:tc>
          <w:tcPr>
            <w:tcW w:w="160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143,818</w:t>
            </w:r>
          </w:p>
        </w:tc>
        <w:tc>
          <w:tcPr>
            <w:tcW w:w="1700" w:type="dxa"/>
            <w:vAlign w:val="bottom"/>
          </w:tcPr>
          <w:p>
            <w:pPr>
              <w:ind w:left="1020"/>
              <w:spacing w:after="0"/>
              <w:rPr>
                <w:sz w:val="20"/>
                <w:szCs w:val="20"/>
                <w:color w:val="auto"/>
              </w:rPr>
            </w:pPr>
            <w:r>
              <w:rPr>
                <w:rFonts w:ascii="Times New Roman" w:cs="Times New Roman" w:eastAsia="Times New Roman" w:hAnsi="Times New Roman"/>
                <w:sz w:val="20"/>
                <w:szCs w:val="20"/>
                <w:color w:val="auto"/>
                <w:w w:val="98"/>
              </w:rPr>
              <w:t>25.75 %</w:t>
            </w: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125,840</w:t>
            </w: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25.35 %</w:t>
            </w:r>
          </w:p>
        </w:tc>
        <w:tc>
          <w:tcPr>
            <w:tcW w:w="0" w:type="dxa"/>
            <w:vAlign w:val="bottom"/>
          </w:tcPr>
          <w:p>
            <w:pPr>
              <w:spacing w:after="0"/>
              <w:rPr>
                <w:sz w:val="1"/>
                <w:szCs w:val="1"/>
                <w:color w:val="auto"/>
              </w:rPr>
            </w:pPr>
          </w:p>
        </w:tc>
      </w:tr>
    </w:tbl>
    <w:p>
      <w:pPr>
        <w:spacing w:after="0" w:line="291" w:lineRule="exact"/>
        <w:rPr>
          <w:sz w:val="20"/>
          <w:szCs w:val="20"/>
          <w:color w:val="auto"/>
        </w:rPr>
      </w:pPr>
    </w:p>
    <w:p>
      <w:pPr>
        <w:jc w:val="both"/>
        <w:ind w:right="38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Benefit Payments </w:t>
      </w:r>
      <w:r>
        <w:rPr>
          <w:rFonts w:ascii="Times New Roman" w:cs="Times New Roman" w:eastAsia="Times New Roman" w:hAnsi="Times New Roman"/>
          <w:sz w:val="20"/>
          <w:szCs w:val="20"/>
          <w:color w:val="auto"/>
        </w:rPr>
        <w:t>— Benefits are recorded when paid. There were no amounts allocated to accounts of persons who have elected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withdraw from the Plan but have not yet been paid as of December 31, 2025 or 2024.</w:t>
      </w:r>
    </w:p>
    <w:p>
      <w:pPr>
        <w:spacing w:after="0" w:line="138"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Notes Receivable from Participants </w:t>
      </w:r>
      <w:r>
        <w:rPr>
          <w:rFonts w:ascii="Times New Roman" w:cs="Times New Roman" w:eastAsia="Times New Roman" w:hAnsi="Times New Roman"/>
          <w:sz w:val="19"/>
          <w:szCs w:val="19"/>
          <w:color w:val="auto"/>
        </w:rPr>
        <w:t>— Notes receivable from participants are reported at their outstanding principal balances plus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accrued interest. Interest income is recorded on an accrual basis. If a participant does not make regular loan payments for 90 days, the loan is considered to be in default. For participant loans that become delinquent, are not cured and result in default, the amount of unpaid principal and interest due to the Plan is treated as a deemed distribution to the participant. Deemed distributions are reported as taxable distributions to participants for purposes of reporting in the Form 5500; however, deemed distributions remain classified as notes receivable from participants until a qualifying distributable event occurs for purposes of reporting in conformity with U.S. GAAP.</w:t>
      </w:r>
    </w:p>
    <w:p>
      <w:pPr>
        <w:spacing w:after="0" w:line="17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Administrative Expenses </w:t>
      </w:r>
      <w:r>
        <w:rPr>
          <w:rFonts w:ascii="Times New Roman" w:cs="Times New Roman" w:eastAsia="Times New Roman" w:hAnsi="Times New Roman"/>
          <w:sz w:val="20"/>
          <w:szCs w:val="20"/>
          <w:color w:val="auto"/>
        </w:rPr>
        <w:t>— Each participant is charged an annual recordkeeping fee, which is paid on a monthly basis.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pays this fee for each participant during their first 23 months of employment. After 23 months of employment, this fee is charged to participants and deducted from participants’ accounts. Additionally, loan origination fees, loan maintenance fees and rollover fees charged by the receiving financial institution, when applicable, are charged to participants and deducted from participants’ accounts. Investment management fees (including fees associated with brokerage activity in the SDBA) are included in Net investment gain – Plan interest in Master Trust in the Statement of Changes in Net Assets Available for Benefits.</w:t>
      </w:r>
    </w:p>
    <w:p>
      <w:pPr>
        <w:spacing w:after="0" w:line="177"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20"/>
          <w:szCs w:val="20"/>
          <w:color w:val="auto"/>
        </w:rPr>
        <w:t>Certain administrative expenses of the Plan are paid directly by the Company, such as legal and accounting fees, and not allocated to the Plan.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Subsequent Events </w:t>
      </w:r>
      <w:r>
        <w:rPr>
          <w:rFonts w:ascii="Times New Roman" w:cs="Times New Roman" w:eastAsia="Times New Roman" w:hAnsi="Times New Roman"/>
          <w:sz w:val="20"/>
          <w:szCs w:val="20"/>
          <w:color w:val="auto"/>
        </w:rPr>
        <w:t>— Subsequent events were evaluated through the date the financial statements were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60" w:top="1413" w:right="359" w:bottom="1440" w:gutter="0" w:footer="0" w:header="0"/>
        </w:sectPr>
      </w:pPr>
    </w:p>
    <w:bookmarkStart w:id="15" w:name="page16"/>
    <w:bookmarkEnd w:id="15"/>
    <w:p>
      <w:pPr>
        <w:spacing w:after="0" w:line="21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FEDERAL INCOME TAX STATUS</w:t>
      </w:r>
    </w:p>
    <w:p>
      <w:pPr>
        <w:spacing w:after="0" w:line="233" w:lineRule="exact"/>
        <w:rPr>
          <w:sz w:val="20"/>
          <w:szCs w:val="20"/>
          <w:color w:val="auto"/>
        </w:rPr>
      </w:pPr>
    </w:p>
    <w:p>
      <w:pPr>
        <w:ind w:left="340"/>
        <w:spacing w:after="0" w:line="253" w:lineRule="auto"/>
        <w:rPr>
          <w:sz w:val="20"/>
          <w:szCs w:val="20"/>
          <w:color w:val="auto"/>
        </w:rPr>
      </w:pPr>
      <w:r>
        <w:rPr>
          <w:rFonts w:ascii="Times New Roman" w:cs="Times New Roman" w:eastAsia="Times New Roman" w:hAnsi="Times New Roman"/>
          <w:sz w:val="20"/>
          <w:szCs w:val="20"/>
          <w:color w:val="auto"/>
        </w:rPr>
        <w:t>The IRS has determined and informed the Company by a letter dated June 10, 2014 that the Plan and the Master Trust were designed in accordance with the applicable requirements of the IRC. The Plan has been amended since receiving the determination letter. Additionally, on an annual basis, the IRS publishes a Required Amendments List for individually designed plans that specifies changes in statutory and administrative requirements. The Company and Plan management believe that the Plan is currently designed and being operated in compliance with the applicable requirements of the IRC, and that the Plan and the Master Trust continue to remain tax exempt. Therefore, no provision for income taxes has been included in the Plan’s financial statements.</w:t>
      </w:r>
    </w:p>
    <w:p>
      <w:pPr>
        <w:spacing w:after="0" w:line="200" w:lineRule="exact"/>
        <w:rPr>
          <w:sz w:val="20"/>
          <w:szCs w:val="20"/>
          <w:color w:val="auto"/>
        </w:rPr>
      </w:pPr>
    </w:p>
    <w:p>
      <w:pPr>
        <w:spacing w:after="0" w:line="218"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INTEREST IN THE MASTER TRUST</w:t>
      </w:r>
    </w:p>
    <w:p>
      <w:pPr>
        <w:spacing w:after="0" w:line="233" w:lineRule="exact"/>
        <w:rPr>
          <w:rFonts w:ascii="Times New Roman" w:cs="Times New Roman" w:eastAsia="Times New Roman" w:hAnsi="Times New Roman"/>
          <w:sz w:val="20"/>
          <w:szCs w:val="20"/>
          <w:b w:val="1"/>
          <w:bCs w:val="1"/>
          <w:color w:val="auto"/>
        </w:rPr>
      </w:pPr>
    </w:p>
    <w:p>
      <w:pPr>
        <w:ind w:left="340" w:right="40"/>
        <w:spacing w:after="0" w:line="25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Plan’s investment consists of a divided interest, as discussed below, in the Master Trust. A portion of this interest in the Master Trust is held in a trust account at TRP and the remainder is held in a trust account at the Northern Trust Company, who acts as an agent for TRP and is the custodian of the custom investment funds, except the U.S. Large Cap Equity Fund for which TRP is the custodian. Use of the Master Trust permits the commingling of the trust assets of this and other similar employee benefit plans sponsored by Sempra or an affiliate for investment and administrative purposes. The Plan’s interest in the Master Trust is based on the individual Plan participants’ investment balances (divided interest). Investment income (loss) is allocated by the Trustee on a daily basis through a valuation of the Master Trust’s investments and each individual Plan participant’s share of each investment. Administrative expenses of the Master Trust are allocated to the Plan based upon each individual Plan participant’s share of each investment or the participant’s transaction in a specific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 w:name="page17"/>
    <w:bookmarkEnd w:id="16"/>
    <w:p>
      <w:pPr>
        <w:ind w:right="540"/>
        <w:spacing w:after="0" w:line="283" w:lineRule="auto"/>
        <w:rPr>
          <w:sz w:val="20"/>
          <w:szCs w:val="20"/>
          <w:color w:val="auto"/>
        </w:rPr>
      </w:pPr>
      <w:r>
        <w:rPr>
          <w:rFonts w:ascii="Times New Roman" w:cs="Times New Roman" w:eastAsia="Times New Roman" w:hAnsi="Times New Roman"/>
          <w:sz w:val="20"/>
          <w:szCs w:val="20"/>
          <w:color w:val="auto"/>
        </w:rPr>
        <w:t>The net assets available for benefits of the Master Trust at December 31, 2025 and 2024 are summarized as follows (dollars in thousands):</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0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4"/>
          </w:tcPr>
          <w:p>
            <w:pPr>
              <w:jc w:val="right"/>
              <w:ind w:right="1323"/>
              <w:spacing w:after="0"/>
              <w:rPr>
                <w:sz w:val="20"/>
                <w:szCs w:val="20"/>
                <w:color w:val="auto"/>
              </w:rPr>
            </w:pPr>
            <w:r>
              <w:rPr>
                <w:rFonts w:ascii="Arial" w:cs="Arial" w:eastAsia="Arial" w:hAnsi="Arial"/>
                <w:sz w:val="18"/>
                <w:szCs w:val="18"/>
                <w:b w:val="1"/>
                <w:bCs w:val="1"/>
                <w:color w:val="auto"/>
              </w:rPr>
              <w:t>December 31, 2025</w:t>
            </w:r>
          </w:p>
        </w:tc>
      </w:tr>
      <w:tr>
        <w:trPr>
          <w:trHeight w:val="218"/>
        </w:trPr>
        <w:tc>
          <w:tcPr>
            <w:tcW w:w="6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tcPr>
          <w:p>
            <w:pPr>
              <w:jc w:val="center"/>
              <w:ind w:right="163"/>
              <w:spacing w:after="0"/>
              <w:rPr>
                <w:sz w:val="20"/>
                <w:szCs w:val="20"/>
                <w:color w:val="auto"/>
              </w:rPr>
            </w:pPr>
            <w:r>
              <w:rPr>
                <w:rFonts w:ascii="Arial" w:cs="Arial" w:eastAsia="Arial" w:hAnsi="Arial"/>
                <w:sz w:val="18"/>
                <w:szCs w:val="18"/>
                <w:b w:val="1"/>
                <w:bCs w:val="1"/>
                <w:color w:val="auto"/>
                <w:w w:val="99"/>
              </w:rPr>
              <w:t>Plan’s Interest</w:t>
            </w:r>
          </w:p>
        </w:tc>
      </w:tr>
      <w:tr>
        <w:trPr>
          <w:trHeight w:val="229"/>
        </w:trPr>
        <w:tc>
          <w:tcPr>
            <w:tcW w:w="6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9"/>
              </w:rPr>
              <w:t>Master Trust</w:t>
            </w:r>
          </w:p>
        </w:tc>
        <w:tc>
          <w:tcPr>
            <w:tcW w:w="260" w:type="dxa"/>
            <w:vAlign w:val="bottom"/>
          </w:tcPr>
          <w:p>
            <w:pPr>
              <w:spacing w:after="0"/>
              <w:rPr>
                <w:sz w:val="19"/>
                <w:szCs w:val="19"/>
                <w:color w:val="auto"/>
              </w:rPr>
            </w:pPr>
          </w:p>
        </w:tc>
        <w:tc>
          <w:tcPr>
            <w:tcW w:w="1840" w:type="dxa"/>
            <w:vAlign w:val="bottom"/>
          </w:tcPr>
          <w:p>
            <w:pPr>
              <w:jc w:val="center"/>
              <w:ind w:right="183"/>
              <w:spacing w:after="0"/>
              <w:rPr>
                <w:sz w:val="20"/>
                <w:szCs w:val="20"/>
                <w:color w:val="auto"/>
              </w:rPr>
            </w:pPr>
            <w:r>
              <w:rPr>
                <w:rFonts w:ascii="Arial" w:cs="Arial" w:eastAsia="Arial" w:hAnsi="Arial"/>
                <w:sz w:val="18"/>
                <w:szCs w:val="18"/>
                <w:b w:val="1"/>
                <w:bCs w:val="1"/>
                <w:color w:val="auto"/>
                <w:w w:val="99"/>
              </w:rPr>
              <w:t>in Master Trust</w:t>
            </w:r>
          </w:p>
        </w:tc>
      </w:tr>
      <w:tr>
        <w:trPr>
          <w:trHeight w:val="247"/>
        </w:trPr>
        <w:tc>
          <w:tcPr>
            <w:tcW w:w="6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rPr>
              <w:t>Balances</w:t>
            </w:r>
          </w:p>
        </w:tc>
        <w:tc>
          <w:tcPr>
            <w:tcW w:w="260" w:type="dxa"/>
            <w:vAlign w:val="bottom"/>
          </w:tcPr>
          <w:p>
            <w:pPr>
              <w:spacing w:after="0"/>
              <w:rPr>
                <w:sz w:val="21"/>
                <w:szCs w:val="21"/>
                <w:color w:val="auto"/>
              </w:rPr>
            </w:pPr>
          </w:p>
        </w:tc>
        <w:tc>
          <w:tcPr>
            <w:tcW w:w="1840" w:type="dxa"/>
            <w:vAlign w:val="bottom"/>
          </w:tcPr>
          <w:p>
            <w:pPr>
              <w:jc w:val="center"/>
              <w:ind w:right="163"/>
              <w:spacing w:after="0"/>
              <w:rPr>
                <w:sz w:val="20"/>
                <w:szCs w:val="20"/>
                <w:color w:val="auto"/>
              </w:rPr>
            </w:pPr>
            <w:r>
              <w:rPr>
                <w:rFonts w:ascii="Arial" w:cs="Arial" w:eastAsia="Arial" w:hAnsi="Arial"/>
                <w:sz w:val="18"/>
                <w:szCs w:val="18"/>
                <w:b w:val="1"/>
                <w:bCs w:val="1"/>
                <w:color w:val="auto"/>
                <w:w w:val="98"/>
              </w:rPr>
              <w:t>Balances</w:t>
            </w:r>
          </w:p>
        </w:tc>
      </w:tr>
      <w:tr>
        <w:trPr>
          <w:trHeight w:val="505"/>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Sempra common stock</w:t>
            </w: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1,034,401</w:t>
            </w:r>
          </w:p>
        </w:tc>
        <w:tc>
          <w:tcPr>
            <w:tcW w:w="240" w:type="dxa"/>
            <w:vAlign w:val="bottom"/>
          </w:tcPr>
          <w:p>
            <w:pPr>
              <w:spacing w:after="0"/>
              <w:rPr>
                <w:sz w:val="24"/>
                <w:szCs w:val="24"/>
                <w:color w:val="auto"/>
              </w:rPr>
            </w:pPr>
          </w:p>
        </w:tc>
        <w:tc>
          <w:tcPr>
            <w:tcW w:w="2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66,688</w:t>
            </w:r>
          </w:p>
        </w:tc>
      </w:tr>
      <w:tr>
        <w:trPr>
          <w:trHeight w:val="257"/>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Mutual funds</w:t>
            </w:r>
          </w:p>
        </w:tc>
        <w:tc>
          <w:tcPr>
            <w:tcW w:w="3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442,746</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35,561</w:t>
            </w:r>
          </w:p>
        </w:tc>
      </w:tr>
      <w:tr>
        <w:trPr>
          <w:trHeight w:val="262"/>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Common/collective trusts</w:t>
            </w:r>
          </w:p>
        </w:tc>
        <w:tc>
          <w:tcPr>
            <w:tcW w:w="32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4,474,698</w:t>
            </w:r>
          </w:p>
        </w:tc>
        <w:tc>
          <w:tcPr>
            <w:tcW w:w="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456,192</w:t>
            </w:r>
          </w:p>
        </w:tc>
      </w:tr>
      <w:tr>
        <w:trPr>
          <w:trHeight w:val="503"/>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Master Trust investments</w:t>
            </w:r>
          </w:p>
        </w:tc>
        <w:tc>
          <w:tcPr>
            <w:tcW w:w="3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5,951,845</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558,441</w:t>
            </w:r>
          </w:p>
        </w:tc>
      </w:tr>
      <w:tr>
        <w:trPr>
          <w:trHeight w:val="525"/>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Plus:</w:t>
            </w: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57"/>
        </w:trPr>
        <w:tc>
          <w:tcPr>
            <w:tcW w:w="6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Non-interest bearing cash</w:t>
            </w:r>
          </w:p>
        </w:tc>
        <w:tc>
          <w:tcPr>
            <w:tcW w:w="3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778</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6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Dividends receivable</w:t>
            </w:r>
          </w:p>
        </w:tc>
        <w:tc>
          <w:tcPr>
            <w:tcW w:w="3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7,639</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487</w:t>
            </w:r>
          </w:p>
        </w:tc>
      </w:tr>
      <w:tr>
        <w:trPr>
          <w:trHeight w:val="256"/>
        </w:trPr>
        <w:tc>
          <w:tcPr>
            <w:tcW w:w="6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Employer contributions receivable</w:t>
            </w:r>
          </w:p>
        </w:tc>
        <w:tc>
          <w:tcPr>
            <w:tcW w:w="3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62"/>
        </w:trPr>
        <w:tc>
          <w:tcPr>
            <w:tcW w:w="6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Participant contributions receivable</w:t>
            </w:r>
          </w:p>
        </w:tc>
        <w:tc>
          <w:tcPr>
            <w:tcW w:w="32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510"/>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Net assets available for benefits of the Master Trust</w:t>
            </w:r>
          </w:p>
        </w:tc>
        <w:tc>
          <w:tcPr>
            <w:tcW w:w="3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5,960,265</w:t>
            </w:r>
          </w:p>
        </w:tc>
        <w:tc>
          <w:tcPr>
            <w:tcW w:w="240" w:type="dxa"/>
            <w:vAlign w:val="bottom"/>
          </w:tcPr>
          <w:p>
            <w:pPr>
              <w:spacing w:after="0"/>
              <w:rPr>
                <w:sz w:val="24"/>
                <w:szCs w:val="24"/>
                <w:color w:val="auto"/>
              </w:rPr>
            </w:pPr>
          </w:p>
        </w:tc>
        <w:tc>
          <w:tcPr>
            <w:tcW w:w="2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558,931</w:t>
            </w:r>
          </w:p>
        </w:tc>
      </w:tr>
      <w:tr>
        <w:trPr>
          <w:trHeight w:val="20"/>
        </w:trPr>
        <w:tc>
          <w:tcPr>
            <w:tcW w:w="6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tcBorders>
              <w:bottom w:val="single" w:sz="8" w:color="auto"/>
            </w:tcBorders>
            <w:gridSpan w:val="2"/>
          </w:tcPr>
          <w:p>
            <w:pPr>
              <w:spacing w:after="0" w:line="20" w:lineRule="exact"/>
              <w:rPr>
                <w:sz w:val="1"/>
                <w:szCs w:val="1"/>
                <w:color w:val="auto"/>
              </w:rPr>
            </w:pPr>
          </w:p>
        </w:tc>
      </w:tr>
      <w:tr>
        <w:trPr>
          <w:trHeight w:val="466"/>
        </w:trPr>
        <w:tc>
          <w:tcPr>
            <w:tcW w:w="60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4"/>
          </w:tcPr>
          <w:p>
            <w:pPr>
              <w:jc w:val="right"/>
              <w:ind w:right="1323"/>
              <w:spacing w:after="0"/>
              <w:rPr>
                <w:sz w:val="20"/>
                <w:szCs w:val="20"/>
                <w:color w:val="auto"/>
              </w:rPr>
            </w:pPr>
            <w:r>
              <w:rPr>
                <w:rFonts w:ascii="Arial" w:cs="Arial" w:eastAsia="Arial" w:hAnsi="Arial"/>
                <w:sz w:val="18"/>
                <w:szCs w:val="18"/>
                <w:b w:val="1"/>
                <w:bCs w:val="1"/>
                <w:color w:val="auto"/>
              </w:rPr>
              <w:t>December 31, 2024</w:t>
            </w:r>
          </w:p>
        </w:tc>
      </w:tr>
      <w:tr>
        <w:trPr>
          <w:trHeight w:val="218"/>
        </w:trPr>
        <w:tc>
          <w:tcPr>
            <w:tcW w:w="6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tcPr>
          <w:p>
            <w:pPr>
              <w:jc w:val="center"/>
              <w:ind w:right="163"/>
              <w:spacing w:after="0"/>
              <w:rPr>
                <w:sz w:val="20"/>
                <w:szCs w:val="20"/>
                <w:color w:val="auto"/>
              </w:rPr>
            </w:pPr>
            <w:r>
              <w:rPr>
                <w:rFonts w:ascii="Arial" w:cs="Arial" w:eastAsia="Arial" w:hAnsi="Arial"/>
                <w:sz w:val="18"/>
                <w:szCs w:val="18"/>
                <w:b w:val="1"/>
                <w:bCs w:val="1"/>
                <w:color w:val="auto"/>
                <w:w w:val="99"/>
              </w:rPr>
              <w:t>Plan’s Interest</w:t>
            </w:r>
          </w:p>
        </w:tc>
      </w:tr>
      <w:tr>
        <w:trPr>
          <w:trHeight w:val="230"/>
        </w:trPr>
        <w:tc>
          <w:tcPr>
            <w:tcW w:w="6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9"/>
              </w:rPr>
              <w:t>Master Trust</w:t>
            </w:r>
          </w:p>
        </w:tc>
        <w:tc>
          <w:tcPr>
            <w:tcW w:w="260" w:type="dxa"/>
            <w:vAlign w:val="bottom"/>
          </w:tcPr>
          <w:p>
            <w:pPr>
              <w:spacing w:after="0"/>
              <w:rPr>
                <w:sz w:val="19"/>
                <w:szCs w:val="19"/>
                <w:color w:val="auto"/>
              </w:rPr>
            </w:pPr>
          </w:p>
        </w:tc>
        <w:tc>
          <w:tcPr>
            <w:tcW w:w="1840" w:type="dxa"/>
            <w:vAlign w:val="bottom"/>
          </w:tcPr>
          <w:p>
            <w:pPr>
              <w:jc w:val="center"/>
              <w:ind w:right="183"/>
              <w:spacing w:after="0"/>
              <w:rPr>
                <w:sz w:val="20"/>
                <w:szCs w:val="20"/>
                <w:color w:val="auto"/>
              </w:rPr>
            </w:pPr>
            <w:r>
              <w:rPr>
                <w:rFonts w:ascii="Arial" w:cs="Arial" w:eastAsia="Arial" w:hAnsi="Arial"/>
                <w:sz w:val="18"/>
                <w:szCs w:val="18"/>
                <w:b w:val="1"/>
                <w:bCs w:val="1"/>
                <w:color w:val="auto"/>
                <w:w w:val="99"/>
              </w:rPr>
              <w:t>in Master Trust</w:t>
            </w:r>
          </w:p>
        </w:tc>
      </w:tr>
      <w:tr>
        <w:trPr>
          <w:trHeight w:val="247"/>
        </w:trPr>
        <w:tc>
          <w:tcPr>
            <w:tcW w:w="6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rPr>
              <w:t>Balances</w:t>
            </w:r>
          </w:p>
        </w:tc>
        <w:tc>
          <w:tcPr>
            <w:tcW w:w="260" w:type="dxa"/>
            <w:vAlign w:val="bottom"/>
          </w:tcPr>
          <w:p>
            <w:pPr>
              <w:spacing w:after="0"/>
              <w:rPr>
                <w:sz w:val="21"/>
                <w:szCs w:val="21"/>
                <w:color w:val="auto"/>
              </w:rPr>
            </w:pPr>
          </w:p>
        </w:tc>
        <w:tc>
          <w:tcPr>
            <w:tcW w:w="1840" w:type="dxa"/>
            <w:vAlign w:val="bottom"/>
          </w:tcPr>
          <w:p>
            <w:pPr>
              <w:jc w:val="center"/>
              <w:ind w:right="163"/>
              <w:spacing w:after="0"/>
              <w:rPr>
                <w:sz w:val="20"/>
                <w:szCs w:val="20"/>
                <w:color w:val="auto"/>
              </w:rPr>
            </w:pPr>
            <w:r>
              <w:rPr>
                <w:rFonts w:ascii="Arial" w:cs="Arial" w:eastAsia="Arial" w:hAnsi="Arial"/>
                <w:sz w:val="18"/>
                <w:szCs w:val="18"/>
                <w:b w:val="1"/>
                <w:bCs w:val="1"/>
                <w:color w:val="auto"/>
                <w:w w:val="98"/>
              </w:rPr>
              <w:t>Balances</w:t>
            </w:r>
          </w:p>
        </w:tc>
      </w:tr>
      <w:tr>
        <w:trPr>
          <w:trHeight w:val="505"/>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Sempra common stock</w:t>
            </w: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1,165,804</w:t>
            </w:r>
          </w:p>
        </w:tc>
        <w:tc>
          <w:tcPr>
            <w:tcW w:w="240" w:type="dxa"/>
            <w:vAlign w:val="bottom"/>
          </w:tcPr>
          <w:p>
            <w:pPr>
              <w:spacing w:after="0"/>
              <w:rPr>
                <w:sz w:val="24"/>
                <w:szCs w:val="24"/>
                <w:color w:val="auto"/>
              </w:rPr>
            </w:pPr>
          </w:p>
        </w:tc>
        <w:tc>
          <w:tcPr>
            <w:tcW w:w="2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69,601</w:t>
            </w:r>
          </w:p>
        </w:tc>
      </w:tr>
      <w:tr>
        <w:trPr>
          <w:trHeight w:val="257"/>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Mutual funds</w:t>
            </w:r>
          </w:p>
        </w:tc>
        <w:tc>
          <w:tcPr>
            <w:tcW w:w="3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400,835</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30,166</w:t>
            </w:r>
          </w:p>
        </w:tc>
      </w:tr>
      <w:tr>
        <w:trPr>
          <w:trHeight w:val="262"/>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Common/collective trusts</w:t>
            </w:r>
          </w:p>
        </w:tc>
        <w:tc>
          <w:tcPr>
            <w:tcW w:w="32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4,040,716</w:t>
            </w:r>
          </w:p>
        </w:tc>
        <w:tc>
          <w:tcPr>
            <w:tcW w:w="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396,632</w:t>
            </w:r>
          </w:p>
        </w:tc>
      </w:tr>
      <w:tr>
        <w:trPr>
          <w:trHeight w:val="503"/>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Master Trust investments</w:t>
            </w:r>
          </w:p>
        </w:tc>
        <w:tc>
          <w:tcPr>
            <w:tcW w:w="3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5,607,355</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496,399</w:t>
            </w:r>
          </w:p>
        </w:tc>
      </w:tr>
      <w:tr>
        <w:trPr>
          <w:trHeight w:val="525"/>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Plus:</w:t>
            </w: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57"/>
        </w:trPr>
        <w:tc>
          <w:tcPr>
            <w:tcW w:w="6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Non-interest bearing cash</w:t>
            </w:r>
          </w:p>
        </w:tc>
        <w:tc>
          <w:tcPr>
            <w:tcW w:w="3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6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Dividends receivable</w:t>
            </w:r>
          </w:p>
        </w:tc>
        <w:tc>
          <w:tcPr>
            <w:tcW w:w="3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8,271</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495</w:t>
            </w:r>
          </w:p>
        </w:tc>
      </w:tr>
      <w:tr>
        <w:trPr>
          <w:trHeight w:val="256"/>
        </w:trPr>
        <w:tc>
          <w:tcPr>
            <w:tcW w:w="6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Employer contributions receivable</w:t>
            </w:r>
          </w:p>
        </w:tc>
        <w:tc>
          <w:tcPr>
            <w:tcW w:w="3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2"/>
        </w:trPr>
        <w:tc>
          <w:tcPr>
            <w:tcW w:w="6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Participant contributions receivable</w:t>
            </w:r>
          </w:p>
        </w:tc>
        <w:tc>
          <w:tcPr>
            <w:tcW w:w="320" w:type="dxa"/>
            <w:vAlign w:val="bottom"/>
          </w:tcPr>
          <w:p>
            <w:pPr>
              <w:spacing w:after="0"/>
              <w:rPr>
                <w:sz w:val="22"/>
                <w:szCs w:val="22"/>
                <w:color w:val="auto"/>
              </w:rPr>
            </w:pP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510"/>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Net assets available for benefits of the Master Trust</w:t>
            </w:r>
          </w:p>
        </w:tc>
        <w:tc>
          <w:tcPr>
            <w:tcW w:w="32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5,615,679</w:t>
            </w:r>
          </w:p>
        </w:tc>
        <w:tc>
          <w:tcPr>
            <w:tcW w:w="24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496,894</w:t>
            </w:r>
          </w:p>
        </w:tc>
      </w:tr>
      <w:tr>
        <w:trPr>
          <w:trHeight w:val="21"/>
        </w:trPr>
        <w:tc>
          <w:tcPr>
            <w:tcW w:w="6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520"/>
          </w:cols>
          <w:pgMar w:left="660" w:top="1413"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660" w:top="1413" w:right="719" w:bottom="1440" w:gutter="0" w:footer="0" w:header="0"/>
          <w:type w:val="continuous"/>
        </w:sectPr>
      </w:pPr>
    </w:p>
    <w:bookmarkStart w:id="17" w:name="page18"/>
    <w:bookmarkEnd w:id="17"/>
    <w:p>
      <w:pPr>
        <w:ind w:left="332" w:right="380"/>
        <w:spacing w:after="0" w:line="283" w:lineRule="auto"/>
        <w:rPr>
          <w:sz w:val="20"/>
          <w:szCs w:val="20"/>
          <w:color w:val="auto"/>
        </w:rPr>
      </w:pPr>
      <w:r>
        <w:rPr>
          <w:rFonts w:ascii="Times New Roman" w:cs="Times New Roman" w:eastAsia="Times New Roman" w:hAnsi="Times New Roman"/>
          <w:sz w:val="20"/>
          <w:szCs w:val="20"/>
          <w:color w:val="auto"/>
        </w:rPr>
        <w:t>Net appreciation in fair value of investments and dividend income for the Master Trust for the year ended December 31, 2025, are as follows (dollars in thousands):</w:t>
      </w:r>
    </w:p>
    <w:p>
      <w:pPr>
        <w:spacing w:after="0" w:line="173" w:lineRule="exact"/>
        <w:rPr>
          <w:sz w:val="20"/>
          <w:szCs w:val="20"/>
          <w:color w:val="auto"/>
        </w:rPr>
      </w:pPr>
    </w:p>
    <w:tbl>
      <w:tblPr>
        <w:tblLayout w:type="fixed"/>
        <w:tblInd w:w="352" w:type="dxa"/>
        <w:tblCellMar>
          <w:top w:w="0" w:type="dxa"/>
          <w:left w:w="0" w:type="dxa"/>
          <w:bottom w:w="0" w:type="dxa"/>
          <w:right w:w="0" w:type="dxa"/>
        </w:tblCellMar>
      </w:tblPr>
      <w:tr>
        <w:trPr>
          <w:trHeight w:val="207"/>
        </w:trPr>
        <w:tc>
          <w:tcPr>
            <w:tcW w:w="8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tcPr>
          <w:p>
            <w:pPr>
              <w:jc w:val="right"/>
              <w:ind w:right="64"/>
              <w:spacing w:after="0"/>
              <w:rPr>
                <w:sz w:val="20"/>
                <w:szCs w:val="20"/>
                <w:color w:val="auto"/>
              </w:rPr>
            </w:pPr>
            <w:r>
              <w:rPr>
                <w:rFonts w:ascii="Arial" w:cs="Arial" w:eastAsia="Arial" w:hAnsi="Arial"/>
                <w:sz w:val="18"/>
                <w:szCs w:val="18"/>
                <w:b w:val="1"/>
                <w:bCs w:val="1"/>
                <w:color w:val="auto"/>
                <w:w w:val="99"/>
              </w:rPr>
              <w:t>Year Ended December</w:t>
            </w:r>
          </w:p>
        </w:tc>
        <w:tc>
          <w:tcPr>
            <w:tcW w:w="0" w:type="dxa"/>
            <w:vAlign w:val="bottom"/>
          </w:tcPr>
          <w:p>
            <w:pPr>
              <w:spacing w:after="0"/>
              <w:rPr>
                <w:sz w:val="1"/>
                <w:szCs w:val="1"/>
                <w:color w:val="auto"/>
              </w:rPr>
            </w:pPr>
          </w:p>
        </w:tc>
      </w:tr>
      <w:tr>
        <w:trPr>
          <w:trHeight w:val="235"/>
        </w:trPr>
        <w:tc>
          <w:tcPr>
            <w:tcW w:w="82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appreciation (depreciation) in fair value of investments:</w:t>
            </w:r>
          </w:p>
        </w:tc>
        <w:tc>
          <w:tcPr>
            <w:tcW w:w="1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664"/>
              <w:spacing w:after="0"/>
              <w:rPr>
                <w:sz w:val="20"/>
                <w:szCs w:val="20"/>
                <w:color w:val="auto"/>
              </w:rPr>
            </w:pPr>
            <w:r>
              <w:rPr>
                <w:rFonts w:ascii="Arial" w:cs="Arial" w:eastAsia="Arial" w:hAnsi="Arial"/>
                <w:sz w:val="18"/>
                <w:szCs w:val="18"/>
                <w:b w:val="1"/>
                <w:bCs w:val="1"/>
                <w:color w:val="auto"/>
              </w:rPr>
              <w:t>31, 2025</w:t>
            </w:r>
          </w:p>
        </w:tc>
        <w:tc>
          <w:tcPr>
            <w:tcW w:w="0" w:type="dxa"/>
            <w:vAlign w:val="bottom"/>
          </w:tcPr>
          <w:p>
            <w:pPr>
              <w:spacing w:after="0"/>
              <w:rPr>
                <w:sz w:val="1"/>
                <w:szCs w:val="1"/>
                <w:color w:val="auto"/>
              </w:rPr>
            </w:pPr>
          </w:p>
        </w:tc>
      </w:tr>
      <w:tr>
        <w:trPr>
          <w:trHeight w:val="227"/>
        </w:trPr>
        <w:tc>
          <w:tcPr>
            <w:tcW w:w="82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Sempra common stock</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(1,156)</w:t>
            </w:r>
          </w:p>
        </w:tc>
        <w:tc>
          <w:tcPr>
            <w:tcW w:w="0" w:type="dxa"/>
            <w:vAlign w:val="bottom"/>
          </w:tcPr>
          <w:p>
            <w:pPr>
              <w:spacing w:after="0"/>
              <w:rPr>
                <w:sz w:val="1"/>
                <w:szCs w:val="1"/>
                <w:color w:val="auto"/>
              </w:rPr>
            </w:pPr>
          </w:p>
        </w:tc>
      </w:tr>
      <w:tr>
        <w:trPr>
          <w:trHeight w:val="257"/>
        </w:trPr>
        <w:tc>
          <w:tcPr>
            <w:tcW w:w="8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Mutual funds</w:t>
            </w:r>
          </w:p>
        </w:tc>
        <w:tc>
          <w:tcPr>
            <w:tcW w:w="140" w:type="dxa"/>
            <w:vAlign w:val="bottom"/>
          </w:tcPr>
          <w:p>
            <w:pPr>
              <w:spacing w:after="0"/>
              <w:rPr>
                <w:sz w:val="22"/>
                <w:szCs w:val="22"/>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42,113</w:t>
            </w:r>
          </w:p>
        </w:tc>
        <w:tc>
          <w:tcPr>
            <w:tcW w:w="0" w:type="dxa"/>
            <w:vAlign w:val="bottom"/>
          </w:tcPr>
          <w:p>
            <w:pPr>
              <w:spacing w:after="0"/>
              <w:rPr>
                <w:sz w:val="1"/>
                <w:szCs w:val="1"/>
                <w:color w:val="auto"/>
              </w:rPr>
            </w:pPr>
          </w:p>
        </w:tc>
      </w:tr>
      <w:tr>
        <w:trPr>
          <w:trHeight w:val="262"/>
        </w:trPr>
        <w:tc>
          <w:tcPr>
            <w:tcW w:w="8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Common/collective trusts</w:t>
            </w:r>
          </w:p>
        </w:tc>
        <w:tc>
          <w:tcPr>
            <w:tcW w:w="14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637,142</w:t>
            </w:r>
          </w:p>
        </w:tc>
        <w:tc>
          <w:tcPr>
            <w:tcW w:w="0" w:type="dxa"/>
            <w:vAlign w:val="bottom"/>
          </w:tcPr>
          <w:p>
            <w:pPr>
              <w:spacing w:after="0"/>
              <w:rPr>
                <w:sz w:val="1"/>
                <w:szCs w:val="1"/>
                <w:color w:val="auto"/>
              </w:rPr>
            </w:pPr>
          </w:p>
        </w:tc>
      </w:tr>
      <w:tr>
        <w:trPr>
          <w:trHeight w:val="510"/>
        </w:trPr>
        <w:tc>
          <w:tcPr>
            <w:tcW w:w="8280" w:type="dxa"/>
            <w:vAlign w:val="bottom"/>
          </w:tcPr>
          <w:p>
            <w:pPr>
              <w:spacing w:after="0"/>
              <w:rPr>
                <w:sz w:val="20"/>
                <w:szCs w:val="20"/>
                <w:color w:val="auto"/>
              </w:rPr>
            </w:pPr>
            <w:r>
              <w:rPr>
                <w:rFonts w:ascii="Times New Roman" w:cs="Times New Roman" w:eastAsia="Times New Roman" w:hAnsi="Times New Roman"/>
                <w:sz w:val="20"/>
                <w:szCs w:val="20"/>
                <w:color w:val="auto"/>
              </w:rPr>
              <w:t>Net appreciation in fair value of investments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678,099</w:t>
            </w:r>
          </w:p>
        </w:tc>
        <w:tc>
          <w:tcPr>
            <w:tcW w:w="0" w:type="dxa"/>
            <w:vAlign w:val="bottom"/>
          </w:tcPr>
          <w:p>
            <w:pPr>
              <w:spacing w:after="0"/>
              <w:rPr>
                <w:sz w:val="1"/>
                <w:szCs w:val="1"/>
                <w:color w:val="auto"/>
              </w:rPr>
            </w:pPr>
          </w:p>
        </w:tc>
      </w:tr>
      <w:tr>
        <w:trPr>
          <w:trHeight w:val="21"/>
        </w:trPr>
        <w:tc>
          <w:tcPr>
            <w:tcW w:w="8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8280" w:type="dxa"/>
            <w:vAlign w:val="bottom"/>
          </w:tcPr>
          <w:p>
            <w:pPr>
              <w:spacing w:after="0"/>
              <w:rPr>
                <w:sz w:val="20"/>
                <w:szCs w:val="20"/>
                <w:color w:val="auto"/>
              </w:rPr>
            </w:pPr>
            <w:r>
              <w:rPr>
                <w:rFonts w:ascii="Times New Roman" w:cs="Times New Roman" w:eastAsia="Times New Roman" w:hAnsi="Times New Roman"/>
                <w:sz w:val="20"/>
                <w:szCs w:val="20"/>
                <w:color w:val="auto"/>
              </w:rPr>
              <w:t>Dividend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37,749</w:t>
            </w:r>
          </w:p>
        </w:tc>
        <w:tc>
          <w:tcPr>
            <w:tcW w:w="0" w:type="dxa"/>
            <w:vAlign w:val="bottom"/>
          </w:tcPr>
          <w:p>
            <w:pPr>
              <w:spacing w:after="0"/>
              <w:rPr>
                <w:sz w:val="1"/>
                <w:szCs w:val="1"/>
                <w:color w:val="auto"/>
              </w:rPr>
            </w:pPr>
          </w:p>
        </w:tc>
      </w:tr>
      <w:tr>
        <w:trPr>
          <w:trHeight w:val="21"/>
        </w:trPr>
        <w:tc>
          <w:tcPr>
            <w:tcW w:w="8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32" w:hanging="332"/>
        <w:spacing w:after="0"/>
        <w:tabs>
          <w:tab w:leader="none" w:pos="332"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FAIR VALUE MEASUREMENTS</w:t>
      </w:r>
    </w:p>
    <w:p>
      <w:pPr>
        <w:spacing w:after="0" w:line="219" w:lineRule="exact"/>
        <w:rPr>
          <w:rFonts w:ascii="Times New Roman" w:cs="Times New Roman" w:eastAsia="Times New Roman" w:hAnsi="Times New Roman"/>
          <w:sz w:val="20"/>
          <w:szCs w:val="20"/>
          <w:b w:val="1"/>
          <w:bCs w:val="1"/>
          <w:color w:val="auto"/>
        </w:rPr>
      </w:pPr>
    </w:p>
    <w:p>
      <w:pPr>
        <w:ind w:left="332"/>
        <w:spacing w:after="0" w:line="257"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Plan management applies recurring fair value measurements to certain assets and liabilities. “Fair value” is defined as the price that would be received to sell an asset or paid to transfer a liability in an orderly transaction between market participants at the measurement date (exit price). A fair value measurement reflects the assumptions market participants would use in pricing an asset or liability based on the best available information. These assumptions include the risk inherent in a particular valuation technique (such as a pricing model) and the risks inherent in the inputs to the model.</w:t>
      </w:r>
    </w:p>
    <w:p>
      <w:pPr>
        <w:spacing w:after="0" w:line="172" w:lineRule="exact"/>
        <w:rPr>
          <w:rFonts w:ascii="Times New Roman" w:cs="Times New Roman" w:eastAsia="Times New Roman" w:hAnsi="Times New Roman"/>
          <w:sz w:val="20"/>
          <w:szCs w:val="20"/>
          <w:b w:val="1"/>
          <w:bCs w:val="1"/>
          <w:color w:val="auto"/>
        </w:rPr>
      </w:pPr>
    </w:p>
    <w:p>
      <w:pPr>
        <w:ind w:left="332" w:right="360"/>
        <w:spacing w:after="0" w:line="28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fair value hierarchy used by Plan management prioritizes the inputs used to measure fair value, with the highest priority given to observable inputs and the lowest priority given to unobservable inputs, as follows:</w:t>
      </w:r>
    </w:p>
    <w:p>
      <w:pPr>
        <w:spacing w:after="0" w:line="159" w:lineRule="exact"/>
        <w:rPr>
          <w:rFonts w:ascii="Times New Roman" w:cs="Times New Roman" w:eastAsia="Times New Roman" w:hAnsi="Times New Roman"/>
          <w:sz w:val="20"/>
          <w:szCs w:val="20"/>
          <w:b w:val="1"/>
          <w:bCs w:val="1"/>
          <w:color w:val="auto"/>
        </w:rPr>
      </w:pPr>
    </w:p>
    <w:p>
      <w:pPr>
        <w:ind w:left="652" w:right="420" w:hanging="328"/>
        <w:spacing w:after="0" w:line="269" w:lineRule="auto"/>
        <w:tabs>
          <w:tab w:leader="none" w:pos="64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1, which refers to investments valued using observable inputs that reflect quoted (unadjusted) prices for identical assets in active markets;</w:t>
      </w:r>
    </w:p>
    <w:p>
      <w:pPr>
        <w:spacing w:after="0" w:line="172" w:lineRule="exact"/>
        <w:rPr>
          <w:rFonts w:ascii="Times New Roman" w:cs="Times New Roman" w:eastAsia="Times New Roman" w:hAnsi="Times New Roman"/>
          <w:sz w:val="20"/>
          <w:szCs w:val="20"/>
          <w:color w:val="auto"/>
        </w:rPr>
      </w:pPr>
    </w:p>
    <w:p>
      <w:pPr>
        <w:ind w:left="652" w:right="100" w:hanging="328"/>
        <w:spacing w:after="0" w:line="269" w:lineRule="auto"/>
        <w:tabs>
          <w:tab w:leader="none" w:pos="64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2, which refers to investments valued using inputs other than quoted prices in active markets and for which observable market data is readily available; and</w:t>
      </w:r>
    </w:p>
    <w:p>
      <w:pPr>
        <w:spacing w:after="0" w:line="172" w:lineRule="exact"/>
        <w:rPr>
          <w:rFonts w:ascii="Times New Roman" w:cs="Times New Roman" w:eastAsia="Times New Roman" w:hAnsi="Times New Roman"/>
          <w:sz w:val="20"/>
          <w:szCs w:val="20"/>
          <w:color w:val="auto"/>
        </w:rPr>
      </w:pPr>
    </w:p>
    <w:p>
      <w:pPr>
        <w:ind w:left="652" w:right="140" w:hanging="328"/>
        <w:spacing w:after="0" w:line="283" w:lineRule="auto"/>
        <w:tabs>
          <w:tab w:leader="none" w:pos="64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3, which refers to investments valued based on unobservable inputs, which are determined based on estimates of assumptions that market participants would use in pricing the asset or liability.</w:t>
      </w:r>
    </w:p>
    <w:p>
      <w:pPr>
        <w:spacing w:after="0" w:line="146" w:lineRule="exact"/>
        <w:rPr>
          <w:sz w:val="20"/>
          <w:szCs w:val="20"/>
          <w:color w:val="auto"/>
        </w:rPr>
      </w:pPr>
    </w:p>
    <w:p>
      <w:pPr>
        <w:ind w:left="332" w:right="200"/>
        <w:spacing w:after="0" w:line="283" w:lineRule="auto"/>
        <w:rPr>
          <w:sz w:val="20"/>
          <w:szCs w:val="20"/>
          <w:color w:val="auto"/>
        </w:rPr>
      </w:pPr>
      <w:r>
        <w:rPr>
          <w:rFonts w:ascii="Times New Roman" w:cs="Times New Roman" w:eastAsia="Times New Roman" w:hAnsi="Times New Roman"/>
          <w:sz w:val="20"/>
          <w:szCs w:val="20"/>
          <w:color w:val="auto"/>
        </w:rPr>
        <w:t>Investments are classified in their entirety based on the lowest level of input that is significant to the fair value measurement. Valuation techniques used maximize the use of observable inputs and minimize the use of unobservable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13" w:right="359" w:bottom="1440" w:gutter="0" w:footer="0" w:header="0"/>
        </w:sectPr>
      </w:pPr>
    </w:p>
    <w:bookmarkStart w:id="18" w:name="page19"/>
    <w:bookmarkEnd w:id="18"/>
    <w:p>
      <w:pPr>
        <w:ind w:left="8"/>
        <w:spacing w:after="0" w:line="283" w:lineRule="auto"/>
        <w:rPr>
          <w:sz w:val="20"/>
          <w:szCs w:val="20"/>
          <w:color w:val="auto"/>
        </w:rPr>
      </w:pPr>
      <w:r>
        <w:rPr>
          <w:rFonts w:ascii="Times New Roman" w:cs="Times New Roman" w:eastAsia="Times New Roman" w:hAnsi="Times New Roman"/>
          <w:sz w:val="20"/>
          <w:szCs w:val="20"/>
          <w:color w:val="auto"/>
        </w:rPr>
        <w:t>The following table sets forth by level within the fair value hierarchy a summary of the Master Trust’s investments measured at fair value on a recurring basis at December 31, 2025 and 2024 (dollars in thousands):</w:t>
      </w:r>
    </w:p>
    <w:p>
      <w:pPr>
        <w:spacing w:after="0" w:line="191" w:lineRule="exact"/>
        <w:rPr>
          <w:sz w:val="20"/>
          <w:szCs w:val="20"/>
          <w:color w:val="auto"/>
        </w:rPr>
      </w:pPr>
    </w:p>
    <w:tbl>
      <w:tblPr>
        <w:tblLayout w:type="fixed"/>
        <w:tblInd w:w="28" w:type="dxa"/>
        <w:tblCellMar>
          <w:top w:w="0" w:type="dxa"/>
          <w:left w:w="0" w:type="dxa"/>
          <w:bottom w:w="0" w:type="dxa"/>
          <w:right w:w="0" w:type="dxa"/>
        </w:tblCellMar>
      </w:tblPr>
      <w:tr>
        <w:trPr>
          <w:trHeight w:val="229"/>
        </w:trPr>
        <w:tc>
          <w:tcPr>
            <w:tcW w:w="6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9"/>
                <w:szCs w:val="19"/>
                <w:color w:val="auto"/>
              </w:rPr>
            </w:pPr>
          </w:p>
        </w:tc>
        <w:tc>
          <w:tcPr>
            <w:tcW w:w="1580" w:type="dxa"/>
            <w:vAlign w:val="bottom"/>
          </w:tcPr>
          <w:p>
            <w:pPr>
              <w:jc w:val="right"/>
              <w:ind w:right="224"/>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66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Level 1 investments:</w:t>
            </w: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84"/>
              <w:spacing w:after="0"/>
              <w:rPr>
                <w:sz w:val="20"/>
                <w:szCs w:val="20"/>
                <w:color w:val="auto"/>
              </w:rPr>
            </w:pPr>
            <w:r>
              <w:rPr>
                <w:rFonts w:ascii="Arial" w:cs="Arial" w:eastAsia="Arial" w:hAnsi="Arial"/>
                <w:sz w:val="18"/>
                <w:szCs w:val="18"/>
                <w:b w:val="1"/>
                <w:bCs w:val="1"/>
                <w:color w:val="auto"/>
              </w:rPr>
              <w:t>2025</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04"/>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27"/>
        </w:trPr>
        <w:tc>
          <w:tcPr>
            <w:tcW w:w="66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Sempra common stock</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1,034,401</w:t>
            </w:r>
          </w:p>
        </w:tc>
        <w:tc>
          <w:tcPr>
            <w:tcW w:w="300" w:type="dxa"/>
            <w:vAlign w:val="bottom"/>
          </w:tcPr>
          <w:p>
            <w:pPr>
              <w:spacing w:after="0"/>
              <w:rPr>
                <w:sz w:val="22"/>
                <w:szCs w:val="22"/>
                <w:color w:val="auto"/>
              </w:rPr>
            </w:pPr>
          </w:p>
        </w:tc>
        <w:tc>
          <w:tcPr>
            <w:tcW w:w="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1,165,804</w:t>
            </w:r>
          </w:p>
        </w:tc>
        <w:tc>
          <w:tcPr>
            <w:tcW w:w="0" w:type="dxa"/>
            <w:vAlign w:val="bottom"/>
          </w:tcPr>
          <w:p>
            <w:pPr>
              <w:spacing w:after="0"/>
              <w:rPr>
                <w:sz w:val="1"/>
                <w:szCs w:val="1"/>
                <w:color w:val="auto"/>
              </w:rPr>
            </w:pPr>
          </w:p>
        </w:tc>
      </w:tr>
      <w:tr>
        <w:trPr>
          <w:trHeight w:val="262"/>
        </w:trPr>
        <w:tc>
          <w:tcPr>
            <w:tcW w:w="6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Mutual funds</w:t>
            </w:r>
          </w:p>
        </w:tc>
        <w:tc>
          <w:tcPr>
            <w:tcW w:w="2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442,746</w:t>
            </w:r>
          </w:p>
        </w:tc>
        <w:tc>
          <w:tcPr>
            <w:tcW w:w="3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400,835</w:t>
            </w:r>
          </w:p>
        </w:tc>
        <w:tc>
          <w:tcPr>
            <w:tcW w:w="0" w:type="dxa"/>
            <w:vAlign w:val="bottom"/>
          </w:tcPr>
          <w:p>
            <w:pPr>
              <w:spacing w:after="0"/>
              <w:rPr>
                <w:sz w:val="1"/>
                <w:szCs w:val="1"/>
                <w:color w:val="auto"/>
              </w:rPr>
            </w:pPr>
          </w:p>
        </w:tc>
      </w:tr>
      <w:tr>
        <w:trPr>
          <w:trHeight w:val="435"/>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Total Level 1 investments</w:t>
            </w:r>
          </w:p>
        </w:tc>
        <w:tc>
          <w:tcPr>
            <w:tcW w:w="2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1,477,147</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1,566,639</w:t>
            </w:r>
          </w:p>
        </w:tc>
        <w:tc>
          <w:tcPr>
            <w:tcW w:w="0" w:type="dxa"/>
            <w:vAlign w:val="bottom"/>
          </w:tcPr>
          <w:p>
            <w:pPr>
              <w:spacing w:after="0"/>
              <w:rPr>
                <w:sz w:val="1"/>
                <w:szCs w:val="1"/>
                <w:color w:val="auto"/>
              </w:rPr>
            </w:pPr>
          </w:p>
        </w:tc>
      </w:tr>
      <w:tr>
        <w:trPr>
          <w:trHeight w:val="457"/>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Investments measured at NAV*:</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Common/collective trusts</w:t>
            </w:r>
          </w:p>
        </w:tc>
        <w:tc>
          <w:tcPr>
            <w:tcW w:w="2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4,474,698</w:t>
            </w:r>
          </w:p>
        </w:tc>
        <w:tc>
          <w:tcPr>
            <w:tcW w:w="3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4,040,716</w:t>
            </w:r>
          </w:p>
        </w:tc>
        <w:tc>
          <w:tcPr>
            <w:tcW w:w="0" w:type="dxa"/>
            <w:vAlign w:val="bottom"/>
          </w:tcPr>
          <w:p>
            <w:pPr>
              <w:spacing w:after="0"/>
              <w:rPr>
                <w:sz w:val="1"/>
                <w:szCs w:val="1"/>
                <w:color w:val="auto"/>
              </w:rPr>
            </w:pPr>
          </w:p>
        </w:tc>
      </w:tr>
      <w:tr>
        <w:trPr>
          <w:trHeight w:val="443"/>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Total Master Trust investments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5,951,845</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5,607,355</w:t>
            </w:r>
          </w:p>
        </w:tc>
        <w:tc>
          <w:tcPr>
            <w:tcW w:w="0" w:type="dxa"/>
            <w:vAlign w:val="bottom"/>
          </w:tcPr>
          <w:p>
            <w:pPr>
              <w:spacing w:after="0"/>
              <w:rPr>
                <w:sz w:val="1"/>
                <w:szCs w:val="1"/>
                <w:color w:val="auto"/>
              </w:rPr>
            </w:pPr>
          </w:p>
        </w:tc>
      </w:tr>
      <w:tr>
        <w:trPr>
          <w:trHeight w:val="21"/>
        </w:trPr>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28" w:right="260" w:hanging="328"/>
        <w:spacing w:after="0" w:line="282" w:lineRule="auto"/>
        <w:tabs>
          <w:tab w:leader="none" w:pos="32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for which fair value is estimated based on NAV as a practical expedient have not been classified in the fair value hierarchy, but are presented to permit reconciliation to the total Master Trust investments in Note 4.</w:t>
      </w:r>
    </w:p>
    <w:p>
      <w:pPr>
        <w:spacing w:after="0" w:line="15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There were no investments classified as Level 2 or Level 3 in the Master Trust as of December 31, 2025 or 2024.</w:t>
      </w:r>
    </w:p>
    <w:p>
      <w:pPr>
        <w:spacing w:after="0" w:line="216"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The following is a description of the valuation methodologies and assumptions used to estimate the fair values of the investments in the</w:t>
      </w:r>
    </w:p>
    <w:p>
      <w:pPr>
        <w:spacing w:after="0" w:line="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Master Trust:</w:t>
      </w:r>
    </w:p>
    <w:p>
      <w:pPr>
        <w:spacing w:after="0" w:line="21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9"/>
          <w:szCs w:val="19"/>
          <w:i w:val="1"/>
          <w:iCs w:val="1"/>
          <w:color w:val="auto"/>
        </w:rPr>
        <w:t xml:space="preserve">Common Stocks </w:t>
      </w:r>
      <w:r>
        <w:rPr>
          <w:rFonts w:ascii="Times New Roman" w:cs="Times New Roman" w:eastAsia="Times New Roman" w:hAnsi="Times New Roman"/>
          <w:sz w:val="19"/>
          <w:szCs w:val="19"/>
          <w:color w:val="auto"/>
        </w:rPr>
        <w:t>— Common stocks are valued using quoted prices listed on nationally recognized securities exchanges (Level 1 inputs).</w:t>
      </w:r>
    </w:p>
    <w:p>
      <w:pPr>
        <w:spacing w:after="0" w:line="227" w:lineRule="exact"/>
        <w:rPr>
          <w:sz w:val="20"/>
          <w:szCs w:val="20"/>
          <w:color w:val="auto"/>
        </w:rPr>
      </w:pPr>
    </w:p>
    <w:p>
      <w:pPr>
        <w:jc w:val="both"/>
        <w:ind w:left="8" w:right="220"/>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Mutual Funds </w:t>
      </w:r>
      <w:r>
        <w:rPr>
          <w:rFonts w:ascii="Times New Roman" w:cs="Times New Roman" w:eastAsia="Times New Roman" w:hAnsi="Times New Roman"/>
          <w:sz w:val="20"/>
          <w:szCs w:val="20"/>
          <w:color w:val="auto"/>
        </w:rPr>
        <w:t>— The fair values of mutual funds are determined by obtaining quoted prices listed on nationally recognized securities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exchanges (Level 1 inputs). These funds are required to publish their daily NAV and to transact at that price. The mutual funds held by the Master Trust are deemed to be actively traded.</w:t>
      </w:r>
    </w:p>
    <w:p>
      <w:pPr>
        <w:spacing w:after="0" w:line="175" w:lineRule="exact"/>
        <w:rPr>
          <w:sz w:val="20"/>
          <w:szCs w:val="20"/>
          <w:color w:val="auto"/>
        </w:rPr>
      </w:pPr>
    </w:p>
    <w:p>
      <w:pPr>
        <w:ind w:left="8" w:right="20"/>
        <w:spacing w:after="0" w:line="278" w:lineRule="auto"/>
        <w:rPr>
          <w:sz w:val="20"/>
          <w:szCs w:val="20"/>
          <w:color w:val="auto"/>
        </w:rPr>
      </w:pPr>
      <w:r>
        <w:rPr>
          <w:rFonts w:ascii="Times New Roman" w:cs="Times New Roman" w:eastAsia="Times New Roman" w:hAnsi="Times New Roman"/>
          <w:sz w:val="19"/>
          <w:szCs w:val="19"/>
          <w:i w:val="1"/>
          <w:iCs w:val="1"/>
          <w:color w:val="auto"/>
        </w:rPr>
        <w:t xml:space="preserve">Common/Collective Trusts </w:t>
      </w:r>
      <w:r>
        <w:rPr>
          <w:rFonts w:ascii="Times New Roman" w:cs="Times New Roman" w:eastAsia="Times New Roman" w:hAnsi="Times New Roman"/>
          <w:sz w:val="19"/>
          <w:szCs w:val="19"/>
          <w:color w:val="auto"/>
        </w:rPr>
        <w:t>— NAV is used as a practical expedient to estimate the fair value of participation units held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common/collective trust funds, for which the reported NAV reflects recent transaction prices. The NAV is provided by the trustee of each common/collective trust. Apart from the stable value fund, each common/collective trust allows for daily redemptions by the Plan at its reported NAV per share, with no advance notice requirement, has no unfunded commitments, and has no other redemption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8"/>
          </w:cols>
          <w:pgMar w:left="652" w:top="1413" w:right="359" w:bottom="1440" w:gutter="0" w:footer="0" w:header="0"/>
        </w:sectPr>
      </w:pPr>
    </w:p>
    <w:bookmarkStart w:id="19" w:name="page20"/>
    <w:bookmarkEnd w:id="19"/>
    <w:p>
      <w:pPr>
        <w:ind w:left="332"/>
        <w:spacing w:after="0" w:line="253" w:lineRule="auto"/>
        <w:rPr>
          <w:sz w:val="20"/>
          <w:szCs w:val="20"/>
          <w:color w:val="auto"/>
        </w:rPr>
      </w:pPr>
      <w:r>
        <w:rPr>
          <w:rFonts w:ascii="Times New Roman" w:cs="Times New Roman" w:eastAsia="Times New Roman" w:hAnsi="Times New Roman"/>
          <w:sz w:val="20"/>
          <w:szCs w:val="20"/>
          <w:color w:val="auto"/>
        </w:rPr>
        <w:t>The T. Rowe Price Stable Value Common Trust Fund invests in fully benefit-responsive contracts that are held at contract value. NAV is determined to be contract value, the value at which participants ordinarily transact. This practical expedient is not used if it is determined to be probable that the fund will sell its investment for an amount different from the reported NAV. The Plan is required to give notice 12 months in advance of a partial or total liquidation of the investment in the stable value fund for any purpose other than for benefit payments, participant loans, participant-directed investment transfers, and payment of administrative fees. The Plan Administrator is also required to give a 30-day notice of the liquidation of the investment in the fund due to termination of the Master Trust. There are no unfunded commitments related to the stable value fund.</w:t>
      </w:r>
    </w:p>
    <w:p>
      <w:pPr>
        <w:spacing w:after="0" w:line="179" w:lineRule="exact"/>
        <w:rPr>
          <w:sz w:val="20"/>
          <w:szCs w:val="20"/>
          <w:color w:val="auto"/>
        </w:rPr>
      </w:pPr>
    </w:p>
    <w:p>
      <w:pPr>
        <w:ind w:left="332" w:right="60"/>
        <w:spacing w:after="0" w:line="258" w:lineRule="auto"/>
        <w:rPr>
          <w:sz w:val="20"/>
          <w:szCs w:val="20"/>
          <w:color w:val="auto"/>
        </w:rPr>
      </w:pPr>
      <w:r>
        <w:rPr>
          <w:rFonts w:ascii="Times New Roman" w:cs="Times New Roman" w:eastAsia="Times New Roman" w:hAnsi="Times New Roman"/>
          <w:sz w:val="20"/>
          <w:szCs w:val="20"/>
          <w:color w:val="auto"/>
        </w:rPr>
        <w:t>The valuation methods described above are intended to produce a fair value calculation that is indicative of net realizable value or reflective of future fair values. However, while the Plan believes its valuation methods are appropriate and consistent with other market participants, the use of different methodologies or assumptions to determine the fair value of certain financial instruments could result in different fair value measurements at the reporting date.</w:t>
      </w:r>
    </w:p>
    <w:p>
      <w:pPr>
        <w:spacing w:after="0" w:line="200" w:lineRule="exact"/>
        <w:rPr>
          <w:sz w:val="20"/>
          <w:szCs w:val="20"/>
          <w:color w:val="auto"/>
        </w:rPr>
      </w:pPr>
    </w:p>
    <w:p>
      <w:pPr>
        <w:spacing w:after="0" w:line="225" w:lineRule="exact"/>
        <w:rPr>
          <w:sz w:val="20"/>
          <w:szCs w:val="20"/>
          <w:color w:val="auto"/>
        </w:rPr>
      </w:pPr>
    </w:p>
    <w:p>
      <w:pPr>
        <w:ind w:left="332" w:hanging="332"/>
        <w:spacing w:after="0"/>
        <w:tabs>
          <w:tab w:leader="none" w:pos="332"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RECONCILIATION OF FINANCIAL STATEMENTS TO FORM 5500</w:t>
      </w:r>
    </w:p>
    <w:p>
      <w:pPr>
        <w:spacing w:after="0" w:line="219" w:lineRule="exact"/>
        <w:rPr>
          <w:rFonts w:ascii="Times New Roman" w:cs="Times New Roman" w:eastAsia="Times New Roman" w:hAnsi="Times New Roman"/>
          <w:sz w:val="20"/>
          <w:szCs w:val="20"/>
          <w:b w:val="1"/>
          <w:bCs w:val="1"/>
          <w:color w:val="auto"/>
        </w:rPr>
      </w:pPr>
    </w:p>
    <w:p>
      <w:pPr>
        <w:ind w:left="332" w:right="820"/>
        <w:spacing w:after="0" w:line="28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following is a reconciliation of net assets available for benefits at December 31, 2025 and 2024 as reported in the financial statements compared to the Form 5500 (dollars in thousands):</w:t>
      </w:r>
    </w:p>
    <w:p>
      <w:pPr>
        <w:spacing w:after="0" w:line="218" w:lineRule="exact"/>
        <w:rPr>
          <w:sz w:val="20"/>
          <w:szCs w:val="20"/>
          <w:color w:val="auto"/>
        </w:rPr>
      </w:pPr>
    </w:p>
    <w:tbl>
      <w:tblPr>
        <w:tblLayout w:type="fixed"/>
        <w:tblInd w:w="352" w:type="dxa"/>
        <w:tblCellMar>
          <w:top w:w="0" w:type="dxa"/>
          <w:left w:w="0" w:type="dxa"/>
          <w:bottom w:w="0" w:type="dxa"/>
          <w:right w:w="0" w:type="dxa"/>
        </w:tblCellMar>
      </w:tblPr>
      <w:tr>
        <w:trPr>
          <w:trHeight w:val="229"/>
        </w:trPr>
        <w:tc>
          <w:tcPr>
            <w:tcW w:w="6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gridSpan w:val="2"/>
          </w:tcPr>
          <w:p>
            <w:pPr>
              <w:ind w:left="180"/>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Pr>
          <w:p>
            <w:pPr>
              <w:spacing w:after="0"/>
              <w:rPr>
                <w:sz w:val="19"/>
                <w:szCs w:val="19"/>
                <w:color w:val="auto"/>
              </w:rPr>
            </w:pPr>
          </w:p>
        </w:tc>
        <w:tc>
          <w:tcPr>
            <w:tcW w:w="1880" w:type="dxa"/>
            <w:vAlign w:val="bottom"/>
          </w:tcPr>
          <w:p>
            <w:pPr>
              <w:jc w:val="right"/>
              <w:ind w:right="425"/>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6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assets available for benefits per the financial</w:t>
            </w: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785"/>
              <w:spacing w:after="0"/>
              <w:rPr>
                <w:sz w:val="20"/>
                <w:szCs w:val="20"/>
                <w:color w:val="auto"/>
              </w:rPr>
            </w:pPr>
            <w:r>
              <w:rPr>
                <w:rFonts w:ascii="Arial" w:cs="Arial" w:eastAsia="Arial" w:hAnsi="Arial"/>
                <w:sz w:val="18"/>
                <w:szCs w:val="18"/>
                <w:b w:val="1"/>
                <w:bCs w:val="1"/>
                <w:color w:val="auto"/>
              </w:rPr>
              <w:t>2025</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805"/>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173"/>
        </w:trPr>
        <w:tc>
          <w:tcPr>
            <w:tcW w:w="6040" w:type="dxa"/>
            <w:vAlign w:val="bottom"/>
            <w:vMerge w:val="continue"/>
          </w:tcPr>
          <w:p>
            <w:pPr>
              <w:spacing w:after="0"/>
              <w:rPr>
                <w:sz w:val="15"/>
                <w:szCs w:val="15"/>
                <w:color w:val="auto"/>
              </w:rPr>
            </w:pPr>
          </w:p>
        </w:tc>
        <w:tc>
          <w:tcPr>
            <w:tcW w:w="320" w:type="dxa"/>
            <w:vAlign w:val="bottom"/>
            <w:vMerge w:val="restart"/>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562,120</w:t>
            </w:r>
          </w:p>
        </w:tc>
        <w:tc>
          <w:tcPr>
            <w:tcW w:w="280" w:type="dxa"/>
            <w:vAlign w:val="bottom"/>
          </w:tcPr>
          <w:p>
            <w:pPr>
              <w:spacing w:after="0"/>
              <w:rPr>
                <w:sz w:val="15"/>
                <w:szCs w:val="15"/>
                <w:color w:val="auto"/>
              </w:rPr>
            </w:pPr>
          </w:p>
        </w:tc>
        <w:tc>
          <w:tcPr>
            <w:tcW w:w="320" w:type="dxa"/>
            <w:vAlign w:val="bottom"/>
            <w:vMerge w:val="restart"/>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500,023</w:t>
            </w:r>
          </w:p>
        </w:tc>
        <w:tc>
          <w:tcPr>
            <w:tcW w:w="0" w:type="dxa"/>
            <w:vAlign w:val="bottom"/>
          </w:tcPr>
          <w:p>
            <w:pPr>
              <w:spacing w:after="0"/>
              <w:rPr>
                <w:sz w:val="1"/>
                <w:szCs w:val="1"/>
                <w:color w:val="auto"/>
              </w:rPr>
            </w:pPr>
          </w:p>
        </w:tc>
      </w:tr>
      <w:tr>
        <w:trPr>
          <w:trHeight w:val="243"/>
        </w:trPr>
        <w:tc>
          <w:tcPr>
            <w:tcW w:w="6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statements</w:t>
            </w:r>
          </w:p>
        </w:tc>
        <w:tc>
          <w:tcPr>
            <w:tcW w:w="320" w:type="dxa"/>
            <w:vAlign w:val="bottom"/>
            <w:vMerge w:val="continue"/>
          </w:tcPr>
          <w:p>
            <w:pPr>
              <w:spacing w:after="0"/>
              <w:rPr>
                <w:sz w:val="21"/>
                <w:szCs w:val="21"/>
                <w:color w:val="auto"/>
              </w:rPr>
            </w:pPr>
          </w:p>
        </w:tc>
        <w:tc>
          <w:tcPr>
            <w:tcW w:w="186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vMerge w:val="continue"/>
          </w:tcPr>
          <w:p>
            <w:pPr>
              <w:spacing w:after="0"/>
              <w:rPr>
                <w:sz w:val="21"/>
                <w:szCs w:val="21"/>
                <w:color w:val="auto"/>
              </w:rPr>
            </w:pPr>
          </w:p>
        </w:tc>
        <w:tc>
          <w:tcPr>
            <w:tcW w:w="1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0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Delinquent notes receivable in the financial statements</w:t>
            </w:r>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80"/>
              <w:spacing w:after="0" w:line="203" w:lineRule="exact"/>
              <w:rPr>
                <w:sz w:val="20"/>
                <w:szCs w:val="20"/>
                <w:color w:val="auto"/>
              </w:rPr>
            </w:pPr>
            <w:r>
              <w:rPr>
                <w:rFonts w:ascii="Times New Roman" w:cs="Times New Roman" w:eastAsia="Times New Roman" w:hAnsi="Times New Roman"/>
                <w:sz w:val="20"/>
                <w:szCs w:val="20"/>
                <w:color w:val="auto"/>
              </w:rPr>
              <w:t>reported as deemed distributions of participant loans in the</w:t>
            </w:r>
          </w:p>
        </w:tc>
        <w:tc>
          <w:tcPr>
            <w:tcW w:w="320" w:type="dxa"/>
            <w:vAlign w:val="bottom"/>
          </w:tcPr>
          <w:p>
            <w:pPr>
              <w:spacing w:after="0"/>
              <w:rPr>
                <w:sz w:val="17"/>
                <w:szCs w:val="17"/>
                <w:color w:val="auto"/>
              </w:rPr>
            </w:pPr>
          </w:p>
        </w:tc>
        <w:tc>
          <w:tcPr>
            <w:tcW w:w="21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17"/>
                <w:szCs w:val="17"/>
                <w:color w:val="auto"/>
              </w:rPr>
            </w:pPr>
          </w:p>
        </w:tc>
        <w:tc>
          <w:tcPr>
            <w:tcW w:w="1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0" w:type="dxa"/>
            <w:vAlign w:val="bottom"/>
          </w:tcPr>
          <w:p>
            <w:pPr>
              <w:spacing w:after="0"/>
              <w:rPr>
                <w:sz w:val="1"/>
                <w:szCs w:val="1"/>
                <w:color w:val="auto"/>
              </w:rPr>
            </w:pPr>
          </w:p>
        </w:tc>
      </w:tr>
      <w:tr>
        <w:trPr>
          <w:trHeight w:val="252"/>
        </w:trPr>
        <w:tc>
          <w:tcPr>
            <w:tcW w:w="6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Form 5500</w:t>
            </w:r>
          </w:p>
        </w:tc>
        <w:tc>
          <w:tcPr>
            <w:tcW w:w="320" w:type="dxa"/>
            <w:vAlign w:val="bottom"/>
          </w:tcPr>
          <w:p>
            <w:pPr>
              <w:spacing w:after="0"/>
              <w:rPr>
                <w:sz w:val="21"/>
                <w:szCs w:val="21"/>
                <w:color w:val="auto"/>
              </w:rPr>
            </w:pPr>
          </w:p>
        </w:tc>
        <w:tc>
          <w:tcPr>
            <w:tcW w:w="214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1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Net assets available for benefits per the Form 5500</w:t>
            </w:r>
          </w:p>
        </w:tc>
        <w:tc>
          <w:tcPr>
            <w:tcW w:w="32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562,120</w:t>
            </w:r>
          </w:p>
        </w:tc>
        <w:tc>
          <w:tcPr>
            <w:tcW w:w="280" w:type="dxa"/>
            <w:vAlign w:val="bottom"/>
            <w:tcBorders>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500,001</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ind w:left="332" w:right="240"/>
        <w:spacing w:after="0" w:line="267" w:lineRule="auto"/>
        <w:rPr>
          <w:sz w:val="20"/>
          <w:szCs w:val="20"/>
          <w:color w:val="auto"/>
        </w:rPr>
      </w:pPr>
      <w:r>
        <w:rPr>
          <w:rFonts w:ascii="Times New Roman" w:cs="Times New Roman" w:eastAsia="Times New Roman" w:hAnsi="Times New Roman"/>
          <w:sz w:val="20"/>
          <w:szCs w:val="20"/>
          <w:color w:val="auto"/>
        </w:rPr>
        <w:t>The following is a reconciliation of the change in net assets available for benefits for the year ended December 31, 2025 as reported in the financial statements compared to the Form 5500 (dollars in thousands):</w:t>
      </w:r>
    </w:p>
    <w:p>
      <w:pPr>
        <w:spacing w:after="0" w:line="1" w:lineRule="exact"/>
        <w:rPr>
          <w:sz w:val="20"/>
          <w:szCs w:val="20"/>
          <w:color w:val="auto"/>
        </w:rPr>
      </w:pPr>
    </w:p>
    <w:tbl>
      <w:tblPr>
        <w:tblLayout w:type="fixed"/>
        <w:tblInd w:w="352" w:type="dxa"/>
        <w:tblCellMar>
          <w:top w:w="0" w:type="dxa"/>
          <w:left w:w="0" w:type="dxa"/>
          <w:bottom w:w="0" w:type="dxa"/>
          <w:right w:w="0" w:type="dxa"/>
        </w:tblCellMar>
      </w:tblPr>
      <w:tr>
        <w:trPr>
          <w:trHeight w:val="257"/>
        </w:trPr>
        <w:tc>
          <w:tcPr>
            <w:tcW w:w="8500" w:type="dxa"/>
            <w:vAlign w:val="bottom"/>
          </w:tcPr>
          <w:p>
            <w:pPr>
              <w:spacing w:after="0"/>
              <w:rPr>
                <w:sz w:val="20"/>
                <w:szCs w:val="20"/>
                <w:color w:val="auto"/>
              </w:rPr>
            </w:pPr>
            <w:r>
              <w:rPr>
                <w:rFonts w:ascii="Times New Roman" w:cs="Times New Roman" w:eastAsia="Times New Roman" w:hAnsi="Times New Roman"/>
                <w:sz w:val="20"/>
                <w:szCs w:val="20"/>
                <w:color w:val="auto"/>
              </w:rPr>
              <w:t>Net increase in net assets per the financial statements</w:t>
            </w:r>
          </w:p>
        </w:tc>
        <w:tc>
          <w:tcPr>
            <w:tcW w:w="860" w:type="dxa"/>
            <w:vAlign w:val="bottom"/>
          </w:tcPr>
          <w:p>
            <w:pPr>
              <w:jc w:val="right"/>
              <w:ind w:right="641"/>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62,097</w:t>
            </w:r>
          </w:p>
        </w:tc>
        <w:tc>
          <w:tcPr>
            <w:tcW w:w="0" w:type="dxa"/>
            <w:vAlign w:val="bottom"/>
          </w:tcPr>
          <w:p>
            <w:pPr>
              <w:spacing w:after="0"/>
              <w:rPr>
                <w:sz w:val="1"/>
                <w:szCs w:val="1"/>
                <w:color w:val="auto"/>
              </w:rPr>
            </w:pPr>
          </w:p>
        </w:tc>
      </w:tr>
      <w:tr>
        <w:trPr>
          <w:trHeight w:val="203"/>
        </w:trPr>
        <w:tc>
          <w:tcPr>
            <w:tcW w:w="850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Add: Deemed distributions of participant loans reported in the Form 5500</w:t>
            </w:r>
          </w:p>
        </w:tc>
        <w:tc>
          <w:tcPr>
            <w:tcW w:w="860" w:type="dxa"/>
            <w:vAlign w:val="bottom"/>
          </w:tcPr>
          <w:p>
            <w:pPr>
              <w:spacing w:after="0"/>
              <w:rPr>
                <w:sz w:val="17"/>
                <w:szCs w:val="17"/>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0" w:type="dxa"/>
            <w:vAlign w:val="bottom"/>
          </w:tcPr>
          <w:p>
            <w:pPr>
              <w:spacing w:after="0"/>
              <w:rPr>
                <w:sz w:val="1"/>
                <w:szCs w:val="1"/>
                <w:color w:val="auto"/>
              </w:rPr>
            </w:pPr>
          </w:p>
        </w:tc>
      </w:tr>
      <w:tr>
        <w:trPr>
          <w:trHeight w:val="243"/>
        </w:trPr>
        <w:tc>
          <w:tcPr>
            <w:tcW w:w="85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as of December 31, 2024</w:t>
            </w:r>
          </w:p>
        </w:tc>
        <w:tc>
          <w:tcPr>
            <w:tcW w:w="86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50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Less: Deemed distributions of participant loans reported in the Form 5500</w:t>
            </w:r>
          </w:p>
        </w:tc>
        <w:tc>
          <w:tcPr>
            <w:tcW w:w="860" w:type="dxa"/>
            <w:vAlign w:val="bottom"/>
          </w:tcPr>
          <w:p>
            <w:pPr>
              <w:spacing w:after="0"/>
              <w:rPr>
                <w:sz w:val="17"/>
                <w:szCs w:val="17"/>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2"/>
        </w:trPr>
        <w:tc>
          <w:tcPr>
            <w:tcW w:w="85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as of December 31, 2025</w:t>
            </w:r>
          </w:p>
        </w:tc>
        <w:tc>
          <w:tcPr>
            <w:tcW w:w="8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500" w:type="dxa"/>
            <w:vAlign w:val="bottom"/>
          </w:tcPr>
          <w:p>
            <w:pPr>
              <w:spacing w:after="0"/>
              <w:rPr>
                <w:sz w:val="20"/>
                <w:szCs w:val="20"/>
                <w:color w:val="auto"/>
              </w:rPr>
            </w:pPr>
            <w:r>
              <w:rPr>
                <w:rFonts w:ascii="Times New Roman" w:cs="Times New Roman" w:eastAsia="Times New Roman" w:hAnsi="Times New Roman"/>
                <w:sz w:val="20"/>
                <w:szCs w:val="20"/>
                <w:color w:val="auto"/>
              </w:rPr>
              <w:t>Net increase in net assets per the Form 5500</w:t>
            </w:r>
          </w:p>
        </w:tc>
        <w:tc>
          <w:tcPr>
            <w:tcW w:w="86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62,119</w:t>
            </w:r>
          </w:p>
        </w:tc>
        <w:tc>
          <w:tcPr>
            <w:tcW w:w="0" w:type="dxa"/>
            <w:vAlign w:val="bottom"/>
          </w:tcPr>
          <w:p>
            <w:pPr>
              <w:spacing w:after="0"/>
              <w:rPr>
                <w:sz w:val="1"/>
                <w:szCs w:val="1"/>
                <w:color w:val="auto"/>
              </w:rPr>
            </w:pPr>
          </w:p>
        </w:tc>
      </w:tr>
      <w:tr>
        <w:trPr>
          <w:trHeight w:val="21"/>
        </w:trPr>
        <w:tc>
          <w:tcPr>
            <w:tcW w:w="8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413" w:right="379" w:bottom="1440" w:gutter="0" w:footer="0" w:header="0"/>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SUPPLEMENTAL SCHEDULE</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21" w:name="page22"/>
    <w:bookmarkEnd w:id="21"/>
    <w:p>
      <w:pPr>
        <w:spacing w:after="0" w:line="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SEMPRA SAVINGS PLAN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Employer ID No: 33-0732627</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Number: 002</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FORM 5500, SCHEDULE H, PART IV, LINE 4i — SCHEDULE OF ASSETS (HELD AT END OF YEAR)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16510</wp:posOffset>
            </wp:positionV>
            <wp:extent cx="69608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60870" cy="8890"/>
                    </a:xfrm>
                    <a:prstGeom prst="rect">
                      <a:avLst/>
                    </a:prstGeom>
                    <a:noFill/>
                  </pic:spPr>
                </pic:pic>
              </a:graphicData>
            </a:graphic>
          </wp:anchor>
        </w:drawing>
      </w:r>
    </w:p>
    <w:p>
      <w:pPr>
        <w:spacing w:after="0" w:line="275"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320" w:type="dxa"/>
            <w:vAlign w:val="bottom"/>
          </w:tcPr>
          <w:p>
            <w:pPr>
              <w:jc w:val="center"/>
              <w:spacing w:after="0"/>
              <w:rPr>
                <w:sz w:val="20"/>
                <w:szCs w:val="20"/>
                <w:color w:val="auto"/>
              </w:rPr>
            </w:pPr>
            <w:r>
              <w:rPr>
                <w:rFonts w:ascii="Arial" w:cs="Arial" w:eastAsia="Arial" w:hAnsi="Arial"/>
                <w:sz w:val="16"/>
                <w:szCs w:val="16"/>
                <w:b w:val="1"/>
                <w:bCs w:val="1"/>
                <w:color w:val="auto"/>
              </w:rPr>
              <w:t>(c)</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080" w:type="dxa"/>
            <w:vAlign w:val="bottom"/>
          </w:tcPr>
          <w:p>
            <w:pPr>
              <w:jc w:val="center"/>
              <w:ind w:right="177"/>
              <w:spacing w:after="0"/>
              <w:rPr>
                <w:sz w:val="20"/>
                <w:szCs w:val="20"/>
                <w:color w:val="auto"/>
              </w:rPr>
            </w:pPr>
            <w:r>
              <w:rPr>
                <w:rFonts w:ascii="Arial" w:cs="Arial" w:eastAsia="Arial" w:hAnsi="Arial"/>
                <w:sz w:val="16"/>
                <w:szCs w:val="16"/>
                <w:b w:val="1"/>
                <w:bCs w:val="1"/>
                <w:color w:val="auto"/>
              </w:rPr>
              <w:t>(b)</w:t>
            </w:r>
          </w:p>
        </w:tc>
        <w:tc>
          <w:tcPr>
            <w:tcW w:w="4320" w:type="dxa"/>
            <w:vAlign w:val="bottom"/>
          </w:tcPr>
          <w:p>
            <w:pPr>
              <w:jc w:val="center"/>
              <w:spacing w:after="0"/>
              <w:rPr>
                <w:sz w:val="20"/>
                <w:szCs w:val="20"/>
                <w:color w:val="auto"/>
              </w:rPr>
            </w:pPr>
            <w:r>
              <w:rPr>
                <w:rFonts w:ascii="Arial" w:cs="Arial" w:eastAsia="Arial" w:hAnsi="Arial"/>
                <w:sz w:val="16"/>
                <w:szCs w:val="16"/>
                <w:b w:val="1"/>
                <w:bCs w:val="1"/>
                <w:color w:val="auto"/>
              </w:rPr>
              <w:t>Description of Investment</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57"/>
              <w:spacing w:after="0"/>
              <w:rPr>
                <w:sz w:val="20"/>
                <w:szCs w:val="20"/>
                <w:color w:val="auto"/>
              </w:rPr>
            </w:pPr>
            <w:r>
              <w:rPr>
                <w:rFonts w:ascii="Arial" w:cs="Arial" w:eastAsia="Arial" w:hAnsi="Arial"/>
                <w:sz w:val="16"/>
                <w:szCs w:val="16"/>
                <w:b w:val="1"/>
                <w:bCs w:val="1"/>
                <w:color w:val="auto"/>
              </w:rPr>
              <w:t>(e)</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080" w:type="dxa"/>
            <w:vAlign w:val="bottom"/>
          </w:tcPr>
          <w:p>
            <w:pPr>
              <w:jc w:val="center"/>
              <w:ind w:right="197"/>
              <w:spacing w:after="0"/>
              <w:rPr>
                <w:sz w:val="20"/>
                <w:szCs w:val="20"/>
                <w:color w:val="auto"/>
              </w:rPr>
            </w:pPr>
            <w:r>
              <w:rPr>
                <w:rFonts w:ascii="Arial" w:cs="Arial" w:eastAsia="Arial" w:hAnsi="Arial"/>
                <w:sz w:val="16"/>
                <w:szCs w:val="16"/>
                <w:b w:val="1"/>
                <w:bCs w:val="1"/>
                <w:color w:val="auto"/>
              </w:rPr>
              <w:t>Identity of Issue, Borrower,</w:t>
            </w:r>
          </w:p>
        </w:tc>
        <w:tc>
          <w:tcPr>
            <w:tcW w:w="4320" w:type="dxa"/>
            <w:vAlign w:val="bottom"/>
          </w:tcPr>
          <w:p>
            <w:pPr>
              <w:jc w:val="center"/>
              <w:spacing w:after="0"/>
              <w:rPr>
                <w:sz w:val="20"/>
                <w:szCs w:val="20"/>
                <w:color w:val="auto"/>
              </w:rPr>
            </w:pPr>
            <w:r>
              <w:rPr>
                <w:rFonts w:ascii="Arial" w:cs="Arial" w:eastAsia="Arial" w:hAnsi="Arial"/>
                <w:sz w:val="16"/>
                <w:szCs w:val="16"/>
                <w:b w:val="1"/>
                <w:bCs w:val="1"/>
                <w:color w:val="auto"/>
              </w:rPr>
              <w:t>Including Maturity Date, Rate of Interest,</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0" w:type="dxa"/>
            <w:vAlign w:val="bottom"/>
          </w:tcPr>
          <w:p>
            <w:pPr>
              <w:spacing w:after="0"/>
              <w:rPr>
                <w:sz w:val="18"/>
                <w:szCs w:val="18"/>
                <w:color w:val="auto"/>
              </w:rPr>
            </w:pPr>
          </w:p>
        </w:tc>
        <w:tc>
          <w:tcPr>
            <w:tcW w:w="1120" w:type="dxa"/>
            <w:vAlign w:val="bottom"/>
          </w:tcPr>
          <w:p>
            <w:pPr>
              <w:jc w:val="center"/>
              <w:ind w:right="177"/>
              <w:spacing w:after="0"/>
              <w:rPr>
                <w:sz w:val="20"/>
                <w:szCs w:val="20"/>
                <w:color w:val="auto"/>
              </w:rPr>
            </w:pPr>
            <w:r>
              <w:rPr>
                <w:rFonts w:ascii="Arial" w:cs="Arial" w:eastAsia="Arial" w:hAnsi="Arial"/>
                <w:sz w:val="16"/>
                <w:szCs w:val="16"/>
                <w:b w:val="1"/>
                <w:bCs w:val="1"/>
                <w:color w:val="auto"/>
              </w:rPr>
              <w:t>Current</w:t>
            </w:r>
          </w:p>
        </w:tc>
        <w:tc>
          <w:tcPr>
            <w:tcW w:w="0" w:type="dxa"/>
            <w:vAlign w:val="bottom"/>
          </w:tcPr>
          <w:p>
            <w:pPr>
              <w:spacing w:after="0"/>
              <w:rPr>
                <w:sz w:val="1"/>
                <w:szCs w:val="1"/>
                <w:color w:val="auto"/>
              </w:rPr>
            </w:pPr>
          </w:p>
        </w:tc>
      </w:tr>
      <w:tr>
        <w:trPr>
          <w:trHeight w:val="223"/>
        </w:trPr>
        <w:tc>
          <w:tcPr>
            <w:tcW w:w="560" w:type="dxa"/>
            <w:vAlign w:val="bottom"/>
          </w:tcPr>
          <w:p>
            <w:pPr>
              <w:jc w:val="center"/>
              <w:ind w:right="275"/>
              <w:spacing w:after="0"/>
              <w:rPr>
                <w:sz w:val="20"/>
                <w:szCs w:val="20"/>
                <w:color w:val="auto"/>
              </w:rPr>
            </w:pPr>
            <w:r>
              <w:rPr>
                <w:rFonts w:ascii="Arial" w:cs="Arial" w:eastAsia="Arial" w:hAnsi="Arial"/>
                <w:sz w:val="16"/>
                <w:szCs w:val="16"/>
                <w:b w:val="1"/>
                <w:bCs w:val="1"/>
                <w:color w:val="auto"/>
              </w:rPr>
              <w:t>(a)</w:t>
            </w:r>
          </w:p>
        </w:tc>
        <w:tc>
          <w:tcPr>
            <w:tcW w:w="3080" w:type="dxa"/>
            <w:vAlign w:val="bottom"/>
          </w:tcPr>
          <w:p>
            <w:pPr>
              <w:jc w:val="center"/>
              <w:ind w:right="177"/>
              <w:spacing w:after="0"/>
              <w:rPr>
                <w:sz w:val="20"/>
                <w:szCs w:val="20"/>
                <w:color w:val="auto"/>
              </w:rPr>
            </w:pPr>
            <w:r>
              <w:rPr>
                <w:rFonts w:ascii="Arial" w:cs="Arial" w:eastAsia="Arial" w:hAnsi="Arial"/>
                <w:sz w:val="16"/>
                <w:szCs w:val="16"/>
                <w:b w:val="1"/>
                <w:bCs w:val="1"/>
                <w:color w:val="auto"/>
              </w:rPr>
              <w:t>Lessor, or Similar Party</w:t>
            </w:r>
          </w:p>
        </w:tc>
        <w:tc>
          <w:tcPr>
            <w:tcW w:w="4320" w:type="dxa"/>
            <w:vAlign w:val="bottom"/>
          </w:tcPr>
          <w:p>
            <w:pPr>
              <w:jc w:val="center"/>
              <w:spacing w:after="0"/>
              <w:rPr>
                <w:sz w:val="20"/>
                <w:szCs w:val="20"/>
                <w:color w:val="auto"/>
              </w:rPr>
            </w:pPr>
            <w:r>
              <w:rPr>
                <w:rFonts w:ascii="Arial" w:cs="Arial" w:eastAsia="Arial" w:hAnsi="Arial"/>
                <w:sz w:val="16"/>
                <w:szCs w:val="16"/>
                <w:b w:val="1"/>
                <w:bCs w:val="1"/>
                <w:color w:val="auto"/>
              </w:rPr>
              <w:t>Collateral, Par, or Maturity Value</w:t>
            </w:r>
          </w:p>
        </w:tc>
        <w:tc>
          <w:tcPr>
            <w:tcW w:w="1460" w:type="dxa"/>
            <w:vAlign w:val="bottom"/>
          </w:tcPr>
          <w:p>
            <w:pPr>
              <w:jc w:val="center"/>
              <w:ind w:left="16"/>
              <w:spacing w:after="0"/>
              <w:rPr>
                <w:sz w:val="20"/>
                <w:szCs w:val="20"/>
                <w:color w:val="auto"/>
              </w:rPr>
            </w:pPr>
            <w:r>
              <w:rPr>
                <w:rFonts w:ascii="Arial" w:cs="Arial" w:eastAsia="Arial" w:hAnsi="Arial"/>
                <w:sz w:val="16"/>
                <w:szCs w:val="16"/>
                <w:b w:val="1"/>
                <w:bCs w:val="1"/>
                <w:color w:val="auto"/>
              </w:rPr>
              <w:t>Cost</w:t>
            </w:r>
          </w:p>
        </w:tc>
        <w:tc>
          <w:tcPr>
            <w:tcW w:w="260" w:type="dxa"/>
            <w:vAlign w:val="bottom"/>
          </w:tcPr>
          <w:p>
            <w:pPr>
              <w:spacing w:after="0"/>
              <w:rPr>
                <w:sz w:val="19"/>
                <w:szCs w:val="19"/>
                <w:color w:val="auto"/>
              </w:rPr>
            </w:pPr>
          </w:p>
        </w:tc>
        <w:tc>
          <w:tcPr>
            <w:tcW w:w="1120" w:type="dxa"/>
            <w:vAlign w:val="bottom"/>
          </w:tcPr>
          <w:p>
            <w:pPr>
              <w:jc w:val="center"/>
              <w:ind w:right="177"/>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494"/>
        </w:trPr>
        <w:tc>
          <w:tcPr>
            <w:tcW w:w="560" w:type="dxa"/>
            <w:vAlign w:val="bottom"/>
            <w:vMerge w:val="restart"/>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vMerge w:val="restart"/>
          </w:tcPr>
          <w:p>
            <w:pPr>
              <w:jc w:val="center"/>
              <w:ind w:right="177"/>
              <w:spacing w:after="0"/>
              <w:rPr>
                <w:sz w:val="20"/>
                <w:szCs w:val="20"/>
                <w:color w:val="auto"/>
              </w:rPr>
            </w:pPr>
            <w:r>
              <w:rPr>
                <w:rFonts w:ascii="Times New Roman" w:cs="Times New Roman" w:eastAsia="Times New Roman" w:hAnsi="Times New Roman"/>
                <w:sz w:val="18"/>
                <w:szCs w:val="18"/>
                <w:color w:val="auto"/>
              </w:rPr>
              <w:t>Participant loans</w:t>
            </w: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Interest rates from 4.25% to 9.50%;</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60" w:type="dxa"/>
            <w:vAlign w:val="bottom"/>
            <w:vMerge w:val="continue"/>
          </w:tcPr>
          <w:p>
            <w:pPr>
              <w:spacing w:after="0"/>
              <w:rPr>
                <w:sz w:val="12"/>
                <w:szCs w:val="12"/>
                <w:color w:val="auto"/>
              </w:rPr>
            </w:pPr>
          </w:p>
        </w:tc>
        <w:tc>
          <w:tcPr>
            <w:tcW w:w="3080" w:type="dxa"/>
            <w:vAlign w:val="bottom"/>
            <w:vMerge w:val="continue"/>
          </w:tcPr>
          <w:p>
            <w:pPr>
              <w:spacing w:after="0"/>
              <w:rPr>
                <w:sz w:val="12"/>
                <w:szCs w:val="12"/>
                <w:color w:val="auto"/>
              </w:rPr>
            </w:pPr>
          </w:p>
        </w:tc>
        <w:tc>
          <w:tcPr>
            <w:tcW w:w="4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maturities through August 2040</w:t>
            </w:r>
          </w:p>
        </w:tc>
        <w:tc>
          <w:tcPr>
            <w:tcW w:w="1460" w:type="dxa"/>
            <w:vAlign w:val="bottom"/>
            <w:vMerge w:val="continue"/>
          </w:tcPr>
          <w:p>
            <w:pPr>
              <w:spacing w:after="0"/>
              <w:rPr>
                <w:sz w:val="12"/>
                <w:szCs w:val="12"/>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3,189,354</w:t>
            </w:r>
          </w:p>
        </w:tc>
        <w:tc>
          <w:tcPr>
            <w:tcW w:w="0" w:type="dxa"/>
            <w:vAlign w:val="bottom"/>
          </w:tcPr>
          <w:p>
            <w:pPr>
              <w:spacing w:after="0"/>
              <w:rPr>
                <w:sz w:val="1"/>
                <w:szCs w:val="1"/>
                <w:color w:val="auto"/>
              </w:rPr>
            </w:pPr>
          </w:p>
        </w:tc>
      </w:tr>
      <w:tr>
        <w:trPr>
          <w:trHeight w:val="140"/>
        </w:trPr>
        <w:tc>
          <w:tcPr>
            <w:tcW w:w="56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43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60" w:type="dxa"/>
            <w:vAlign w:val="bottom"/>
            <w:tcBorders>
              <w:bottom w:val="single" w:sz="8" w:color="auto"/>
            </w:tcBorders>
            <w:vMerge w:val="continue"/>
          </w:tcPr>
          <w:p>
            <w:pPr>
              <w:spacing w:after="0"/>
              <w:rPr>
                <w:sz w:val="11"/>
                <w:szCs w:val="11"/>
                <w:color w:val="auto"/>
              </w:rPr>
            </w:pPr>
          </w:p>
        </w:tc>
        <w:tc>
          <w:tcPr>
            <w:tcW w:w="11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180"/>
        <w:spacing w:after="0"/>
        <w:tabs>
          <w:tab w:leader="none" w:pos="480" w:val="left"/>
        </w:tabs>
        <w:rPr>
          <w:sz w:val="20"/>
          <w:szCs w:val="20"/>
          <w:color w:val="auto"/>
        </w:rPr>
      </w:pPr>
      <w:r>
        <w:rPr>
          <w:rFonts w:ascii="Times New Roman" w:cs="Times New Roman" w:eastAsia="Times New Roman" w:hAnsi="Times New Roman"/>
          <w:sz w:val="18"/>
          <w:szCs w:val="18"/>
          <w:color w:val="auto"/>
        </w:rPr>
        <w:t>*</w:t>
        <w:tab/>
        <w:t>Party-in-interest to the Plan.</w:t>
      </w:r>
    </w:p>
    <w:p>
      <w:pPr>
        <w:spacing w:after="0" w:line="27" w:lineRule="exact"/>
        <w:rPr>
          <w:sz w:val="20"/>
          <w:szCs w:val="20"/>
          <w:color w:val="auto"/>
        </w:rPr>
      </w:pPr>
    </w:p>
    <w:p>
      <w:pPr>
        <w:ind w:left="140"/>
        <w:spacing w:after="0"/>
        <w:tabs>
          <w:tab w:leader="none" w:pos="4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Cost not required to be presented for participant-directed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859"/>
        <w:spacing w:after="0" w:line="241" w:lineRule="auto"/>
        <w:rPr>
          <w:sz w:val="20"/>
          <w:szCs w:val="20"/>
          <w:color w:val="auto"/>
        </w:rPr>
      </w:pPr>
      <w:r>
        <w:rPr>
          <w:rFonts w:ascii="Times New Roman" w:cs="Times New Roman" w:eastAsia="Times New Roman" w:hAnsi="Times New Roman"/>
          <w:sz w:val="47"/>
          <w:szCs w:val="47"/>
          <w:color w:val="auto"/>
        </w:rPr>
        <w:t>San Diego Gas &amp; Electric Company Savings Plan</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Employer ID No: 95-1184800</w:t>
      </w:r>
    </w:p>
    <w:p>
      <w:pPr>
        <w:spacing w:after="0"/>
        <w:rPr>
          <w:sz w:val="20"/>
          <w:szCs w:val="20"/>
          <w:color w:val="auto"/>
        </w:rPr>
      </w:pPr>
      <w:r>
        <w:rPr>
          <w:rFonts w:ascii="Arial" w:cs="Arial" w:eastAsia="Arial" w:hAnsi="Arial"/>
          <w:sz w:val="22"/>
          <w:szCs w:val="22"/>
          <w:color w:val="auto"/>
        </w:rPr>
        <w:t>Plan Number: 001</w:t>
      </w:r>
    </w:p>
    <w:p>
      <w:pPr>
        <w:spacing w:after="0" w:line="159" w:lineRule="exact"/>
        <w:rPr>
          <w:sz w:val="20"/>
          <w:szCs w:val="20"/>
          <w:color w:val="auto"/>
        </w:rPr>
      </w:pPr>
    </w:p>
    <w:p>
      <w:pPr>
        <w:ind w:right="3579"/>
        <w:spacing w:after="0" w:line="220" w:lineRule="auto"/>
        <w:rPr>
          <w:sz w:val="20"/>
          <w:szCs w:val="20"/>
          <w:color w:val="auto"/>
        </w:rPr>
      </w:pPr>
      <w:r>
        <w:rPr>
          <w:rFonts w:ascii="Arial" w:cs="Arial" w:eastAsia="Arial" w:hAnsi="Arial"/>
          <w:sz w:val="22"/>
          <w:szCs w:val="22"/>
          <w:color w:val="auto"/>
        </w:rPr>
        <w:t>Financial Statements as of December 31, 2025 and 2024, and for the Year Ended December 31, 2025, Supplemental Schedule as of December 31, 2025, and 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2707005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59"/>
          </w:cols>
          <w:pgMar w:left="800" w:top="1440" w:right="1440" w:bottom="1440" w:gutter="0" w:footer="0" w:header="0"/>
        </w:sectPr>
      </w:pPr>
    </w:p>
    <w:bookmarkStart w:id="23" w:name="page24"/>
    <w:bookmarkEnd w:id="23"/>
    <w:p>
      <w:pPr>
        <w:spacing w:after="0"/>
        <w:rPr>
          <w:sz w:val="20"/>
          <w:szCs w:val="20"/>
          <w:color w:val="auto"/>
        </w:rPr>
      </w:pPr>
      <w:r>
        <w:rPr>
          <w:rFonts w:ascii="Arial" w:cs="Arial" w:eastAsia="Arial" w:hAnsi="Arial"/>
          <w:sz w:val="23"/>
          <w:szCs w:val="23"/>
          <w:b w:val="1"/>
          <w:bCs w:val="1"/>
          <w:color w:val="auto"/>
        </w:rPr>
        <w:t>SAN DIEGO GAS &amp; ELECTRIC COMPANY SAVINGS PLAN</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73"/>
        </w:trPr>
        <w:tc>
          <w:tcPr>
            <w:tcW w:w="9240" w:type="dxa"/>
            <w:vAlign w:val="bottom"/>
          </w:tcPr>
          <w:p>
            <w:pPr>
              <w:spacing w:after="0"/>
              <w:rPr>
                <w:sz w:val="23"/>
                <w:szCs w:val="23"/>
                <w:color w:val="auto"/>
              </w:rPr>
            </w:pPr>
          </w:p>
        </w:tc>
        <w:tc>
          <w:tcPr>
            <w:tcW w:w="1800" w:type="dxa"/>
            <w:vAlign w:val="bottom"/>
          </w:tcPr>
          <w:p>
            <w:pPr>
              <w:ind w:left="1340"/>
              <w:spacing w:after="0"/>
              <w:rPr>
                <w:sz w:val="20"/>
                <w:szCs w:val="20"/>
                <w:color w:val="auto"/>
              </w:rPr>
            </w:pPr>
            <w:r>
              <w:rPr>
                <w:rFonts w:ascii="Arial" w:cs="Arial" w:eastAsia="Arial" w:hAnsi="Arial"/>
                <w:sz w:val="20"/>
                <w:szCs w:val="20"/>
                <w:b w:val="1"/>
                <w:bCs w:val="1"/>
                <w:color w:val="auto"/>
                <w:w w:val="91"/>
              </w:rPr>
              <w:t>Page</w:t>
            </w:r>
          </w:p>
        </w:tc>
        <w:tc>
          <w:tcPr>
            <w:tcW w:w="0" w:type="dxa"/>
            <w:vAlign w:val="bottom"/>
          </w:tcPr>
          <w:p>
            <w:pPr>
              <w:spacing w:after="0"/>
              <w:rPr>
                <w:sz w:val="1"/>
                <w:szCs w:val="1"/>
                <w:color w:val="auto"/>
              </w:rPr>
            </w:pPr>
          </w:p>
        </w:tc>
      </w:tr>
      <w:tr>
        <w:trPr>
          <w:trHeight w:val="513"/>
        </w:trPr>
        <w:tc>
          <w:tcPr>
            <w:tcW w:w="9240" w:type="dxa"/>
            <w:vAlign w:val="bottom"/>
          </w:tcPr>
          <w:p>
            <w:pPr>
              <w:spacing w:after="0"/>
              <w:rPr>
                <w:sz w:val="20"/>
                <w:szCs w:val="20"/>
                <w:color w:val="auto"/>
              </w:rPr>
            </w:pPr>
            <w:r>
              <w:rPr>
                <w:rFonts w:ascii="Times New Roman" w:cs="Times New Roman" w:eastAsia="Times New Roman" w:hAnsi="Times New Roman"/>
                <w:sz w:val="20"/>
                <w:szCs w:val="20"/>
                <w:color w:val="3051F2"/>
              </w:rPr>
              <w:t>REPORT OF INDEPENDENT REGISTERED PUBLIC ACCOUNTING FIRM</w:t>
            </w:r>
          </w:p>
        </w:tc>
        <w:tc>
          <w:tcPr>
            <w:tcW w:w="1800" w:type="dxa"/>
            <w:vAlign w:val="bottom"/>
          </w:tcPr>
          <w:p>
            <w:pPr>
              <w:jc w:val="center"/>
              <w:ind w:left="1241"/>
              <w:spacing w:after="0"/>
              <w:rPr>
                <w:sz w:val="20"/>
                <w:szCs w:val="20"/>
                <w:color w:val="auto"/>
              </w:rPr>
            </w:pPr>
            <w:r>
              <w:rPr>
                <w:rFonts w:ascii="Times New Roman" w:cs="Times New Roman" w:eastAsia="Times New Roman" w:hAnsi="Times New Roman"/>
                <w:sz w:val="20"/>
                <w:szCs w:val="20"/>
                <w:color w:val="0000FF"/>
                <w:w w:val="99"/>
              </w:rPr>
              <w:t>1</w:t>
            </w:r>
          </w:p>
        </w:tc>
        <w:tc>
          <w:tcPr>
            <w:tcW w:w="0" w:type="dxa"/>
            <w:vAlign w:val="bottom"/>
          </w:tcPr>
          <w:p>
            <w:pPr>
              <w:spacing w:after="0"/>
              <w:rPr>
                <w:sz w:val="1"/>
                <w:szCs w:val="1"/>
                <w:color w:val="auto"/>
              </w:rPr>
            </w:pPr>
          </w:p>
        </w:tc>
      </w:tr>
      <w:tr>
        <w:trPr>
          <w:trHeight w:val="527"/>
        </w:trPr>
        <w:tc>
          <w:tcPr>
            <w:tcW w:w="9240" w:type="dxa"/>
            <w:vAlign w:val="bottom"/>
          </w:tcPr>
          <w:p>
            <w:pPr>
              <w:spacing w:after="0"/>
              <w:rPr>
                <w:sz w:val="20"/>
                <w:szCs w:val="20"/>
                <w:color w:val="auto"/>
              </w:rPr>
            </w:pPr>
            <w:r>
              <w:rPr>
                <w:rFonts w:ascii="Times New Roman" w:cs="Times New Roman" w:eastAsia="Times New Roman" w:hAnsi="Times New Roman"/>
                <w:sz w:val="20"/>
                <w:szCs w:val="20"/>
                <w:color w:val="3051F2"/>
              </w:rPr>
              <w:t>GLOSSARY</w:t>
            </w:r>
          </w:p>
        </w:tc>
        <w:tc>
          <w:tcPr>
            <w:tcW w:w="1800" w:type="dxa"/>
            <w:vAlign w:val="bottom"/>
          </w:tcPr>
          <w:p>
            <w:pPr>
              <w:jc w:val="center"/>
              <w:ind w:left="1241"/>
              <w:spacing w:after="0"/>
              <w:rPr>
                <w:sz w:val="20"/>
                <w:szCs w:val="20"/>
                <w:color w:val="auto"/>
              </w:rPr>
            </w:pPr>
            <w:r>
              <w:rPr>
                <w:rFonts w:ascii="Times New Roman" w:cs="Times New Roman" w:eastAsia="Times New Roman" w:hAnsi="Times New Roman"/>
                <w:sz w:val="20"/>
                <w:szCs w:val="20"/>
                <w:color w:val="0000FF"/>
                <w:w w:val="99"/>
              </w:rPr>
              <w:t>2</w:t>
            </w:r>
          </w:p>
        </w:tc>
        <w:tc>
          <w:tcPr>
            <w:tcW w:w="0" w:type="dxa"/>
            <w:vAlign w:val="bottom"/>
          </w:tcPr>
          <w:p>
            <w:pPr>
              <w:spacing w:after="0"/>
              <w:rPr>
                <w:sz w:val="1"/>
                <w:szCs w:val="1"/>
                <w:color w:val="auto"/>
              </w:rPr>
            </w:pPr>
          </w:p>
        </w:tc>
      </w:tr>
      <w:tr>
        <w:trPr>
          <w:trHeight w:val="526"/>
        </w:trPr>
        <w:tc>
          <w:tcPr>
            <w:tcW w:w="9240" w:type="dxa"/>
            <w:vAlign w:val="bottom"/>
          </w:tcPr>
          <w:p>
            <w:pPr>
              <w:spacing w:after="0"/>
              <w:rPr>
                <w:sz w:val="20"/>
                <w:szCs w:val="20"/>
                <w:color w:val="auto"/>
              </w:rPr>
            </w:pPr>
            <w:r>
              <w:rPr>
                <w:rFonts w:ascii="Times New Roman" w:cs="Times New Roman" w:eastAsia="Times New Roman" w:hAnsi="Times New Roman"/>
                <w:sz w:val="20"/>
                <w:szCs w:val="20"/>
                <w:color w:val="auto"/>
              </w:rPr>
              <w:t>FINANCIAL STATEMENTS:</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240" w:type="dxa"/>
            <w:vAlign w:val="bottom"/>
          </w:tcPr>
          <w:p>
            <w:pPr>
              <w:ind w:left="120"/>
              <w:spacing w:after="0"/>
              <w:rPr>
                <w:sz w:val="20"/>
                <w:szCs w:val="20"/>
                <w:color w:val="auto"/>
              </w:rPr>
            </w:pPr>
            <w:r>
              <w:rPr>
                <w:rFonts w:ascii="Times New Roman" w:cs="Times New Roman" w:eastAsia="Times New Roman" w:hAnsi="Times New Roman"/>
                <w:sz w:val="20"/>
                <w:szCs w:val="20"/>
                <w:color w:val="3051F2"/>
              </w:rPr>
              <w:t>Statements of Net Assets Available for Benefits as of December 31, 2025 and 2024</w:t>
            </w:r>
          </w:p>
        </w:tc>
        <w:tc>
          <w:tcPr>
            <w:tcW w:w="1800" w:type="dxa"/>
            <w:vAlign w:val="bottom"/>
          </w:tcPr>
          <w:p>
            <w:pPr>
              <w:jc w:val="center"/>
              <w:ind w:left="1241"/>
              <w:spacing w:after="0"/>
              <w:rPr>
                <w:sz w:val="20"/>
                <w:szCs w:val="20"/>
                <w:color w:val="auto"/>
              </w:rPr>
            </w:pPr>
            <w:r>
              <w:rPr>
                <w:rFonts w:ascii="Times New Roman" w:cs="Times New Roman" w:eastAsia="Times New Roman" w:hAnsi="Times New Roman"/>
                <w:sz w:val="20"/>
                <w:szCs w:val="20"/>
                <w:color w:val="0000FF"/>
                <w:w w:val="99"/>
              </w:rPr>
              <w:t>3</w:t>
            </w:r>
          </w:p>
        </w:tc>
        <w:tc>
          <w:tcPr>
            <w:tcW w:w="0" w:type="dxa"/>
            <w:vAlign w:val="bottom"/>
          </w:tcPr>
          <w:p>
            <w:pPr>
              <w:spacing w:after="0"/>
              <w:rPr>
                <w:sz w:val="1"/>
                <w:szCs w:val="1"/>
                <w:color w:val="auto"/>
              </w:rPr>
            </w:pPr>
          </w:p>
        </w:tc>
      </w:tr>
      <w:tr>
        <w:trPr>
          <w:trHeight w:val="527"/>
        </w:trPr>
        <w:tc>
          <w:tcPr>
            <w:tcW w:w="9240" w:type="dxa"/>
            <w:vAlign w:val="bottom"/>
          </w:tcPr>
          <w:p>
            <w:pPr>
              <w:ind w:left="120"/>
              <w:spacing w:after="0"/>
              <w:rPr>
                <w:sz w:val="20"/>
                <w:szCs w:val="20"/>
                <w:color w:val="auto"/>
              </w:rPr>
            </w:pPr>
            <w:r>
              <w:rPr>
                <w:rFonts w:ascii="Times New Roman" w:cs="Times New Roman" w:eastAsia="Times New Roman" w:hAnsi="Times New Roman"/>
                <w:sz w:val="20"/>
                <w:szCs w:val="20"/>
                <w:color w:val="3051F2"/>
              </w:rPr>
              <w:t>Statement of Changes in Net Assets Available for Benefits for the Year Ended December 31, 2025</w:t>
            </w:r>
          </w:p>
        </w:tc>
        <w:tc>
          <w:tcPr>
            <w:tcW w:w="1800" w:type="dxa"/>
            <w:vAlign w:val="bottom"/>
          </w:tcPr>
          <w:p>
            <w:pPr>
              <w:jc w:val="center"/>
              <w:ind w:left="1241"/>
              <w:spacing w:after="0"/>
              <w:rPr>
                <w:sz w:val="20"/>
                <w:szCs w:val="20"/>
                <w:color w:val="auto"/>
              </w:rPr>
            </w:pPr>
            <w:r>
              <w:rPr>
                <w:rFonts w:ascii="Times New Roman" w:cs="Times New Roman" w:eastAsia="Times New Roman" w:hAnsi="Times New Roman"/>
                <w:sz w:val="20"/>
                <w:szCs w:val="20"/>
                <w:color w:val="0000FF"/>
                <w:w w:val="99"/>
              </w:rPr>
              <w:t>4</w:t>
            </w:r>
          </w:p>
        </w:tc>
        <w:tc>
          <w:tcPr>
            <w:tcW w:w="0" w:type="dxa"/>
            <w:vAlign w:val="bottom"/>
          </w:tcPr>
          <w:p>
            <w:pPr>
              <w:spacing w:after="0"/>
              <w:rPr>
                <w:sz w:val="1"/>
                <w:szCs w:val="1"/>
                <w:color w:val="auto"/>
              </w:rPr>
            </w:pPr>
          </w:p>
        </w:tc>
      </w:tr>
      <w:tr>
        <w:trPr>
          <w:trHeight w:val="471"/>
        </w:trPr>
        <w:tc>
          <w:tcPr>
            <w:tcW w:w="9240" w:type="dxa"/>
            <w:vAlign w:val="bottom"/>
          </w:tcPr>
          <w:p>
            <w:pPr>
              <w:ind w:left="120"/>
              <w:spacing w:after="0"/>
              <w:rPr>
                <w:sz w:val="20"/>
                <w:szCs w:val="20"/>
                <w:color w:val="auto"/>
              </w:rPr>
            </w:pPr>
            <w:r>
              <w:rPr>
                <w:rFonts w:ascii="Times New Roman" w:cs="Times New Roman" w:eastAsia="Times New Roman" w:hAnsi="Times New Roman"/>
                <w:sz w:val="20"/>
                <w:szCs w:val="20"/>
                <w:color w:val="3051F2"/>
              </w:rPr>
              <w:t>Notes to Financial Statements as of December 31, 2025 and 2024 and for the</w:t>
            </w:r>
          </w:p>
        </w:tc>
        <w:tc>
          <w:tcPr>
            <w:tcW w:w="1800" w:type="dxa"/>
            <w:vAlign w:val="bottom"/>
            <w:vMerge w:val="restart"/>
          </w:tcPr>
          <w:p>
            <w:pPr>
              <w:jc w:val="center"/>
              <w:ind w:left="1241"/>
              <w:spacing w:after="0"/>
              <w:rPr>
                <w:sz w:val="20"/>
                <w:szCs w:val="20"/>
                <w:color w:val="auto"/>
              </w:rPr>
            </w:pPr>
            <w:r>
              <w:rPr>
                <w:rFonts w:ascii="Times New Roman" w:cs="Times New Roman" w:eastAsia="Times New Roman" w:hAnsi="Times New Roman"/>
                <w:sz w:val="20"/>
                <w:szCs w:val="20"/>
                <w:color w:val="0000FF"/>
                <w:w w:val="99"/>
              </w:rPr>
              <w:t>5</w:t>
            </w:r>
          </w:p>
        </w:tc>
        <w:tc>
          <w:tcPr>
            <w:tcW w:w="0" w:type="dxa"/>
            <w:vAlign w:val="bottom"/>
          </w:tcPr>
          <w:p>
            <w:pPr>
              <w:spacing w:after="0"/>
              <w:rPr>
                <w:sz w:val="1"/>
                <w:szCs w:val="1"/>
                <w:color w:val="auto"/>
              </w:rPr>
            </w:pPr>
          </w:p>
        </w:tc>
      </w:tr>
      <w:tr>
        <w:trPr>
          <w:trHeight w:val="258"/>
        </w:trPr>
        <w:tc>
          <w:tcPr>
            <w:tcW w:w="9240" w:type="dxa"/>
            <w:vAlign w:val="bottom"/>
          </w:tcPr>
          <w:p>
            <w:pPr>
              <w:ind w:left="200"/>
              <w:spacing w:after="0"/>
              <w:rPr>
                <w:sz w:val="20"/>
                <w:szCs w:val="20"/>
                <w:color w:val="auto"/>
              </w:rPr>
            </w:pPr>
            <w:r>
              <w:rPr>
                <w:rFonts w:ascii="Times New Roman" w:cs="Times New Roman" w:eastAsia="Times New Roman" w:hAnsi="Times New Roman"/>
                <w:sz w:val="20"/>
                <w:szCs w:val="20"/>
                <w:color w:val="3051F2"/>
              </w:rPr>
              <w:t>Year Ended December 31, 2025</w:t>
            </w:r>
          </w:p>
        </w:tc>
        <w:tc>
          <w:tcPr>
            <w:tcW w:w="1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13"/>
        </w:trPr>
        <w:tc>
          <w:tcPr>
            <w:tcW w:w="9240" w:type="dxa"/>
            <w:vAlign w:val="bottom"/>
          </w:tcPr>
          <w:p>
            <w:pPr>
              <w:spacing w:after="0"/>
              <w:rPr>
                <w:sz w:val="20"/>
                <w:szCs w:val="20"/>
                <w:color w:val="auto"/>
              </w:rPr>
            </w:pPr>
            <w:r>
              <w:rPr>
                <w:rFonts w:ascii="Times New Roman" w:cs="Times New Roman" w:eastAsia="Times New Roman" w:hAnsi="Times New Roman"/>
                <w:sz w:val="20"/>
                <w:szCs w:val="20"/>
                <w:color w:val="auto"/>
              </w:rPr>
              <w:t>SUPPLEMENTAL SCHEDULE:</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1"/>
        </w:trPr>
        <w:tc>
          <w:tcPr>
            <w:tcW w:w="9240" w:type="dxa"/>
            <w:vAlign w:val="bottom"/>
          </w:tcPr>
          <w:p>
            <w:pPr>
              <w:ind w:left="120"/>
              <w:spacing w:after="0"/>
              <w:rPr>
                <w:sz w:val="20"/>
                <w:szCs w:val="20"/>
                <w:color w:val="auto"/>
              </w:rPr>
            </w:pPr>
            <w:r>
              <w:rPr>
                <w:rFonts w:ascii="Times New Roman" w:cs="Times New Roman" w:eastAsia="Times New Roman" w:hAnsi="Times New Roman"/>
                <w:sz w:val="20"/>
                <w:szCs w:val="20"/>
                <w:color w:val="3051F2"/>
              </w:rPr>
              <w:t>Form 5500, Schedule H, Part IV, Line 4i — Schedule of Assets (Held at End of Year) as of</w:t>
            </w:r>
          </w:p>
        </w:tc>
        <w:tc>
          <w:tcPr>
            <w:tcW w:w="1800" w:type="dxa"/>
            <w:vAlign w:val="bottom"/>
            <w:vMerge w:val="restart"/>
          </w:tcPr>
          <w:p>
            <w:pPr>
              <w:jc w:val="center"/>
              <w:ind w:left="1221"/>
              <w:spacing w:after="0"/>
              <w:rPr>
                <w:sz w:val="20"/>
                <w:szCs w:val="20"/>
                <w:color w:val="auto"/>
              </w:rPr>
            </w:pPr>
            <w:r>
              <w:rPr>
                <w:rFonts w:ascii="Times New Roman" w:cs="Times New Roman" w:eastAsia="Times New Roman" w:hAnsi="Times New Roman"/>
                <w:sz w:val="20"/>
                <w:szCs w:val="20"/>
                <w:color w:val="0000FF"/>
                <w:w w:val="99"/>
              </w:rPr>
              <w:t>18</w:t>
            </w:r>
          </w:p>
        </w:tc>
        <w:tc>
          <w:tcPr>
            <w:tcW w:w="0" w:type="dxa"/>
            <w:vAlign w:val="bottom"/>
          </w:tcPr>
          <w:p>
            <w:pPr>
              <w:spacing w:after="0"/>
              <w:rPr>
                <w:sz w:val="1"/>
                <w:szCs w:val="1"/>
                <w:color w:val="auto"/>
              </w:rPr>
            </w:pPr>
          </w:p>
        </w:tc>
      </w:tr>
      <w:tr>
        <w:trPr>
          <w:trHeight w:val="258"/>
        </w:trPr>
        <w:tc>
          <w:tcPr>
            <w:tcW w:w="9240" w:type="dxa"/>
            <w:vAlign w:val="bottom"/>
          </w:tcPr>
          <w:p>
            <w:pPr>
              <w:ind w:left="200"/>
              <w:spacing w:after="0"/>
              <w:rPr>
                <w:sz w:val="20"/>
                <w:szCs w:val="20"/>
                <w:color w:val="auto"/>
              </w:rPr>
            </w:pPr>
            <w:r>
              <w:rPr>
                <w:rFonts w:ascii="Times New Roman" w:cs="Times New Roman" w:eastAsia="Times New Roman" w:hAnsi="Times New Roman"/>
                <w:sz w:val="20"/>
                <w:szCs w:val="20"/>
                <w:color w:val="3051F2"/>
              </w:rPr>
              <w:t>December 31, 2025</w:t>
            </w:r>
          </w:p>
        </w:tc>
        <w:tc>
          <w:tcPr>
            <w:tcW w:w="1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740" w:right="1580" w:hanging="566"/>
        <w:spacing w:after="0" w:line="275" w:lineRule="auto"/>
        <w:tabs>
          <w:tab w:leader="none" w:pos="720" w:val="left"/>
        </w:tabs>
        <w:rPr>
          <w:sz w:val="20"/>
          <w:szCs w:val="20"/>
          <w:color w:val="auto"/>
        </w:rPr>
      </w:pPr>
      <w:r>
        <w:rPr>
          <w:rFonts w:ascii="Arial" w:cs="Arial" w:eastAsia="Arial" w:hAnsi="Arial"/>
          <w:sz w:val="16"/>
          <w:szCs w:val="16"/>
          <w:color w:val="auto"/>
        </w:rPr>
        <w:t>NOTE:</w:t>
        <w:tab/>
        <w:t>All other schedules required by Section 2520.103-10 of the Department of Labor’s Rules and Regulations for Reporting and Disclosure under the Employee Retirement Income Security Act of 1974 are omitted because of the absence of conditions under which they are required or they are filed by the Trustee of the Master Trust in which the Plan participates.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1437640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16" w:right="51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Plan Participants and Plan Administrator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Gas &amp; Electric Company Savings Plan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8"/>
          <w:szCs w:val="18"/>
          <w:color w:val="auto"/>
        </w:rPr>
        <w:t xml:space="preserve">We have audited the accompanying statements of net assets available for benefits of the San Diego Gas &amp; Electric Company Savings Plan (the </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Plan</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as of December 31, 2025 and 2024, the related statement of changes in net assets available for benefits for the year ended December 31, 2025, and the related notes (collectively referred to as the </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financial statements</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on Supplemental Schedule</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supplemental schedule of assets (held at end of year) as of December 31, 2025, has been subjected to audit procedures performed in conjunction with the audit of the Plan’s financial statements. The supplemental schedule is the responsibility of the Plan’s management. Our audit procedures included determining whether the supplemental schedule reconciles to the financial statements or the underlying accounting and other records, as applicable, and performing procedures to test the completeness and accuracy of the information presented in the supplemental schedule. In forming our opinion on the supplemental schedule, we evaluated whether the supplemental schedule, including its form and content, is presented in compliance with the Department of Labor’s Rules and Regulations for Reporting and Disclosure under the Employee Retirement Income Security Act of 1974. In our opinion, such schedule is fairly stated, in all material respects, in relation to the financial statements as a whole.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DELOITTE &amp; TOUCHE LLP</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at least 1980; however, an earlier year could not be reliably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5" w:name="page26"/>
    <w:bookmarkEnd w:id="25"/>
    <w:p>
      <w:pPr>
        <w:spacing w:after="0"/>
        <w:rPr>
          <w:sz w:val="20"/>
          <w:szCs w:val="20"/>
          <w:color w:val="auto"/>
        </w:rPr>
      </w:pPr>
      <w:r>
        <w:rPr>
          <w:rFonts w:ascii="Arial" w:cs="Arial" w:eastAsia="Arial" w:hAnsi="Arial"/>
          <w:sz w:val="23"/>
          <w:szCs w:val="23"/>
          <w:b w:val="1"/>
          <w:bCs w:val="1"/>
          <w:color w:val="auto"/>
        </w:rPr>
        <w:t>SAN DIEGO GAS &amp; ELECTRIC COMPANY SAVINGS PLAN</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GLOSSARY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7" w:lineRule="exact"/>
        <w:rPr>
          <w:sz w:val="20"/>
          <w:szCs w:val="20"/>
          <w:color w:val="auto"/>
        </w:rPr>
      </w:pPr>
    </w:p>
    <w:p>
      <w:pPr>
        <w:ind w:left="40" w:right="2180" w:hanging="12"/>
        <w:spacing w:after="0" w:line="363" w:lineRule="auto"/>
        <w:rPr>
          <w:sz w:val="20"/>
          <w:szCs w:val="20"/>
          <w:color w:val="auto"/>
        </w:rPr>
      </w:pPr>
      <w:r>
        <w:rPr>
          <w:rFonts w:ascii="Times New Roman" w:cs="Times New Roman" w:eastAsia="Times New Roman" w:hAnsi="Times New Roman"/>
          <w:sz w:val="20"/>
          <w:szCs w:val="20"/>
          <w:color w:val="auto"/>
        </w:rPr>
        <w:t xml:space="preserve">The following terms and abbreviations appearing in these financial statements have the meanings indicated below. </w:t>
      </w:r>
      <w:r>
        <w:rPr>
          <w:rFonts w:ascii="Times New Roman" w:cs="Times New Roman" w:eastAsia="Times New Roman" w:hAnsi="Times New Roman"/>
          <w:sz w:val="20"/>
          <w:szCs w:val="20"/>
          <w:b w:val="1"/>
          <w:bCs w:val="1"/>
          <w:color w:val="auto"/>
        </w:rPr>
        <w:t>GLOSSARY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40575" cy="37293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0575" cy="37293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9"/>
        </w:trPr>
        <w:tc>
          <w:tcPr>
            <w:tcW w:w="274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Company</w:t>
            </w:r>
          </w:p>
        </w:tc>
        <w:tc>
          <w:tcPr>
            <w:tcW w:w="8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San Diego Gas &amp; Electric Company</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Employer</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San Diego Gas &amp; Electric Company</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ERISA</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Employee Retirement Income Security Act of 1974</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FIAM</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Fidelity Institutional Asset Management</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IRC</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 Internal Revenue Code</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IRS</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 Internal Revenue Service</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Master Trust</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Sempra Savings Master Trust</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NAV</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net asset value</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Newport</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Newport Trust Company</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Plan</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San Diego Gas &amp; Electric Company Savings Plan</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Plan Administrator</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Sempra Pension and Benefits Committee</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Plan Sponsor</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San Diego Gas &amp; Electric Company</w:t>
            </w:r>
          </w:p>
        </w:tc>
      </w:tr>
      <w:tr>
        <w:trPr>
          <w:trHeight w:val="187"/>
        </w:trPr>
        <w:tc>
          <w:tcPr>
            <w:tcW w:w="2740" w:type="dxa"/>
            <w:vAlign w:val="bottom"/>
            <w:tcBorders>
              <w:right w:val="single" w:sz="8" w:color="auto"/>
            </w:tcBorders>
          </w:tcPr>
          <w:p>
            <w:pPr>
              <w:ind w:left="40"/>
              <w:spacing w:after="0" w:line="186" w:lineRule="exact"/>
              <w:rPr>
                <w:sz w:val="20"/>
                <w:szCs w:val="20"/>
                <w:color w:val="auto"/>
              </w:rPr>
            </w:pPr>
            <w:r>
              <w:rPr>
                <w:rFonts w:ascii="Times New Roman" w:cs="Times New Roman" w:eastAsia="Times New Roman" w:hAnsi="Times New Roman"/>
                <w:sz w:val="20"/>
                <w:szCs w:val="20"/>
                <w:color w:val="auto"/>
              </w:rPr>
              <w:t>Roth</w:t>
            </w:r>
          </w:p>
        </w:tc>
        <w:tc>
          <w:tcPr>
            <w:tcW w:w="85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Type of employee elective deferral contributions that are made on an after-tax basis and for which the</w:t>
            </w:r>
          </w:p>
        </w:tc>
      </w:tr>
      <w:tr>
        <w:trPr>
          <w:trHeight w:val="252"/>
        </w:trPr>
        <w:tc>
          <w:tcPr>
            <w:tcW w:w="2740" w:type="dxa"/>
            <w:vAlign w:val="bottom"/>
            <w:tcBorders>
              <w:bottom w:val="single" w:sz="8" w:color="auto"/>
              <w:right w:val="single" w:sz="8" w:color="auto"/>
            </w:tcBorders>
          </w:tcPr>
          <w:p>
            <w:pPr>
              <w:spacing w:after="0"/>
              <w:rPr>
                <w:sz w:val="21"/>
                <w:szCs w:val="21"/>
                <w:color w:val="auto"/>
              </w:rPr>
            </w:pP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distributions of such contributions and the earnings thereon are tax-free if certain conditions are met</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SDBA</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self-directed brokerage account</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Sempra P&amp;B Committee</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Sempra Pension and Benefits Committee</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Sempra Stock Fund</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Stock Investment Fund</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State Street</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State Street Investment Management (formerly known as State Street Global Advisors (SSGA))</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TRP</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 Rowe Price</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Trustee</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 Rowe Price</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 GAAP</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generally accepted accounting principles in the United States of America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16" w:right="319" w:bottom="1440" w:gutter="0" w:footer="0" w:header="0"/>
        </w:sectPr>
      </w:pPr>
    </w:p>
    <w:bookmarkStart w:id="26" w:name="page27"/>
    <w:bookmarkEnd w:id="26"/>
    <w:p>
      <w:pPr>
        <w:spacing w:after="0"/>
        <w:rPr>
          <w:sz w:val="20"/>
          <w:szCs w:val="20"/>
          <w:color w:val="auto"/>
        </w:rPr>
      </w:pPr>
      <w:r>
        <w:rPr>
          <w:rFonts w:ascii="Arial" w:cs="Arial" w:eastAsia="Arial" w:hAnsi="Arial"/>
          <w:sz w:val="23"/>
          <w:szCs w:val="23"/>
          <w:b w:val="1"/>
          <w:bCs w:val="1"/>
          <w:color w:val="auto"/>
        </w:rPr>
        <w:t>SAN DIEGO GAS &amp; ELECTRIC COMPANY SAVINGS PLAN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2025 AND 2024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0628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19"/>
                <w:szCs w:val="19"/>
                <w:color w:val="auto"/>
              </w:rPr>
            </w:pPr>
          </w:p>
        </w:tc>
        <w:tc>
          <w:tcPr>
            <w:tcW w:w="1640" w:type="dxa"/>
            <w:vAlign w:val="bottom"/>
          </w:tcPr>
          <w:p>
            <w:pPr>
              <w:jc w:val="right"/>
              <w:ind w:right="263"/>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716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ASSETS</w:t>
            </w: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43"/>
              <w:spacing w:after="0"/>
              <w:rPr>
                <w:sz w:val="20"/>
                <w:szCs w:val="20"/>
                <w:color w:val="auto"/>
              </w:rPr>
            </w:pPr>
            <w:r>
              <w:rPr>
                <w:rFonts w:ascii="Arial" w:cs="Arial" w:eastAsia="Arial" w:hAnsi="Arial"/>
                <w:sz w:val="18"/>
                <w:szCs w:val="18"/>
                <w:b w:val="1"/>
                <w:bCs w:val="1"/>
                <w:color w:val="auto"/>
              </w:rPr>
              <w:t>2025</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43"/>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27"/>
        </w:trPr>
        <w:tc>
          <w:tcPr>
            <w:tcW w:w="71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71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NON-INTEREST BEARING CASH</w:t>
            </w:r>
          </w:p>
        </w:tc>
        <w:tc>
          <w:tcPr>
            <w:tcW w:w="2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255</w:t>
            </w:r>
          </w:p>
        </w:tc>
        <w:tc>
          <w:tcPr>
            <w:tcW w:w="280" w:type="dxa"/>
            <w:vAlign w:val="bottom"/>
          </w:tcPr>
          <w:p>
            <w:pPr>
              <w:spacing w:after="0"/>
              <w:rPr>
                <w:sz w:val="22"/>
                <w:szCs w:val="22"/>
                <w:color w:val="auto"/>
              </w:rPr>
            </w:pPr>
          </w:p>
        </w:tc>
        <w:tc>
          <w:tcPr>
            <w:tcW w:w="2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504"/>
        </w:trPr>
        <w:tc>
          <w:tcPr>
            <w:tcW w:w="71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INVESTMENT:</w:t>
            </w: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1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Plan interest in Master Trust, at fair value</w:t>
            </w:r>
          </w:p>
        </w:tc>
        <w:tc>
          <w:tcPr>
            <w:tcW w:w="2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2,199,939</w:t>
            </w:r>
          </w:p>
        </w:tc>
        <w:tc>
          <w:tcPr>
            <w:tcW w:w="2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2,097,965</w:t>
            </w:r>
          </w:p>
        </w:tc>
        <w:tc>
          <w:tcPr>
            <w:tcW w:w="0" w:type="dxa"/>
            <w:vAlign w:val="bottom"/>
          </w:tcPr>
          <w:p>
            <w:pPr>
              <w:spacing w:after="0"/>
              <w:rPr>
                <w:sz w:val="1"/>
                <w:szCs w:val="1"/>
                <w:color w:val="auto"/>
              </w:rPr>
            </w:pPr>
          </w:p>
        </w:tc>
      </w:tr>
      <w:tr>
        <w:trPr>
          <w:trHeight w:val="504"/>
        </w:trPr>
        <w:tc>
          <w:tcPr>
            <w:tcW w:w="71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RECEIVABLES:</w:t>
            </w: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1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Notes receivable from participants</w:t>
            </w:r>
          </w:p>
        </w:tc>
        <w:tc>
          <w:tcPr>
            <w:tcW w:w="2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30,225</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30,309</w:t>
            </w:r>
          </w:p>
        </w:tc>
        <w:tc>
          <w:tcPr>
            <w:tcW w:w="0" w:type="dxa"/>
            <w:vAlign w:val="bottom"/>
          </w:tcPr>
          <w:p>
            <w:pPr>
              <w:spacing w:after="0"/>
              <w:rPr>
                <w:sz w:val="1"/>
                <w:szCs w:val="1"/>
                <w:color w:val="auto"/>
              </w:rPr>
            </w:pPr>
          </w:p>
        </w:tc>
      </w:tr>
      <w:tr>
        <w:trPr>
          <w:trHeight w:val="257"/>
        </w:trPr>
        <w:tc>
          <w:tcPr>
            <w:tcW w:w="71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Dividends</w:t>
            </w:r>
          </w:p>
        </w:tc>
        <w:tc>
          <w:tcPr>
            <w:tcW w:w="2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2,774</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3,055</w:t>
            </w:r>
          </w:p>
        </w:tc>
        <w:tc>
          <w:tcPr>
            <w:tcW w:w="0" w:type="dxa"/>
            <w:vAlign w:val="bottom"/>
          </w:tcPr>
          <w:p>
            <w:pPr>
              <w:spacing w:after="0"/>
              <w:rPr>
                <w:sz w:val="1"/>
                <w:szCs w:val="1"/>
                <w:color w:val="auto"/>
              </w:rPr>
            </w:pPr>
          </w:p>
        </w:tc>
      </w:tr>
      <w:tr>
        <w:trPr>
          <w:trHeight w:val="262"/>
        </w:trPr>
        <w:tc>
          <w:tcPr>
            <w:tcW w:w="71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Employer contributions</w:t>
            </w:r>
          </w:p>
        </w:tc>
        <w:tc>
          <w:tcPr>
            <w:tcW w:w="240" w:type="dxa"/>
            <w:vAlign w:val="bottom"/>
          </w:tcPr>
          <w:p>
            <w:pPr>
              <w:spacing w:after="0"/>
              <w:rPr>
                <w:sz w:val="22"/>
                <w:szCs w:val="22"/>
                <w:color w:val="auto"/>
              </w:rPr>
            </w:pPr>
          </w:p>
        </w:tc>
        <w:tc>
          <w:tcPr>
            <w:tcW w:w="19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507"/>
        </w:trPr>
        <w:tc>
          <w:tcPr>
            <w:tcW w:w="71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Total receivables</w:t>
            </w:r>
          </w:p>
        </w:tc>
        <w:tc>
          <w:tcPr>
            <w:tcW w:w="240" w:type="dxa"/>
            <w:vAlign w:val="bottom"/>
            <w:tcBorders>
              <w:top w:val="single" w:sz="8" w:color="auto"/>
              <w:bottom w:val="single" w:sz="8" w:color="auto"/>
            </w:tcBorders>
          </w:tcPr>
          <w:p>
            <w:pPr>
              <w:spacing w:after="0"/>
              <w:rPr>
                <w:sz w:val="24"/>
                <w:szCs w:val="24"/>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32,999</w:t>
            </w:r>
          </w:p>
        </w:tc>
        <w:tc>
          <w:tcPr>
            <w:tcW w:w="28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33,367</w:t>
            </w:r>
          </w:p>
        </w:tc>
        <w:tc>
          <w:tcPr>
            <w:tcW w:w="0" w:type="dxa"/>
            <w:vAlign w:val="bottom"/>
          </w:tcPr>
          <w:p>
            <w:pPr>
              <w:spacing w:after="0"/>
              <w:rPr>
                <w:sz w:val="1"/>
                <w:szCs w:val="1"/>
                <w:color w:val="auto"/>
              </w:rPr>
            </w:pPr>
          </w:p>
        </w:tc>
      </w:tr>
      <w:tr>
        <w:trPr>
          <w:trHeight w:val="506"/>
        </w:trPr>
        <w:tc>
          <w:tcPr>
            <w:tcW w:w="7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ASSETS</w:t>
            </w:r>
          </w:p>
        </w:tc>
        <w:tc>
          <w:tcPr>
            <w:tcW w:w="2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2,233,193</w:t>
            </w:r>
          </w:p>
        </w:tc>
        <w:tc>
          <w:tcPr>
            <w:tcW w:w="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2,131,333</w:t>
            </w:r>
          </w:p>
        </w:tc>
        <w:tc>
          <w:tcPr>
            <w:tcW w:w="0" w:type="dxa"/>
            <w:vAlign w:val="bottom"/>
          </w:tcPr>
          <w:p>
            <w:pPr>
              <w:spacing w:after="0"/>
              <w:rPr>
                <w:sz w:val="1"/>
                <w:szCs w:val="1"/>
                <w:color w:val="auto"/>
              </w:rPr>
            </w:pPr>
          </w:p>
        </w:tc>
      </w:tr>
      <w:tr>
        <w:trPr>
          <w:trHeight w:val="506"/>
        </w:trPr>
        <w:tc>
          <w:tcPr>
            <w:tcW w:w="7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LIABILITIES</w:t>
            </w:r>
          </w:p>
        </w:tc>
        <w:tc>
          <w:tcPr>
            <w:tcW w:w="240" w:type="dxa"/>
            <w:vAlign w:val="bottom"/>
          </w:tcPr>
          <w:p>
            <w:pPr>
              <w:spacing w:after="0"/>
              <w:rPr>
                <w:sz w:val="24"/>
                <w:szCs w:val="24"/>
                <w:color w:val="auto"/>
              </w:rPr>
            </w:pPr>
          </w:p>
        </w:tc>
        <w:tc>
          <w:tcPr>
            <w:tcW w:w="19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510"/>
        </w:trPr>
        <w:tc>
          <w:tcPr>
            <w:tcW w:w="7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NET ASSETS AVAILABLE FOR BENEFITS</w:t>
            </w:r>
          </w:p>
        </w:tc>
        <w:tc>
          <w:tcPr>
            <w:tcW w:w="2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2,233,193</w:t>
            </w:r>
          </w:p>
        </w:tc>
        <w:tc>
          <w:tcPr>
            <w:tcW w:w="28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2,131,333</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See Notes to Financial Statements.</w:t>
            </w: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3"/>
        </w:trPr>
        <w:tc>
          <w:tcPr>
            <w:tcW w:w="71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6" w:right="379" w:bottom="1440" w:gutter="0" w:footer="0" w:header="0"/>
        </w:sectPr>
      </w:pPr>
    </w:p>
    <w:bookmarkStart w:id="27" w:name="page28"/>
    <w:bookmarkEnd w:id="27"/>
    <w:p>
      <w:pPr>
        <w:spacing w:after="0"/>
        <w:rPr>
          <w:sz w:val="20"/>
          <w:szCs w:val="20"/>
          <w:color w:val="auto"/>
        </w:rPr>
      </w:pPr>
      <w:r>
        <w:rPr>
          <w:rFonts w:ascii="Arial" w:cs="Arial" w:eastAsia="Arial" w:hAnsi="Arial"/>
          <w:sz w:val="23"/>
          <w:szCs w:val="23"/>
          <w:b w:val="1"/>
          <w:bCs w:val="1"/>
          <w:color w:val="auto"/>
        </w:rPr>
        <w:t>SAN DIEGO GAS &amp; ELECTRIC COMPANY SAVINGS PLAN</w:t>
      </w:r>
    </w:p>
    <w:p>
      <w:pPr>
        <w:spacing w:after="0" w:line="38" w:lineRule="exact"/>
        <w:rPr>
          <w:sz w:val="20"/>
          <w:szCs w:val="20"/>
          <w:color w:val="auto"/>
        </w:rPr>
      </w:pPr>
    </w:p>
    <w:p>
      <w:pPr>
        <w:ind w:right="5080"/>
        <w:spacing w:after="0" w:line="263" w:lineRule="auto"/>
        <w:rPr>
          <w:sz w:val="20"/>
          <w:szCs w:val="20"/>
          <w:color w:val="auto"/>
        </w:rPr>
      </w:pPr>
      <w:r>
        <w:rPr>
          <w:rFonts w:ascii="Arial" w:cs="Arial" w:eastAsia="Arial" w:hAnsi="Arial"/>
          <w:sz w:val="18"/>
          <w:szCs w:val="18"/>
          <w:b w:val="1"/>
          <w:bCs w:val="1"/>
          <w:color w:val="auto"/>
        </w:rPr>
        <w:t>STATEMENT OF CHANGES IN NET ASSETS AVAILABLE FOR BENEFITS FOR THE YEAR ENDED DECEMBER 31, 2025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9560" w:type="dxa"/>
            <w:vAlign w:val="bottom"/>
          </w:tcPr>
          <w:p>
            <w:pPr>
              <w:spacing w:after="0"/>
              <w:rPr>
                <w:sz w:val="20"/>
                <w:szCs w:val="20"/>
                <w:color w:val="auto"/>
              </w:rPr>
            </w:pPr>
            <w:r>
              <w:rPr>
                <w:rFonts w:ascii="Times New Roman" w:cs="Times New Roman" w:eastAsia="Times New Roman" w:hAnsi="Times New Roman"/>
                <w:sz w:val="20"/>
                <w:szCs w:val="20"/>
                <w:color w:val="auto"/>
              </w:rPr>
              <w:t>ADDITIONS:</w:t>
            </w:r>
          </w:p>
        </w:tc>
        <w:tc>
          <w:tcPr>
            <w:tcW w:w="4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9"/>
        </w:trPr>
        <w:tc>
          <w:tcPr>
            <w:tcW w:w="95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Net investment gain — Plan interest in Master Trust</w:t>
            </w:r>
          </w:p>
        </w:tc>
        <w:tc>
          <w:tcPr>
            <w:tcW w:w="4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262,161</w:t>
            </w:r>
          </w:p>
        </w:tc>
      </w:tr>
      <w:tr>
        <w:trPr>
          <w:trHeight w:val="342"/>
        </w:trPr>
        <w:tc>
          <w:tcPr>
            <w:tcW w:w="95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Contributions:</w:t>
            </w: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7"/>
        </w:trPr>
        <w:tc>
          <w:tcPr>
            <w:tcW w:w="95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Employer, net of forfeitures</w:t>
            </w:r>
          </w:p>
        </w:tc>
        <w:tc>
          <w:tcPr>
            <w:tcW w:w="4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21,485</w:t>
            </w:r>
          </w:p>
        </w:tc>
      </w:tr>
      <w:tr>
        <w:trPr>
          <w:trHeight w:val="257"/>
        </w:trPr>
        <w:tc>
          <w:tcPr>
            <w:tcW w:w="95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Participant</w:t>
            </w:r>
          </w:p>
        </w:tc>
        <w:tc>
          <w:tcPr>
            <w:tcW w:w="4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81,597</w:t>
            </w:r>
          </w:p>
        </w:tc>
      </w:tr>
      <w:tr>
        <w:trPr>
          <w:trHeight w:val="262"/>
        </w:trPr>
        <w:tc>
          <w:tcPr>
            <w:tcW w:w="95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Participant rollovers</w:t>
            </w:r>
          </w:p>
        </w:tc>
        <w:tc>
          <w:tcPr>
            <w:tcW w:w="4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8,047</w:t>
            </w:r>
          </w:p>
        </w:tc>
      </w:tr>
      <w:tr>
        <w:trPr>
          <w:trHeight w:val="344"/>
        </w:trPr>
        <w:tc>
          <w:tcPr>
            <w:tcW w:w="95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Total contributions</w:t>
            </w:r>
          </w:p>
        </w:tc>
        <w:tc>
          <w:tcPr>
            <w:tcW w:w="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111,129</w:t>
            </w:r>
          </w:p>
        </w:tc>
      </w:tr>
      <w:tr>
        <w:trPr>
          <w:trHeight w:val="344"/>
        </w:trPr>
        <w:tc>
          <w:tcPr>
            <w:tcW w:w="95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Interest income on notes receivable from participants</w:t>
            </w:r>
          </w:p>
        </w:tc>
        <w:tc>
          <w:tcPr>
            <w:tcW w:w="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2,305</w:t>
            </w:r>
          </w:p>
        </w:tc>
      </w:tr>
      <w:tr>
        <w:trPr>
          <w:trHeight w:val="342"/>
        </w:trPr>
        <w:tc>
          <w:tcPr>
            <w:tcW w:w="95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Total additions</w:t>
            </w:r>
          </w:p>
        </w:tc>
        <w:tc>
          <w:tcPr>
            <w:tcW w:w="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375,595</w:t>
            </w:r>
          </w:p>
        </w:tc>
      </w:tr>
      <w:tr>
        <w:trPr>
          <w:trHeight w:val="342"/>
        </w:trPr>
        <w:tc>
          <w:tcPr>
            <w:tcW w:w="9560" w:type="dxa"/>
            <w:vAlign w:val="bottom"/>
          </w:tcPr>
          <w:p>
            <w:pPr>
              <w:spacing w:after="0"/>
              <w:rPr>
                <w:sz w:val="20"/>
                <w:szCs w:val="20"/>
                <w:color w:val="auto"/>
              </w:rPr>
            </w:pPr>
            <w:r>
              <w:rPr>
                <w:rFonts w:ascii="Times New Roman" w:cs="Times New Roman" w:eastAsia="Times New Roman" w:hAnsi="Times New Roman"/>
                <w:sz w:val="20"/>
                <w:szCs w:val="20"/>
                <w:color w:val="auto"/>
              </w:rPr>
              <w:t>DEDUCTIONS:</w:t>
            </w: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7"/>
        </w:trPr>
        <w:tc>
          <w:tcPr>
            <w:tcW w:w="95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Distributions to participants or their beneficiaries</w:t>
            </w:r>
          </w:p>
        </w:tc>
        <w:tc>
          <w:tcPr>
            <w:tcW w:w="4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272,662</w:t>
            </w:r>
          </w:p>
        </w:tc>
      </w:tr>
      <w:tr>
        <w:trPr>
          <w:trHeight w:val="262"/>
        </w:trPr>
        <w:tc>
          <w:tcPr>
            <w:tcW w:w="95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Administrative expenses</w:t>
            </w:r>
          </w:p>
        </w:tc>
        <w:tc>
          <w:tcPr>
            <w:tcW w:w="4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203</w:t>
            </w:r>
          </w:p>
        </w:tc>
      </w:tr>
      <w:tr>
        <w:trPr>
          <w:trHeight w:val="344"/>
        </w:trPr>
        <w:tc>
          <w:tcPr>
            <w:tcW w:w="95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Total deductions</w:t>
            </w:r>
          </w:p>
        </w:tc>
        <w:tc>
          <w:tcPr>
            <w:tcW w:w="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272,865</w:t>
            </w:r>
          </w:p>
        </w:tc>
      </w:tr>
      <w:tr>
        <w:trPr>
          <w:trHeight w:val="342"/>
        </w:trPr>
        <w:tc>
          <w:tcPr>
            <w:tcW w:w="9560" w:type="dxa"/>
            <w:vAlign w:val="bottom"/>
          </w:tcPr>
          <w:p>
            <w:pPr>
              <w:spacing w:after="0"/>
              <w:rPr>
                <w:sz w:val="20"/>
                <w:szCs w:val="20"/>
                <w:color w:val="auto"/>
              </w:rPr>
            </w:pPr>
            <w:r>
              <w:rPr>
                <w:rFonts w:ascii="Times New Roman" w:cs="Times New Roman" w:eastAsia="Times New Roman" w:hAnsi="Times New Roman"/>
                <w:sz w:val="20"/>
                <w:szCs w:val="20"/>
                <w:color w:val="auto"/>
              </w:rPr>
              <w:t>INCREASE IN NET ASSETS BEFORE PLAN TRANSFERS</w:t>
            </w:r>
          </w:p>
        </w:tc>
        <w:tc>
          <w:tcPr>
            <w:tcW w:w="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102,730</w:t>
            </w:r>
          </w:p>
        </w:tc>
      </w:tr>
      <w:tr>
        <w:trPr>
          <w:trHeight w:val="342"/>
        </w:trPr>
        <w:tc>
          <w:tcPr>
            <w:tcW w:w="9560" w:type="dxa"/>
            <w:vAlign w:val="bottom"/>
          </w:tcPr>
          <w:p>
            <w:pPr>
              <w:spacing w:after="0"/>
              <w:rPr>
                <w:sz w:val="20"/>
                <w:szCs w:val="20"/>
                <w:color w:val="auto"/>
              </w:rPr>
            </w:pPr>
            <w:r>
              <w:rPr>
                <w:rFonts w:ascii="Times New Roman" w:cs="Times New Roman" w:eastAsia="Times New Roman" w:hAnsi="Times New Roman"/>
                <w:sz w:val="20"/>
                <w:szCs w:val="20"/>
                <w:color w:val="auto"/>
              </w:rPr>
              <w:t>PLAN TRANSFERS:</w:t>
            </w: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7"/>
        </w:trPr>
        <w:tc>
          <w:tcPr>
            <w:tcW w:w="95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From plans of related entities</w:t>
            </w:r>
          </w:p>
        </w:tc>
        <w:tc>
          <w:tcPr>
            <w:tcW w:w="4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2,661</w:t>
            </w:r>
          </w:p>
        </w:tc>
      </w:tr>
      <w:tr>
        <w:trPr>
          <w:trHeight w:val="262"/>
        </w:trPr>
        <w:tc>
          <w:tcPr>
            <w:tcW w:w="95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 plans of related entities</w:t>
            </w:r>
          </w:p>
        </w:tc>
        <w:tc>
          <w:tcPr>
            <w:tcW w:w="4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(3,531)</w:t>
            </w:r>
          </w:p>
        </w:tc>
      </w:tr>
      <w:tr>
        <w:trPr>
          <w:trHeight w:val="345"/>
        </w:trPr>
        <w:tc>
          <w:tcPr>
            <w:tcW w:w="95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Net plan transfers</w:t>
            </w:r>
          </w:p>
        </w:tc>
        <w:tc>
          <w:tcPr>
            <w:tcW w:w="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(870)</w:t>
            </w:r>
          </w:p>
        </w:tc>
      </w:tr>
      <w:tr>
        <w:trPr>
          <w:trHeight w:val="341"/>
        </w:trPr>
        <w:tc>
          <w:tcPr>
            <w:tcW w:w="9560" w:type="dxa"/>
            <w:vAlign w:val="bottom"/>
          </w:tcPr>
          <w:p>
            <w:pPr>
              <w:spacing w:after="0"/>
              <w:rPr>
                <w:sz w:val="20"/>
                <w:szCs w:val="20"/>
                <w:color w:val="auto"/>
              </w:rPr>
            </w:pPr>
            <w:r>
              <w:rPr>
                <w:rFonts w:ascii="Times New Roman" w:cs="Times New Roman" w:eastAsia="Times New Roman" w:hAnsi="Times New Roman"/>
                <w:sz w:val="20"/>
                <w:szCs w:val="20"/>
                <w:color w:val="auto"/>
              </w:rPr>
              <w:t>NET INCREASE IN NET ASSETS</w:t>
            </w:r>
          </w:p>
        </w:tc>
        <w:tc>
          <w:tcPr>
            <w:tcW w:w="4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101,860</w:t>
            </w:r>
          </w:p>
        </w:tc>
      </w:tr>
      <w:tr>
        <w:trPr>
          <w:trHeight w:val="363"/>
        </w:trPr>
        <w:tc>
          <w:tcPr>
            <w:tcW w:w="9560" w:type="dxa"/>
            <w:vAlign w:val="bottom"/>
          </w:tcPr>
          <w:p>
            <w:pPr>
              <w:spacing w:after="0"/>
              <w:rPr>
                <w:sz w:val="20"/>
                <w:szCs w:val="20"/>
                <w:color w:val="auto"/>
              </w:rPr>
            </w:pPr>
            <w:r>
              <w:rPr>
                <w:rFonts w:ascii="Times New Roman" w:cs="Times New Roman" w:eastAsia="Times New Roman" w:hAnsi="Times New Roman"/>
                <w:sz w:val="20"/>
                <w:szCs w:val="20"/>
                <w:color w:val="auto"/>
              </w:rPr>
              <w:t>NET ASSETS AVAILABLE FOR BENEFITS:</w:t>
            </w: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2"/>
        </w:trPr>
        <w:tc>
          <w:tcPr>
            <w:tcW w:w="95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Beginning of year</w:t>
            </w:r>
          </w:p>
        </w:tc>
        <w:tc>
          <w:tcPr>
            <w:tcW w:w="4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2,131,333</w:t>
            </w:r>
          </w:p>
        </w:tc>
      </w:tr>
      <w:tr>
        <w:trPr>
          <w:trHeight w:val="348"/>
        </w:trPr>
        <w:tc>
          <w:tcPr>
            <w:tcW w:w="95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End of year</w:t>
            </w:r>
          </w:p>
        </w:tc>
        <w:tc>
          <w:tcPr>
            <w:tcW w:w="4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2,233,193</w:t>
            </w:r>
          </w:p>
        </w:tc>
      </w:tr>
      <w:tr>
        <w:trPr>
          <w:trHeight w:val="20"/>
        </w:trPr>
        <w:tc>
          <w:tcPr>
            <w:tcW w:w="95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28" w:name="page29"/>
    <w:bookmarkEnd w:id="28"/>
    <w:p>
      <w:pPr>
        <w:spacing w:after="0"/>
        <w:rPr>
          <w:sz w:val="20"/>
          <w:szCs w:val="20"/>
          <w:color w:val="auto"/>
        </w:rPr>
      </w:pPr>
      <w:r>
        <w:rPr>
          <w:rFonts w:ascii="Arial" w:cs="Arial" w:eastAsia="Arial" w:hAnsi="Arial"/>
          <w:sz w:val="23"/>
          <w:szCs w:val="23"/>
          <w:b w:val="1"/>
          <w:bCs w:val="1"/>
          <w:color w:val="auto"/>
        </w:rPr>
        <w:t>SAN DIEGO GAS &amp; ELECTRIC COMPANY SAVINGS PLAN</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2025 AND 2024 AND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PLAN DESCRIPTION AND RELATED INFORMATION</w:t>
      </w:r>
    </w:p>
    <w:p>
      <w:pPr>
        <w:spacing w:after="0" w:line="233" w:lineRule="exact"/>
        <w:rPr>
          <w:sz w:val="20"/>
          <w:szCs w:val="20"/>
          <w:color w:val="auto"/>
        </w:rPr>
      </w:pPr>
    </w:p>
    <w:p>
      <w:pPr>
        <w:ind w:left="340" w:right="140"/>
        <w:spacing w:after="0" w:line="269" w:lineRule="auto"/>
        <w:rPr>
          <w:sz w:val="20"/>
          <w:szCs w:val="20"/>
          <w:color w:val="auto"/>
        </w:rPr>
      </w:pPr>
      <w:r>
        <w:rPr>
          <w:rFonts w:ascii="Times New Roman" w:cs="Times New Roman" w:eastAsia="Times New Roman" w:hAnsi="Times New Roman"/>
          <w:sz w:val="20"/>
          <w:szCs w:val="20"/>
          <w:color w:val="auto"/>
        </w:rPr>
        <w:t>The following description of the Plan is provided for general information purposes only. Participants in the Plan should refer to the Plan document for a more complete description of the Plan’s provisions.</w:t>
      </w:r>
    </w:p>
    <w:p>
      <w:pPr>
        <w:spacing w:after="0" w:line="169" w:lineRule="exact"/>
        <w:rPr>
          <w:sz w:val="20"/>
          <w:szCs w:val="20"/>
          <w:color w:val="auto"/>
        </w:rPr>
      </w:pPr>
    </w:p>
    <w:p>
      <w:pPr>
        <w:ind w:left="340" w:right="60"/>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General </w:t>
      </w:r>
      <w:r>
        <w:rPr>
          <w:rFonts w:ascii="Times New Roman" w:cs="Times New Roman" w:eastAsia="Times New Roman" w:hAnsi="Times New Roman"/>
          <w:sz w:val="20"/>
          <w:szCs w:val="20"/>
          <w:color w:val="auto"/>
        </w:rPr>
        <w:t>— The Plan is a defined contribution plan that provides employees of the Company with retirement benefits. All employees,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both full-time and part-time, are eligible to participate immediately in the Plan after their date of hire. Participants may make elective deferral contributions and are eligible to receive an Employer matching contribution based on each participant’s level of elective deferral contributions.</w:t>
      </w:r>
    </w:p>
    <w:p>
      <w:pPr>
        <w:spacing w:after="0" w:line="168" w:lineRule="exact"/>
        <w:rPr>
          <w:sz w:val="20"/>
          <w:szCs w:val="20"/>
          <w:color w:val="auto"/>
        </w:rPr>
      </w:pPr>
    </w:p>
    <w:p>
      <w:pPr>
        <w:ind w:left="340" w:right="40"/>
        <w:spacing w:after="0" w:line="257" w:lineRule="auto"/>
        <w:rPr>
          <w:sz w:val="20"/>
          <w:szCs w:val="20"/>
          <w:color w:val="auto"/>
        </w:rPr>
      </w:pPr>
      <w:r>
        <w:rPr>
          <w:rFonts w:ascii="Times New Roman" w:cs="Times New Roman" w:eastAsia="Times New Roman" w:hAnsi="Times New Roman"/>
          <w:sz w:val="20"/>
          <w:szCs w:val="20"/>
          <w:color w:val="auto"/>
        </w:rPr>
        <w:t>Employees may make regular savings investments in the common stock of Sempra, the indirect parent company of the Employer, through the Sempra Stock Fund, which is invested solely in Sempra common stock. Participants may alternatively, or also, elect to invest in other investments permitted by the Plan (further discussed below). The Sempra P&amp;B Committee manages the operation and administration of the Plan as the Plan Administrator. TRP serves as the Trustee of the Plan. The Plan is subject to the provisions of ERISA.</w:t>
      </w:r>
    </w:p>
    <w:p>
      <w:pPr>
        <w:spacing w:after="0" w:line="169" w:lineRule="exact"/>
        <w:rPr>
          <w:sz w:val="20"/>
          <w:szCs w:val="20"/>
          <w:color w:val="auto"/>
        </w:rPr>
      </w:pPr>
    </w:p>
    <w:p>
      <w:pPr>
        <w:ind w:left="340" w:right="24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Plan Transfers </w:t>
      </w:r>
      <w:r>
        <w:rPr>
          <w:rFonts w:ascii="Times New Roman" w:cs="Times New Roman" w:eastAsia="Times New Roman" w:hAnsi="Times New Roman"/>
          <w:sz w:val="20"/>
          <w:szCs w:val="20"/>
          <w:color w:val="auto"/>
        </w:rPr>
        <w:t>— Employees transfer between the Company and related entities for various reasons, and this results in the transfer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participation and participant assets from one plan to another.</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color w:val="auto"/>
        </w:rPr>
        <w:t xml:space="preserve">Contributions </w:t>
      </w:r>
      <w:r>
        <w:rPr>
          <w:rFonts w:ascii="Times New Roman" w:cs="Times New Roman" w:eastAsia="Times New Roman" w:hAnsi="Times New Roman"/>
          <w:sz w:val="20"/>
          <w:szCs w:val="20"/>
          <w:color w:val="auto"/>
        </w:rPr>
        <w:t>— Contributions to the Plan can be made under the following provisions:</w:t>
      </w:r>
    </w:p>
    <w:p>
      <w:pPr>
        <w:spacing w:after="0" w:line="229" w:lineRule="exact"/>
        <w:rPr>
          <w:sz w:val="20"/>
          <w:szCs w:val="20"/>
          <w:color w:val="auto"/>
        </w:rPr>
      </w:pPr>
    </w:p>
    <w:p>
      <w:pPr>
        <w:ind w:left="340" w:right="4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Participating Employee Contributions </w:t>
      </w:r>
      <w:r>
        <w:rPr>
          <w:rFonts w:ascii="Times New Roman" w:cs="Times New Roman" w:eastAsia="Times New Roman" w:hAnsi="Times New Roman"/>
          <w:sz w:val="20"/>
          <w:szCs w:val="20"/>
          <w:color w:val="auto"/>
        </w:rPr>
        <w:t>— Under the terms of the Plan, participants may contribute up to 50% of eligible pay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increments of 1%) on a pre-tax basis, a designated Roth after-tax basis, a regular after-tax basis or a combination thereof. The IRC limited total individual pre-tax and/or designated Roth after-tax contributions to $23,500 for 2025. In addition, a participant’s overall annual employee contributions and employer contributions (as described below, excluding any catch-up and rollover contributions) is limited to the lesser of (a) 100% of the participant’s annual compensation and (b) $70,000 for 2025. Catch-up contributions are permitted for participants of at least 50 years of age. For 2025, the catch-up provision provided participants aged 60-63 the ability to contribute an additional $11,250 and all other participants aged 50 or older the opportunity to contribute an additional $7,500, both on a pre-tax and/or designated Roth after-tax basis. Participants may also make rollover contributions (including Roth rollover contributions) into the Plan from other eligible retirement plans and eligible participants may also make in-Plan Roth conversions.</w:t>
      </w:r>
    </w:p>
    <w:p>
      <w:pPr>
        <w:spacing w:after="0" w:line="180"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20"/>
          <w:szCs w:val="20"/>
          <w:color w:val="auto"/>
        </w:rPr>
        <w:t>The Plan allows for automatic enrollment of and automatic deferral for newly hired employees who either do not elect a specific deferral percentage or do not opt out of the Plan. The automatic deferral percentage for participants is 6% of eligible pay, increasing each May 1st by 1% up to a maximum of 11%. The default investment vehicle is the T. Rowe Price Retirement Trust option that most closely aligns with the employee’s expected year of retirement at age 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29" w:name="page30"/>
    <w:bookmarkEnd w:id="29"/>
    <w:p>
      <w:pPr>
        <w:ind w:right="100"/>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Employer Matching Contributions </w:t>
      </w:r>
      <w:r>
        <w:rPr>
          <w:rFonts w:ascii="Times New Roman" w:cs="Times New Roman" w:eastAsia="Times New Roman" w:hAnsi="Times New Roman"/>
          <w:sz w:val="20"/>
          <w:szCs w:val="20"/>
          <w:color w:val="auto"/>
        </w:rPr>
        <w:t>— Each pay period, the Employer makes matching contributions to the Plan for all participants equal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50% of each participant’s contribution, up to the first 6% of eligible pay, and an additional 0.2% for each 1% incremental increase to each participant’s contribution over 6%, up to 11% of eligible pay. Employer matching contributions can be made in Sempra common stock, cash or any combination thereof at the discretion of the Plan Sponsor. Employer matching contributions made in cash are subsequently invested into any of the Plan’s designated investments according to each participant’s investment election. Employer matching contributions made in Sempra common stock can be transferred, all or in part, into any of the Plan’s other designated investments at the election of the participant.</w:t>
      </w:r>
    </w:p>
    <w:p>
      <w:pPr>
        <w:spacing w:after="0" w:line="173"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Participant Accounts </w:t>
      </w:r>
      <w:r>
        <w:rPr>
          <w:rFonts w:ascii="Times New Roman" w:cs="Times New Roman" w:eastAsia="Times New Roman" w:hAnsi="Times New Roman"/>
          <w:sz w:val="20"/>
          <w:szCs w:val="20"/>
          <w:color w:val="auto"/>
        </w:rPr>
        <w:t>— A separate account is established and maintained in the name of each participant. Each participant’s account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reflects the participant’s contributions, Employer matching contributions, the earnings and losses attributed to each investment, benefit distributions, and certain administrative expenses as described in Note 2. Participants are allocated a share of each fund’s investment earnings and losses, less investment fees, on a daily basis, based on their account balance.</w:t>
      </w:r>
    </w:p>
    <w:p>
      <w:pPr>
        <w:spacing w:after="0" w:line="178"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0"/>
          <w:szCs w:val="20"/>
          <w:b w:val="1"/>
          <w:bCs w:val="1"/>
          <w:color w:val="auto"/>
        </w:rPr>
        <w:t xml:space="preserve">Vesting </w:t>
      </w:r>
      <w:r>
        <w:rPr>
          <w:rFonts w:ascii="Times New Roman" w:cs="Times New Roman" w:eastAsia="Times New Roman" w:hAnsi="Times New Roman"/>
          <w:sz w:val="20"/>
          <w:szCs w:val="20"/>
          <w:color w:val="auto"/>
        </w:rPr>
        <w:t>— Participant contributions are fully vested at all times. Vesting of Employer matching contributions in a participant’s account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occurs upon the earliest of the date: (a) the participant is credited with one year of vesting service; (b) the participant reaches the normal retirement age, which is the first day of the calendar month following the month of their 65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birthday; or (c) of the participant’s death while an employee of the Company. Additionally, Employer matching contributions in a participant’s account become fully vested upon the termination or discontinuation of the Plan.</w:t>
      </w:r>
    </w:p>
    <w:p>
      <w:pPr>
        <w:spacing w:after="0" w:line="20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Investment Options </w:t>
      </w:r>
      <w:r>
        <w:rPr>
          <w:rFonts w:ascii="Times New Roman" w:cs="Times New Roman" w:eastAsia="Times New Roman" w:hAnsi="Times New Roman"/>
          <w:sz w:val="20"/>
          <w:szCs w:val="20"/>
          <w:color w:val="auto"/>
        </w:rPr>
        <w:t>— All investments are held in the Master Trust (see Note 4). Employees elect to have their contributions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Employer matching contributions made in cash invested in increments of 1% in various investment options. Available investment options as of December 31, 2025 included:</w:t>
      </w:r>
    </w:p>
    <w:p>
      <w:pPr>
        <w:spacing w:after="0" w:line="166" w:lineRule="exact"/>
        <w:rPr>
          <w:sz w:val="20"/>
          <w:szCs w:val="20"/>
          <w:color w:val="auto"/>
        </w:rPr>
      </w:pPr>
    </w:p>
    <w:p>
      <w:pPr>
        <w:ind w:left="620" w:hanging="304"/>
        <w:spacing w:after="0"/>
        <w:tabs>
          <w:tab w:leader="none" w:pos="620" w:val="left"/>
        </w:tabs>
        <w:numPr>
          <w:ilvl w:val="0"/>
          <w:numId w:val="12"/>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Sempra common stock through the Sempra Stock Fund;</w:t>
      </w:r>
    </w:p>
    <w:p>
      <w:pPr>
        <w:spacing w:after="0" w:line="229" w:lineRule="exact"/>
        <w:rPr>
          <w:rFonts w:ascii="Times New Roman" w:cs="Times New Roman" w:eastAsia="Times New Roman" w:hAnsi="Times New Roman"/>
          <w:sz w:val="20"/>
          <w:szCs w:val="20"/>
          <w:b w:val="1"/>
          <w:bCs w:val="1"/>
          <w:i w:val="1"/>
          <w:iCs w:val="1"/>
          <w:color w:val="auto"/>
        </w:rPr>
      </w:pPr>
    </w:p>
    <w:p>
      <w:pPr>
        <w:ind w:left="640" w:right="340" w:hanging="324"/>
        <w:spacing w:after="0" w:line="269" w:lineRule="auto"/>
        <w:tabs>
          <w:tab w:leader="none" w:pos="62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Mutual funds and common/collective trusts including those offered by TRP, Pacific Investment Management Company LLC, State Street, and The Vanguard Group, Inc.;</w:t>
      </w:r>
    </w:p>
    <w:p>
      <w:pPr>
        <w:spacing w:after="0" w:line="172" w:lineRule="exact"/>
        <w:rPr>
          <w:rFonts w:ascii="Times New Roman" w:cs="Times New Roman" w:eastAsia="Times New Roman" w:hAnsi="Times New Roman"/>
          <w:sz w:val="20"/>
          <w:szCs w:val="20"/>
          <w:color w:val="auto"/>
        </w:rPr>
      </w:pPr>
    </w:p>
    <w:p>
      <w:pPr>
        <w:ind w:left="620" w:hanging="304"/>
        <w:spacing w:after="0"/>
        <w:tabs>
          <w:tab w:leader="none" w:pos="6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 investment funds (see below) offered through TRP and Northern Trust Company; and</w:t>
      </w:r>
    </w:p>
    <w:p>
      <w:pPr>
        <w:spacing w:after="0" w:line="229" w:lineRule="exact"/>
        <w:rPr>
          <w:rFonts w:ascii="Times New Roman" w:cs="Times New Roman" w:eastAsia="Times New Roman" w:hAnsi="Times New Roman"/>
          <w:sz w:val="20"/>
          <w:szCs w:val="20"/>
          <w:color w:val="auto"/>
        </w:rPr>
      </w:pPr>
    </w:p>
    <w:p>
      <w:pPr>
        <w:jc w:val="both"/>
        <w:ind w:left="640" w:right="40" w:hanging="324"/>
        <w:spacing w:after="0" w:line="261" w:lineRule="auto"/>
        <w:tabs>
          <w:tab w:leader="none" w:pos="62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broad range of investments through an SDBA. The Plan allows participants to invest a maximum of 50% of the entire value of their Plan account in their SDBA. The SDBA allows participants to invest in any listed fund or security except Sempra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60" w:top="1409" w:right="359" w:bottom="1440" w:gutter="0" w:footer="0" w:header="0"/>
        </w:sectPr>
      </w:pPr>
    </w:p>
    <w:bookmarkStart w:id="30" w:name="page31"/>
    <w:bookmarkEnd w:id="30"/>
    <w:p>
      <w:pPr>
        <w:ind w:right="60"/>
        <w:spacing w:after="0" w:line="253" w:lineRule="auto"/>
        <w:rPr>
          <w:sz w:val="20"/>
          <w:szCs w:val="20"/>
          <w:color w:val="auto"/>
        </w:rPr>
      </w:pPr>
      <w:r>
        <w:rPr>
          <w:rFonts w:ascii="Times New Roman" w:cs="Times New Roman" w:eastAsia="Times New Roman" w:hAnsi="Times New Roman"/>
          <w:sz w:val="20"/>
          <w:szCs w:val="20"/>
          <w:color w:val="auto"/>
        </w:rPr>
        <w:t>Certain custom investment funds are offered to participants as investment options. These custom funds are proprietary investments designed specifically for the Plan and similar employee benefit plans sponsored by Sempra and are invested in one or more underlying investments, which may include mutual funds and/or common/collective trusts. The Sempra P&amp;B Committee makes the decisions about selecting, monitoring and allocating assets between the investment managers and underlying investments within each custom investment fund. The custom investment funds and their underlying target investment allocations are described below. Actual allocations may periodically deviate from target allocations due to market conditions and other factors.</w:t>
      </w:r>
    </w:p>
    <w:p>
      <w:pPr>
        <w:spacing w:after="0" w:line="192" w:lineRule="exact"/>
        <w:rPr>
          <w:sz w:val="20"/>
          <w:szCs w:val="20"/>
          <w:color w:val="auto"/>
        </w:rPr>
      </w:pPr>
    </w:p>
    <w:p>
      <w:pPr>
        <w:ind w:left="640" w:right="40" w:hanging="324"/>
        <w:spacing w:after="0" w:line="269" w:lineRule="auto"/>
        <w:tabs>
          <w:tab w:leader="none" w:pos="62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International Equity Fund is a multi-manager structure with target allocations at December 31, 2025 and December 31, 2024 as follows:</w:t>
      </w:r>
    </w:p>
    <w:p>
      <w:pPr>
        <w:spacing w:after="0" w:line="244"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6000" w:type="dxa"/>
            <w:vAlign w:val="bottom"/>
          </w:tcPr>
          <w:p>
            <w:pPr>
              <w:spacing w:after="0"/>
              <w:rPr>
                <w:sz w:val="19"/>
                <w:szCs w:val="19"/>
                <w:color w:val="auto"/>
              </w:rPr>
            </w:pPr>
          </w:p>
        </w:tc>
        <w:tc>
          <w:tcPr>
            <w:tcW w:w="3680" w:type="dxa"/>
            <w:vAlign w:val="bottom"/>
            <w:gridSpan w:val="3"/>
          </w:tcPr>
          <w:p>
            <w:pPr>
              <w:ind w:left="1000"/>
              <w:spacing w:after="0"/>
              <w:rPr>
                <w:sz w:val="20"/>
                <w:szCs w:val="20"/>
                <w:color w:val="auto"/>
              </w:rPr>
            </w:pPr>
            <w:r>
              <w:rPr>
                <w:rFonts w:ascii="Arial" w:cs="Arial" w:eastAsia="Arial" w:hAnsi="Arial"/>
                <w:sz w:val="18"/>
                <w:szCs w:val="18"/>
                <w:b w:val="1"/>
                <w:bCs w:val="1"/>
                <w:color w:val="auto"/>
              </w:rPr>
              <w:t>Target Allocation %</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19"/>
                <w:szCs w:val="19"/>
                <w:color w:val="auto"/>
              </w:rPr>
            </w:pPr>
          </w:p>
        </w:tc>
        <w:tc>
          <w:tcPr>
            <w:tcW w:w="1980" w:type="dxa"/>
            <w:vAlign w:val="bottom"/>
            <w:gridSpan w:val="2"/>
          </w:tcPr>
          <w:p>
            <w:pPr>
              <w:ind w:left="260"/>
              <w:spacing w:after="0"/>
              <w:rPr>
                <w:sz w:val="20"/>
                <w:szCs w:val="20"/>
                <w:color w:val="auto"/>
              </w:rPr>
            </w:pPr>
            <w:r>
              <w:rPr>
                <w:rFonts w:ascii="Arial" w:cs="Arial" w:eastAsia="Arial" w:hAnsi="Arial"/>
                <w:sz w:val="18"/>
                <w:szCs w:val="18"/>
                <w:b w:val="1"/>
                <w:bCs w:val="1"/>
                <w:color w:val="auto"/>
              </w:rPr>
              <w:t>December 31,</w:t>
            </w:r>
          </w:p>
        </w:tc>
        <w:tc>
          <w:tcPr>
            <w:tcW w:w="1700" w:type="dxa"/>
            <w:vAlign w:val="bottom"/>
          </w:tcPr>
          <w:p>
            <w:pPr>
              <w:ind w:left="2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6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Schroder International Equity Trust</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2025</w:t>
            </w:r>
          </w:p>
        </w:tc>
        <w:tc>
          <w:tcPr>
            <w:tcW w:w="30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2024</w:t>
            </w:r>
          </w:p>
        </w:tc>
        <w:tc>
          <w:tcPr>
            <w:tcW w:w="0" w:type="dxa"/>
            <w:vAlign w:val="bottom"/>
          </w:tcPr>
          <w:p>
            <w:pPr>
              <w:spacing w:after="0"/>
              <w:rPr>
                <w:sz w:val="1"/>
                <w:szCs w:val="1"/>
                <w:color w:val="auto"/>
              </w:rPr>
            </w:pPr>
          </w:p>
        </w:tc>
      </w:tr>
      <w:tr>
        <w:trPr>
          <w:trHeight w:val="241"/>
        </w:trPr>
        <w:tc>
          <w:tcPr>
            <w:tcW w:w="6000" w:type="dxa"/>
            <w:vAlign w:val="bottom"/>
            <w:vMerge w:val="continue"/>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57.5%</w:t>
            </w:r>
          </w:p>
        </w:tc>
        <w:tc>
          <w:tcPr>
            <w:tcW w:w="3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58.7%</w:t>
            </w:r>
          </w:p>
        </w:tc>
        <w:tc>
          <w:tcPr>
            <w:tcW w:w="0" w:type="dxa"/>
            <w:vAlign w:val="bottom"/>
          </w:tcPr>
          <w:p>
            <w:pPr>
              <w:spacing w:after="0"/>
              <w:rPr>
                <w:sz w:val="1"/>
                <w:szCs w:val="1"/>
                <w:color w:val="auto"/>
              </w:rPr>
            </w:pPr>
          </w:p>
        </w:tc>
      </w:tr>
      <w:tr>
        <w:trPr>
          <w:trHeight w:val="257"/>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auto"/>
              </w:rPr>
              <w:t>FIAM Select Emerging Market Equity Commingled Pool</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24.2%</w:t>
            </w:r>
          </w:p>
        </w:tc>
        <w:tc>
          <w:tcPr>
            <w:tcW w:w="30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23.2%</w:t>
            </w:r>
          </w:p>
        </w:tc>
        <w:tc>
          <w:tcPr>
            <w:tcW w:w="0" w:type="dxa"/>
            <w:vAlign w:val="bottom"/>
          </w:tcPr>
          <w:p>
            <w:pPr>
              <w:spacing w:after="0"/>
              <w:rPr>
                <w:sz w:val="1"/>
                <w:szCs w:val="1"/>
                <w:color w:val="auto"/>
              </w:rPr>
            </w:pPr>
          </w:p>
        </w:tc>
      </w:tr>
      <w:tr>
        <w:trPr>
          <w:trHeight w:val="257"/>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auto"/>
              </w:rPr>
              <w:t>FIAM Select International Small Cap Commingled Pool</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13.3%</w:t>
            </w:r>
          </w:p>
        </w:tc>
        <w:tc>
          <w:tcPr>
            <w:tcW w:w="30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13.1%</w:t>
            </w:r>
          </w:p>
        </w:tc>
        <w:tc>
          <w:tcPr>
            <w:tcW w:w="0" w:type="dxa"/>
            <w:vAlign w:val="bottom"/>
          </w:tcPr>
          <w:p>
            <w:pPr>
              <w:spacing w:after="0"/>
              <w:rPr>
                <w:sz w:val="1"/>
                <w:szCs w:val="1"/>
                <w:color w:val="auto"/>
              </w:rPr>
            </w:pPr>
          </w:p>
        </w:tc>
      </w:tr>
      <w:tr>
        <w:trPr>
          <w:trHeight w:val="198"/>
        </w:trPr>
        <w:tc>
          <w:tcPr>
            <w:tcW w:w="6000" w:type="dxa"/>
            <w:vAlign w:val="bottom"/>
          </w:tcPr>
          <w:p>
            <w:pPr>
              <w:spacing w:after="0" w:line="198" w:lineRule="exact"/>
              <w:rPr>
                <w:sz w:val="20"/>
                <w:szCs w:val="20"/>
                <w:color w:val="auto"/>
              </w:rPr>
            </w:pPr>
            <w:r>
              <w:rPr>
                <w:rFonts w:ascii="Times New Roman" w:cs="Times New Roman" w:eastAsia="Times New Roman" w:hAnsi="Times New Roman"/>
                <w:sz w:val="20"/>
                <w:szCs w:val="20"/>
                <w:color w:val="auto"/>
              </w:rPr>
              <w:t>State Street All Cap Equity ex-U.S. Index Non-Lending</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5.0%</w:t>
            </w:r>
          </w:p>
        </w:tc>
        <w:tc>
          <w:tcPr>
            <w:tcW w:w="300" w:type="dxa"/>
            <w:vAlign w:val="bottom"/>
          </w:tcPr>
          <w:p>
            <w:pPr>
              <w:spacing w:after="0"/>
              <w:rPr>
                <w:sz w:val="17"/>
                <w:szCs w:val="17"/>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258"/>
        </w:trPr>
        <w:tc>
          <w:tcPr>
            <w:tcW w:w="6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Fund</w:t>
            </w:r>
          </w:p>
        </w:tc>
        <w:tc>
          <w:tcPr>
            <w:tcW w:w="168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7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640" w:right="500" w:hanging="324"/>
        <w:spacing w:after="0" w:line="268" w:lineRule="auto"/>
        <w:tabs>
          <w:tab w:leader="none" w:pos="62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Diversified Fixed Income Fund is a multi-manager structure that includes a 95% target allocation in the MetWest Total Return Bond Fund and a 5% target allocation in the Vanguard Total Bond Market Index at both December 31, 2025 and December 31, 2024.</w:t>
      </w:r>
    </w:p>
    <w:p>
      <w:pPr>
        <w:spacing w:after="0" w:line="161" w:lineRule="exact"/>
        <w:rPr>
          <w:rFonts w:ascii="Times New Roman" w:cs="Times New Roman" w:eastAsia="Times New Roman" w:hAnsi="Times New Roman"/>
          <w:sz w:val="20"/>
          <w:szCs w:val="20"/>
          <w:color w:val="auto"/>
        </w:rPr>
      </w:pPr>
    </w:p>
    <w:p>
      <w:pPr>
        <w:ind w:left="640" w:right="1040" w:hanging="324"/>
        <w:spacing w:after="0" w:line="283" w:lineRule="auto"/>
        <w:tabs>
          <w:tab w:leader="none" w:pos="62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Small/Mid Cap Equity Fund is a multi-manager structure with target allocations at December 31, 2025 and December 31, 2024 as follows:</w:t>
      </w:r>
    </w:p>
    <w:p>
      <w:pPr>
        <w:spacing w:after="0" w:line="218"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6000" w:type="dxa"/>
            <w:vAlign w:val="bottom"/>
          </w:tcPr>
          <w:p>
            <w:pPr>
              <w:spacing w:after="0"/>
              <w:rPr>
                <w:sz w:val="19"/>
                <w:szCs w:val="19"/>
                <w:color w:val="auto"/>
              </w:rPr>
            </w:pPr>
          </w:p>
        </w:tc>
        <w:tc>
          <w:tcPr>
            <w:tcW w:w="3680" w:type="dxa"/>
            <w:vAlign w:val="bottom"/>
            <w:gridSpan w:val="3"/>
          </w:tcPr>
          <w:p>
            <w:pPr>
              <w:ind w:left="1000"/>
              <w:spacing w:after="0"/>
              <w:rPr>
                <w:sz w:val="20"/>
                <w:szCs w:val="20"/>
                <w:color w:val="auto"/>
              </w:rPr>
            </w:pPr>
            <w:r>
              <w:rPr>
                <w:rFonts w:ascii="Arial" w:cs="Arial" w:eastAsia="Arial" w:hAnsi="Arial"/>
                <w:sz w:val="18"/>
                <w:szCs w:val="18"/>
                <w:b w:val="1"/>
                <w:bCs w:val="1"/>
                <w:color w:val="auto"/>
              </w:rPr>
              <w:t>Target Allocation %</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19"/>
                <w:szCs w:val="19"/>
                <w:color w:val="auto"/>
              </w:rPr>
            </w:pPr>
          </w:p>
        </w:tc>
        <w:tc>
          <w:tcPr>
            <w:tcW w:w="1980" w:type="dxa"/>
            <w:vAlign w:val="bottom"/>
            <w:gridSpan w:val="2"/>
          </w:tcPr>
          <w:p>
            <w:pPr>
              <w:ind w:left="260"/>
              <w:spacing w:after="0"/>
              <w:rPr>
                <w:sz w:val="20"/>
                <w:szCs w:val="20"/>
                <w:color w:val="auto"/>
              </w:rPr>
            </w:pPr>
            <w:r>
              <w:rPr>
                <w:rFonts w:ascii="Arial" w:cs="Arial" w:eastAsia="Arial" w:hAnsi="Arial"/>
                <w:sz w:val="18"/>
                <w:szCs w:val="18"/>
                <w:b w:val="1"/>
                <w:bCs w:val="1"/>
                <w:color w:val="auto"/>
              </w:rPr>
              <w:t>December 31,</w:t>
            </w:r>
          </w:p>
        </w:tc>
        <w:tc>
          <w:tcPr>
            <w:tcW w:w="1700" w:type="dxa"/>
            <w:vAlign w:val="bottom"/>
          </w:tcPr>
          <w:p>
            <w:pPr>
              <w:ind w:left="2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6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 Rowe Price Institutional Small-Cap Stock Fund</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2025</w:t>
            </w:r>
          </w:p>
        </w:tc>
        <w:tc>
          <w:tcPr>
            <w:tcW w:w="30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2024</w:t>
            </w:r>
          </w:p>
        </w:tc>
        <w:tc>
          <w:tcPr>
            <w:tcW w:w="0" w:type="dxa"/>
            <w:vAlign w:val="bottom"/>
          </w:tcPr>
          <w:p>
            <w:pPr>
              <w:spacing w:after="0"/>
              <w:rPr>
                <w:sz w:val="1"/>
                <w:szCs w:val="1"/>
                <w:color w:val="auto"/>
              </w:rPr>
            </w:pPr>
          </w:p>
        </w:tc>
      </w:tr>
      <w:tr>
        <w:trPr>
          <w:trHeight w:val="241"/>
        </w:trPr>
        <w:tc>
          <w:tcPr>
            <w:tcW w:w="6000" w:type="dxa"/>
            <w:vAlign w:val="bottom"/>
            <w:vMerge w:val="continue"/>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32.0%</w:t>
            </w:r>
          </w:p>
        </w:tc>
        <w:tc>
          <w:tcPr>
            <w:tcW w:w="3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32.0%</w:t>
            </w:r>
          </w:p>
        </w:tc>
        <w:tc>
          <w:tcPr>
            <w:tcW w:w="0" w:type="dxa"/>
            <w:vAlign w:val="bottom"/>
          </w:tcPr>
          <w:p>
            <w:pPr>
              <w:spacing w:after="0"/>
              <w:rPr>
                <w:sz w:val="1"/>
                <w:szCs w:val="1"/>
                <w:color w:val="auto"/>
              </w:rPr>
            </w:pPr>
          </w:p>
        </w:tc>
      </w:tr>
      <w:tr>
        <w:trPr>
          <w:trHeight w:val="203"/>
        </w:trPr>
        <w:tc>
          <w:tcPr>
            <w:tcW w:w="600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AllianceBernstein U.S. Small &amp; Mid Cap Value Collective</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31.5%</w:t>
            </w:r>
          </w:p>
        </w:tc>
        <w:tc>
          <w:tcPr>
            <w:tcW w:w="300" w:type="dxa"/>
            <w:vAlign w:val="bottom"/>
          </w:tcPr>
          <w:p>
            <w:pPr>
              <w:spacing w:after="0"/>
              <w:rPr>
                <w:sz w:val="17"/>
                <w:szCs w:val="17"/>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31.5%</w:t>
            </w:r>
          </w:p>
        </w:tc>
        <w:tc>
          <w:tcPr>
            <w:tcW w:w="0" w:type="dxa"/>
            <w:vAlign w:val="bottom"/>
          </w:tcPr>
          <w:p>
            <w:pPr>
              <w:spacing w:after="0"/>
              <w:rPr>
                <w:sz w:val="1"/>
                <w:szCs w:val="1"/>
                <w:color w:val="auto"/>
              </w:rPr>
            </w:pPr>
          </w:p>
        </w:tc>
      </w:tr>
      <w:tr>
        <w:trPr>
          <w:trHeight w:val="243"/>
        </w:trPr>
        <w:tc>
          <w:tcPr>
            <w:tcW w:w="6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Investment Trust</w:t>
            </w:r>
          </w:p>
        </w:tc>
        <w:tc>
          <w:tcPr>
            <w:tcW w:w="168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auto"/>
              </w:rPr>
              <w:t>Loomis Sayles Small/Mid Cap Growth Trust</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31.5%</w:t>
            </w:r>
          </w:p>
        </w:tc>
        <w:tc>
          <w:tcPr>
            <w:tcW w:w="30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31.5%</w:t>
            </w:r>
          </w:p>
        </w:tc>
        <w:tc>
          <w:tcPr>
            <w:tcW w:w="0" w:type="dxa"/>
            <w:vAlign w:val="bottom"/>
          </w:tcPr>
          <w:p>
            <w:pPr>
              <w:spacing w:after="0"/>
              <w:rPr>
                <w:sz w:val="1"/>
                <w:szCs w:val="1"/>
                <w:color w:val="auto"/>
              </w:rPr>
            </w:pPr>
          </w:p>
        </w:tc>
      </w:tr>
      <w:tr>
        <w:trPr>
          <w:trHeight w:val="203"/>
        </w:trPr>
        <w:tc>
          <w:tcPr>
            <w:tcW w:w="600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State Street Russell Small/Mid Cap Index Non-Lending</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5.0%</w:t>
            </w:r>
          </w:p>
        </w:tc>
        <w:tc>
          <w:tcPr>
            <w:tcW w:w="300" w:type="dxa"/>
            <w:vAlign w:val="bottom"/>
          </w:tcPr>
          <w:p>
            <w:pPr>
              <w:spacing w:after="0"/>
              <w:rPr>
                <w:sz w:val="17"/>
                <w:szCs w:val="17"/>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258"/>
        </w:trPr>
        <w:tc>
          <w:tcPr>
            <w:tcW w:w="6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Series Fund</w:t>
            </w:r>
          </w:p>
        </w:tc>
        <w:tc>
          <w:tcPr>
            <w:tcW w:w="168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7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ind w:left="640" w:hanging="324"/>
        <w:spacing w:after="0" w:line="283" w:lineRule="auto"/>
        <w:tabs>
          <w:tab w:leader="none" w:pos="62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Large Cap Equity Fund invests all underlying assets in the Vanguard Institutional 500 Index Trust, a common/collective trust that invests in the Vanguard 500 Index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60" w:top="1413" w:right="359" w:bottom="1440" w:gutter="0" w:footer="0" w:header="0"/>
        </w:sectPr>
      </w:pPr>
    </w:p>
    <w:bookmarkStart w:id="31" w:name="page32"/>
    <w:bookmarkEnd w:id="31"/>
    <w:p>
      <w:pPr>
        <w:ind w:right="100"/>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Payment of Dividends </w:t>
      </w:r>
      <w:r>
        <w:rPr>
          <w:rFonts w:ascii="Times New Roman" w:cs="Times New Roman" w:eastAsia="Times New Roman" w:hAnsi="Times New Roman"/>
          <w:sz w:val="20"/>
          <w:szCs w:val="20"/>
          <w:color w:val="auto"/>
        </w:rPr>
        <w:t>— Active participants may elect at any time either to receive distributions of cash dividends on the shares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Sempra common stock held in their account through the Sempra Stock Fund or to reinvest those dividends in the Sempra Stock Fund. Terminated participants that elect to leave their account balance in the Plan and receive cash dividends from Sempra common stock held in their account will receive such dividends in cash or have them reinvested in Sempra common stock held through the Sempra Stock Fund, based on their election on the date of termination of employment with the Company, retirement or permanent disability.</w:t>
      </w:r>
    </w:p>
    <w:p>
      <w:pPr>
        <w:spacing w:after="0" w:line="18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Payment of Benefits </w:t>
      </w:r>
      <w:r>
        <w:rPr>
          <w:rFonts w:ascii="Times New Roman" w:cs="Times New Roman" w:eastAsia="Times New Roman" w:hAnsi="Times New Roman"/>
          <w:sz w:val="20"/>
          <w:szCs w:val="20"/>
          <w:color w:val="auto"/>
        </w:rPr>
        <w:t>— Upon termination of employment with the Company, including retirement, permanent disability, or death,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participants or the named beneficiary(ies) (in the event of death) with an account balance greater than $5,000 are given the option to have their vested account balance remain in the Plan (subject to the required minimum distribution rules under U.S. federal tax laws), roll the entire amount to another eligible retirement plan, receive a partial withdrawal, or receive their vested account balance in a single lump-sum payment in cash or in Sempra common stock for any portion of their account held in Sempra common stock. Plan participants, in addition to the benefit payment options above, may elect to have all or a portion of their Plan benefits paid in monthly, quarterly, semi-annual or annual installments over a period of years not to exceed their life expectancy based on the appropriate tables in the IRS regulations.</w:t>
      </w:r>
    </w:p>
    <w:p>
      <w:pPr>
        <w:spacing w:after="0" w:line="19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The accounts of terminated participants with account balances from $1,001 to $5,000 that do not elect a lump-sum payment or a rollover to an eligible retirement plan will be automatically rolled into an individual retirement account. Terminated participants with account balances of $1,000 or less automatically receive a lump-sum cash payment, with the ability to elect to rollover the balance to another eligible retirement plan if the account balance is greater than $200.</w:t>
      </w:r>
    </w:p>
    <w:p>
      <w:pPr>
        <w:spacing w:after="0" w:line="168"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Plan Termination </w:t>
      </w:r>
      <w:r>
        <w:rPr>
          <w:rFonts w:ascii="Times New Roman" w:cs="Times New Roman" w:eastAsia="Times New Roman" w:hAnsi="Times New Roman"/>
          <w:sz w:val="20"/>
          <w:szCs w:val="20"/>
          <w:color w:val="auto"/>
        </w:rPr>
        <w:t>— Although it has not expressed any intent to do so, the Company has the right under the Plan to discontinue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contributions and to terminate the Plan at any time, subject to the provisions of ERISA. In the event of termination, participants would become 100% vested in their Employer contributions and the net assets of the Plan would be distributed to the participants.</w:t>
      </w:r>
    </w:p>
    <w:p>
      <w:pPr>
        <w:spacing w:after="0" w:line="175" w:lineRule="exact"/>
        <w:rPr>
          <w:sz w:val="20"/>
          <w:szCs w:val="20"/>
          <w:color w:val="auto"/>
        </w:rPr>
      </w:pPr>
    </w:p>
    <w:p>
      <w:pPr>
        <w:ind w:right="500"/>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Related Party and Exempt Party-in-Interest Transactions </w:t>
      </w:r>
      <w:r>
        <w:rPr>
          <w:rFonts w:ascii="Times New Roman" w:cs="Times New Roman" w:eastAsia="Times New Roman" w:hAnsi="Times New Roman"/>
          <w:sz w:val="20"/>
          <w:szCs w:val="20"/>
          <w:color w:val="auto"/>
        </w:rPr>
        <w:t>— The Plan’s investment held in the Master Trust includes shares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certain investment funds managed by TRP. Additionally, the Plan issues loans to participants (reported as notes receivable from participants), which are secured by the balances in the participants’ accounts. These transactions qualify as exempt party-in-interest transactions.</w:t>
      </w:r>
    </w:p>
    <w:p>
      <w:pPr>
        <w:spacing w:after="0" w:line="1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Additionally, at December 31, 2025 and 2024, the Plan held, through the Master Trust, 4,244,882 shares and 4,912,142 shares, respectively, of Sempra common stock with a cost basis of $200,122,000 and $221,330,000, respectively. For shares of Sempra common stock held during the year ended December 31, 2025, the Plan recorded related dividend income of $11,782,000, which is included in Net investment gain – Plan interest in Master Trust in the Statement of Changes in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09" w:right="339" w:bottom="1440" w:gutter="0" w:footer="0" w:header="0"/>
        </w:sectPr>
      </w:pPr>
    </w:p>
    <w:bookmarkStart w:id="32" w:name="page33"/>
    <w:bookmarkEnd w:id="32"/>
    <w:p>
      <w:pPr>
        <w:spacing w:after="0" w:line="253" w:lineRule="auto"/>
        <w:rPr>
          <w:sz w:val="20"/>
          <w:szCs w:val="20"/>
          <w:color w:val="auto"/>
        </w:rPr>
      </w:pPr>
      <w:r>
        <w:rPr>
          <w:rFonts w:ascii="Times New Roman" w:cs="Times New Roman" w:eastAsia="Times New Roman" w:hAnsi="Times New Roman"/>
          <w:sz w:val="20"/>
          <w:szCs w:val="20"/>
          <w:color w:val="auto"/>
        </w:rPr>
        <w:t>Newport is the independent fiduciary and investment manager of the Sempra Stock Fund. Newport has sole fiduciary responsibility under the Plan for deciding, among other things, whether to restrict investment in the Sempra Stock Fund or to sell or otherwise dispose of all or any portion of the stock held in the Sempra Stock Fund. Under the terms of the Plan, Newport will continue to maintain the Sempra Stock Fund as a Plan investment option consistent with the terms of the Plan unless otherwise prohibited by ERISA. In the event Newport determines to sell or dispose of stock in the Sempra Stock Fund, Newport would designate an alternative investment fund under the Plan for the temporary investment of any proceeds from the sale or other disposition of Sempra common stock pending further investment directions from Plan participants.</w:t>
      </w:r>
    </w:p>
    <w:p>
      <w:pPr>
        <w:spacing w:after="0" w:line="179" w:lineRule="exact"/>
        <w:rPr>
          <w:sz w:val="20"/>
          <w:szCs w:val="20"/>
          <w:color w:val="auto"/>
        </w:rPr>
      </w:pPr>
    </w:p>
    <w:p>
      <w:pPr>
        <w:ind w:right="440"/>
        <w:spacing w:after="0" w:line="283" w:lineRule="auto"/>
        <w:rPr>
          <w:sz w:val="20"/>
          <w:szCs w:val="20"/>
          <w:color w:val="auto"/>
        </w:rPr>
      </w:pPr>
      <w:r>
        <w:rPr>
          <w:rFonts w:ascii="Times New Roman" w:cs="Times New Roman" w:eastAsia="Times New Roman" w:hAnsi="Times New Roman"/>
          <w:sz w:val="20"/>
          <w:szCs w:val="20"/>
          <w:color w:val="auto"/>
        </w:rPr>
        <w:t>Certain administrative functions of the Plan are performed by officers or employees of Sempra and the Company. No such officer or employee receives compensation from the Plan.</w:t>
      </w:r>
    </w:p>
    <w:p>
      <w:pPr>
        <w:spacing w:after="0" w:line="14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Notes Receivable from Participants </w:t>
      </w:r>
      <w:r>
        <w:rPr>
          <w:rFonts w:ascii="Times New Roman" w:cs="Times New Roman" w:eastAsia="Times New Roman" w:hAnsi="Times New Roman"/>
          <w:sz w:val="20"/>
          <w:szCs w:val="20"/>
          <w:color w:val="auto"/>
        </w:rPr>
        <w:t>— The Plan permits participants to borrow against the balances in their individual accounts.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is limited to borrowing a maximum of 50% of the value of his/her vested account balance, or $50,000 less the participant’s highest outstanding loan balance in the preceding 12 months, whichever is less. The minimum amount that can be borrowed is $1,000. The fee charged for processing a loan is paid by the participant who takes out the loan and the participant also is charged an annual maintenance fee for each year a loan is outstanding. Participants may have up to two loans outstanding, both of which can be primary residence loans. Primary residence loans are amortized over a maximum repayment period of 15 years, and other loans have a maximum repayment period of five years. All participant loans bear interest at 1% above the prime rate at the time the loan was made. At December 31, 2025 and 2024, interest rates on participant loans ranged from 4.25% to 9.50% for both years, and participant loans outstanding at December 31, 2025 had maturity dates through January 2041.</w:t>
      </w:r>
    </w:p>
    <w:p>
      <w:pPr>
        <w:spacing w:after="0" w:line="189"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Forfeited Accounts </w:t>
      </w:r>
      <w:r>
        <w:rPr>
          <w:rFonts w:ascii="Times New Roman" w:cs="Times New Roman" w:eastAsia="Times New Roman" w:hAnsi="Times New Roman"/>
          <w:sz w:val="19"/>
          <w:szCs w:val="19"/>
          <w:color w:val="auto"/>
        </w:rPr>
        <w:t>— If a participant’s employment terminates prior to being fully vested in their Employer contributions, the non-vested portion of their account is forfeited on the earlier of the date the participant takes a complete distribution of their vested account balance or has five consecutive one-year breaks in service. Participants’ forfeited accounts are transferred to a forfeiture account, which is maintained for the benefit of the Plan as a whole and is not attributable to any given participant. The balance of the forfeiture account is used to reduce future Employer contributions. At December 31, 2025 and 2024, the balances of forfeited non-vested accounts totaled $6,000 and $9,000, respectively. In 2025, Employer contributions were reduced by $25,000 from forfeited accounts.</w:t>
      </w:r>
    </w:p>
    <w:p>
      <w:pPr>
        <w:spacing w:after="0" w:line="159"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Withdrawals </w:t>
      </w:r>
      <w:r>
        <w:rPr>
          <w:rFonts w:ascii="Times New Roman" w:cs="Times New Roman" w:eastAsia="Times New Roman" w:hAnsi="Times New Roman"/>
          <w:sz w:val="20"/>
          <w:szCs w:val="20"/>
          <w:color w:val="auto"/>
        </w:rPr>
        <w:t>— The Plan offers a dividend pass-through withdrawal option for cash dividends received on shares of Sempra common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held in participants’ accounts through the Sempra Stock Fund and the following in-service withdrawal options:</w:t>
      </w:r>
    </w:p>
    <w:p>
      <w:pPr>
        <w:spacing w:after="0" w:line="142" w:lineRule="exact"/>
        <w:rPr>
          <w:sz w:val="20"/>
          <w:szCs w:val="20"/>
          <w:color w:val="auto"/>
        </w:rPr>
      </w:pPr>
    </w:p>
    <w:p>
      <w:pPr>
        <w:ind w:left="620" w:hanging="304"/>
        <w:spacing w:after="0"/>
        <w:tabs>
          <w:tab w:leader="none" w:pos="6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After-tax and rollover accounts;</w:t>
      </w:r>
    </w:p>
    <w:p>
      <w:pPr>
        <w:spacing w:after="0" w:line="229" w:lineRule="exact"/>
        <w:rPr>
          <w:rFonts w:ascii="Times New Roman" w:cs="Times New Roman" w:eastAsia="Times New Roman" w:hAnsi="Times New Roman"/>
          <w:sz w:val="20"/>
          <w:szCs w:val="20"/>
          <w:color w:val="auto"/>
        </w:rPr>
      </w:pPr>
    </w:p>
    <w:p>
      <w:pPr>
        <w:ind w:left="620" w:hanging="304"/>
        <w:spacing w:after="0"/>
        <w:tabs>
          <w:tab w:leader="none" w:pos="6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Hardship withdrawals;</w:t>
      </w:r>
    </w:p>
    <w:p>
      <w:pPr>
        <w:spacing w:after="0" w:line="229" w:lineRule="exact"/>
        <w:rPr>
          <w:rFonts w:ascii="Times New Roman" w:cs="Times New Roman" w:eastAsia="Times New Roman" w:hAnsi="Times New Roman"/>
          <w:sz w:val="20"/>
          <w:szCs w:val="20"/>
          <w:color w:val="auto"/>
        </w:rPr>
      </w:pPr>
    </w:p>
    <w:p>
      <w:pPr>
        <w:ind w:left="620" w:hanging="304"/>
        <w:spacing w:after="0"/>
        <w:tabs>
          <w:tab w:leader="none" w:pos="6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Military service withdrawals;</w:t>
      </w:r>
    </w:p>
    <w:p>
      <w:pPr>
        <w:spacing w:after="0" w:line="215" w:lineRule="exact"/>
        <w:rPr>
          <w:rFonts w:ascii="Times New Roman" w:cs="Times New Roman" w:eastAsia="Times New Roman" w:hAnsi="Times New Roman"/>
          <w:sz w:val="20"/>
          <w:szCs w:val="20"/>
          <w:color w:val="auto"/>
        </w:rPr>
      </w:pPr>
    </w:p>
    <w:p>
      <w:pPr>
        <w:ind w:left="620" w:hanging="304"/>
        <w:spacing w:after="0"/>
        <w:tabs>
          <w:tab w:leader="none" w:pos="6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Disability withdrawals; and</w:t>
      </w:r>
    </w:p>
    <w:p>
      <w:pPr>
        <w:spacing w:after="0" w:line="229" w:lineRule="exact"/>
        <w:rPr>
          <w:rFonts w:ascii="Times New Roman" w:cs="Times New Roman" w:eastAsia="Times New Roman" w:hAnsi="Times New Roman"/>
          <w:sz w:val="20"/>
          <w:szCs w:val="20"/>
          <w:color w:val="auto"/>
        </w:rPr>
      </w:pPr>
    </w:p>
    <w:p>
      <w:pPr>
        <w:ind w:left="620" w:hanging="304"/>
        <w:spacing w:after="0"/>
        <w:tabs>
          <w:tab w:leader="none" w:pos="6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Withdrawals at any time on or after a participant attains age 59-1/2.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13" w:right="339" w:bottom="1440" w:gutter="0" w:footer="0" w:header="0"/>
        </w:sectPr>
      </w:pPr>
    </w:p>
    <w:bookmarkStart w:id="33" w:name="page34"/>
    <w:bookmarkEnd w:id="33"/>
    <w:p>
      <w:pPr>
        <w:ind w:left="332" w:hanging="332"/>
        <w:spacing w:after="0"/>
        <w:tabs>
          <w:tab w:leader="none" w:pos="332"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SUMMARY OF SIGNIFICANT ACCOUNTING POLICIES</w:t>
      </w:r>
    </w:p>
    <w:p>
      <w:pPr>
        <w:spacing w:after="0" w:line="229" w:lineRule="exact"/>
        <w:rPr>
          <w:rFonts w:ascii="Times New Roman" w:cs="Times New Roman" w:eastAsia="Times New Roman" w:hAnsi="Times New Roman"/>
          <w:sz w:val="20"/>
          <w:szCs w:val="20"/>
          <w:b w:val="1"/>
          <w:bCs w:val="1"/>
          <w:color w:val="auto"/>
        </w:rPr>
      </w:pPr>
    </w:p>
    <w:p>
      <w:pPr>
        <w:ind w:left="332"/>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Basis of Accounting </w:t>
      </w:r>
      <w:r>
        <w:rPr>
          <w:rFonts w:ascii="Times New Roman" w:cs="Times New Roman" w:eastAsia="Times New Roman" w:hAnsi="Times New Roman"/>
          <w:sz w:val="20"/>
          <w:szCs w:val="20"/>
          <w:color w:val="auto"/>
        </w:rPr>
        <w:t>— The accompanying financial statements have been prepared in accordance with U.S. GAAP.</w:t>
      </w:r>
    </w:p>
    <w:p>
      <w:pPr>
        <w:spacing w:after="0" w:line="215" w:lineRule="exact"/>
        <w:rPr>
          <w:rFonts w:ascii="Times New Roman" w:cs="Times New Roman" w:eastAsia="Times New Roman" w:hAnsi="Times New Roman"/>
          <w:sz w:val="20"/>
          <w:szCs w:val="20"/>
          <w:b w:val="1"/>
          <w:bCs w:val="1"/>
          <w:color w:val="auto"/>
        </w:rPr>
      </w:pPr>
    </w:p>
    <w:p>
      <w:pPr>
        <w:ind w:left="332" w:right="40"/>
        <w:spacing w:after="0" w:line="26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Use of Estimates </w:t>
      </w:r>
      <w:r>
        <w:rPr>
          <w:rFonts w:ascii="Times New Roman" w:cs="Times New Roman" w:eastAsia="Times New Roman" w:hAnsi="Times New Roman"/>
          <w:sz w:val="20"/>
          <w:szCs w:val="20"/>
          <w:color w:val="auto"/>
        </w:rPr>
        <w:t>— The preparation of financial statements in conformity with U.S. GAAP requires management to make estimates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assumptions that affect the reported amounts of assets and liabilities, and changes therein, and disclosure of contingent assets and liabilities at the date of the financial statements. Actual results could differ from those estimates.</w:t>
      </w:r>
    </w:p>
    <w:p>
      <w:pPr>
        <w:spacing w:after="0" w:line="175" w:lineRule="exact"/>
        <w:rPr>
          <w:rFonts w:ascii="Times New Roman" w:cs="Times New Roman" w:eastAsia="Times New Roman" w:hAnsi="Times New Roman"/>
          <w:sz w:val="20"/>
          <w:szCs w:val="20"/>
          <w:b w:val="1"/>
          <w:bCs w:val="1"/>
          <w:color w:val="auto"/>
        </w:rPr>
      </w:pPr>
    </w:p>
    <w:p>
      <w:pPr>
        <w:ind w:left="332" w:right="6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Risks and Uncertainties </w:t>
      </w:r>
      <w:r>
        <w:rPr>
          <w:rFonts w:ascii="Times New Roman" w:cs="Times New Roman" w:eastAsia="Times New Roman" w:hAnsi="Times New Roman"/>
          <w:sz w:val="20"/>
          <w:szCs w:val="20"/>
          <w:color w:val="auto"/>
        </w:rPr>
        <w:t>— As discussed in Notes 1 and 4, the Plan invests in various investment instruments in the Master Trust.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Investments, in general, are exposed to various risks and uncertainties, such as interest rate risk, credit risk, and market risk. Market risks include global events which could impact the value of investments, such as a pandemic or international conflict. Due to the level of risk associated with certain investments, it is reasonably possible that changes in the values of investments will occur in the near-term and that such changes could materially affect the value of the participants’ account balances and the amounts reported in the financial statements.</w:t>
      </w:r>
    </w:p>
    <w:p>
      <w:pPr>
        <w:spacing w:after="0" w:line="186" w:lineRule="exact"/>
        <w:rPr>
          <w:rFonts w:ascii="Times New Roman" w:cs="Times New Roman" w:eastAsia="Times New Roman" w:hAnsi="Times New Roman"/>
          <w:sz w:val="20"/>
          <w:szCs w:val="20"/>
          <w:b w:val="1"/>
          <w:bCs w:val="1"/>
          <w:color w:val="auto"/>
        </w:rPr>
      </w:pPr>
    </w:p>
    <w:p>
      <w:pPr>
        <w:ind w:left="332" w:right="60"/>
        <w:spacing w:after="0" w:line="26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Investment Valuation and Income/Loss Recognition </w:t>
      </w:r>
      <w:r>
        <w:rPr>
          <w:rFonts w:ascii="Times New Roman" w:cs="Times New Roman" w:eastAsia="Times New Roman" w:hAnsi="Times New Roman"/>
          <w:sz w:val="20"/>
          <w:szCs w:val="20"/>
          <w:color w:val="auto"/>
        </w:rPr>
        <w:t>— The Plan’s investment consists of an interest in the Master Trust. The Plan’s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interest in the Master Trust is presented at fair value, which has been determined based on the fair value of the underlying investments of the Master Trust. See Note 5 for discussion of fair value measurements.</w:t>
      </w:r>
    </w:p>
    <w:p>
      <w:pPr>
        <w:spacing w:after="0" w:line="165" w:lineRule="exact"/>
        <w:rPr>
          <w:rFonts w:ascii="Times New Roman" w:cs="Times New Roman" w:eastAsia="Times New Roman" w:hAnsi="Times New Roman"/>
          <w:sz w:val="20"/>
          <w:szCs w:val="20"/>
          <w:b w:val="1"/>
          <w:bCs w:val="1"/>
          <w:color w:val="auto"/>
        </w:rPr>
      </w:pPr>
    </w:p>
    <w:p>
      <w:pPr>
        <w:ind w:left="332"/>
        <w:spacing w:after="0" w:line="257"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Investment income related to the Plan’s interest in the Master Trust is presented in Net investment gain – Plan interest in Master Trust in the Statement of Changes in Net Assets Available for Benefits and consists of net appreciation (depreciation) in the fair value of investments and dividend income. Net appreciation (depreciation) includes realized gains and losses on investments sold during the year and unrealized gains and losses on investments held as of year-end. Purchases and sales of investments are recorded on a trade-date basis. Dividend income is recorded on the ex-dividend date.</w:t>
      </w:r>
    </w:p>
    <w:p>
      <w:pPr>
        <w:spacing w:after="0" w:line="168" w:lineRule="exact"/>
        <w:rPr>
          <w:rFonts w:ascii="Times New Roman" w:cs="Times New Roman" w:eastAsia="Times New Roman" w:hAnsi="Times New Roman"/>
          <w:sz w:val="20"/>
          <w:szCs w:val="20"/>
          <w:b w:val="1"/>
          <w:bCs w:val="1"/>
          <w:color w:val="auto"/>
        </w:rPr>
      </w:pPr>
    </w:p>
    <w:p>
      <w:pPr>
        <w:ind w:left="332" w:right="200"/>
        <w:spacing w:after="0" w:line="26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Concentrations of Investments </w:t>
      </w:r>
      <w:r>
        <w:rPr>
          <w:rFonts w:ascii="Times New Roman" w:cs="Times New Roman" w:eastAsia="Times New Roman" w:hAnsi="Times New Roman"/>
          <w:sz w:val="20"/>
          <w:szCs w:val="20"/>
          <w:color w:val="auto"/>
        </w:rPr>
        <w:t>— Included in the Plan’s investment held in the Master Trust at December 31, 2025 and 2024,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of Sempra common stock with a fair value of $374,781,000 and $430,893,000, respectively. This investment represents 17.04% and 20.54% of the Plan’s investment at December 31, 2025 and 2024, respectively. A significant decline in the market value of Sempra common stock would significantly affect the Plan’s net assets available for benefits.</w:t>
      </w:r>
    </w:p>
    <w:p>
      <w:pPr>
        <w:spacing w:after="0" w:line="181" w:lineRule="exact"/>
        <w:rPr>
          <w:rFonts w:ascii="Times New Roman" w:cs="Times New Roman" w:eastAsia="Times New Roman" w:hAnsi="Times New Roman"/>
          <w:sz w:val="20"/>
          <w:szCs w:val="20"/>
          <w:b w:val="1"/>
          <w:bCs w:val="1"/>
          <w:color w:val="auto"/>
        </w:rPr>
      </w:pPr>
    </w:p>
    <w:p>
      <w:pPr>
        <w:ind w:left="332" w:right="2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Additionally, the Master Trust has a significant concentration of investments in mutual funds and common/collective trusts offered by TRP and The Vanguard Group, Inc. at December 31, 2025 and 2024. A significant decline in the market value of these investments would significantly affect the Plan’s net assets available for benefits. The Plan’s share of these investments held in the Master Trust are as follows (dollars in thousands):</w:t>
      </w:r>
    </w:p>
    <w:p>
      <w:pPr>
        <w:spacing w:after="0" w:line="232" w:lineRule="exact"/>
        <w:rPr>
          <w:sz w:val="20"/>
          <w:szCs w:val="20"/>
          <w:color w:val="auto"/>
        </w:rPr>
      </w:pPr>
    </w:p>
    <w:tbl>
      <w:tblPr>
        <w:tblLayout w:type="fixed"/>
        <w:tblInd w:w="352" w:type="dxa"/>
        <w:tblCellMar>
          <w:top w:w="0" w:type="dxa"/>
          <w:left w:w="0" w:type="dxa"/>
          <w:bottom w:w="0" w:type="dxa"/>
          <w:right w:w="0" w:type="dxa"/>
        </w:tblCellMar>
      </w:tblPr>
      <w:tr>
        <w:trPr>
          <w:trHeight w:val="235"/>
        </w:trPr>
        <w:tc>
          <w:tcPr>
            <w:tcW w:w="2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920" w:type="dxa"/>
            <w:vAlign w:val="bottom"/>
            <w:gridSpan w:val="4"/>
          </w:tcPr>
          <w:p>
            <w:pPr>
              <w:ind w:left="680"/>
              <w:spacing w:after="0"/>
              <w:rPr>
                <w:sz w:val="20"/>
                <w:szCs w:val="20"/>
                <w:color w:val="auto"/>
              </w:rPr>
            </w:pPr>
            <w:r>
              <w:rPr>
                <w:rFonts w:ascii="Arial" w:cs="Arial" w:eastAsia="Arial" w:hAnsi="Arial"/>
                <w:sz w:val="18"/>
                <w:szCs w:val="18"/>
                <w:b w:val="1"/>
                <w:bCs w:val="1"/>
                <w:color w:val="auto"/>
              </w:rPr>
              <w:t>December 31, 2025</w:t>
            </w:r>
          </w:p>
        </w:tc>
        <w:tc>
          <w:tcPr>
            <w:tcW w:w="3300" w:type="dxa"/>
            <w:vAlign w:val="bottom"/>
            <w:gridSpan w:val="2"/>
          </w:tcPr>
          <w:p>
            <w:pPr>
              <w:ind w:left="680"/>
              <w:spacing w:after="0"/>
              <w:rPr>
                <w:sz w:val="20"/>
                <w:szCs w:val="20"/>
                <w:color w:val="auto"/>
              </w:rPr>
            </w:pPr>
            <w:r>
              <w:rPr>
                <w:rFonts w:ascii="Arial" w:cs="Arial" w:eastAsia="Arial" w:hAnsi="Arial"/>
                <w:sz w:val="18"/>
                <w:szCs w:val="18"/>
                <w:b w:val="1"/>
                <w:bCs w:val="1"/>
                <w:color w:val="auto"/>
              </w:rPr>
              <w:t>December 31, 2024</w:t>
            </w:r>
          </w:p>
        </w:tc>
        <w:tc>
          <w:tcPr>
            <w:tcW w:w="0" w:type="dxa"/>
            <w:vAlign w:val="bottom"/>
          </w:tcPr>
          <w:p>
            <w:pPr>
              <w:spacing w:after="0"/>
              <w:rPr>
                <w:sz w:val="1"/>
                <w:szCs w:val="1"/>
                <w:color w:val="auto"/>
              </w:rPr>
            </w:pPr>
          </w:p>
        </w:tc>
      </w:tr>
      <w:tr>
        <w:trPr>
          <w:trHeight w:val="191"/>
        </w:trPr>
        <w:tc>
          <w:tcPr>
            <w:tcW w:w="29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vMerge w:val="restart"/>
          </w:tcPr>
          <w:p>
            <w:pPr>
              <w:jc w:val="right"/>
              <w:ind w:right="626"/>
              <w:spacing w:after="0"/>
              <w:rPr>
                <w:sz w:val="20"/>
                <w:szCs w:val="20"/>
                <w:color w:val="auto"/>
              </w:rPr>
            </w:pPr>
            <w:r>
              <w:rPr>
                <w:rFonts w:ascii="Arial" w:cs="Arial" w:eastAsia="Arial" w:hAnsi="Arial"/>
                <w:sz w:val="18"/>
                <w:szCs w:val="18"/>
                <w:b w:val="1"/>
                <w:bCs w:val="1"/>
                <w:color w:val="auto"/>
              </w:rPr>
              <w:t>Amount</w:t>
            </w:r>
          </w:p>
        </w:tc>
        <w:tc>
          <w:tcPr>
            <w:tcW w:w="1700" w:type="dxa"/>
            <w:vAlign w:val="bottom"/>
            <w:tcBorders>
              <w:top w:val="single" w:sz="8" w:color="auto"/>
            </w:tcBorders>
          </w:tcPr>
          <w:p>
            <w:pPr>
              <w:ind w:left="260"/>
              <w:spacing w:after="0" w:line="191" w:lineRule="exact"/>
              <w:rPr>
                <w:sz w:val="20"/>
                <w:szCs w:val="20"/>
                <w:color w:val="auto"/>
              </w:rPr>
            </w:pPr>
            <w:r>
              <w:rPr>
                <w:rFonts w:ascii="Arial" w:cs="Arial" w:eastAsia="Arial" w:hAnsi="Arial"/>
                <w:sz w:val="18"/>
                <w:szCs w:val="18"/>
                <w:b w:val="1"/>
                <w:bCs w:val="1"/>
                <w:color w:val="auto"/>
              </w:rPr>
              <w:t>% of Plan</w:t>
            </w:r>
            <w:r>
              <w:rPr>
                <w:rFonts w:ascii="Arial" w:cs="Arial" w:eastAsia="Arial" w:hAnsi="Arial"/>
                <w:sz w:val="19"/>
                <w:szCs w:val="19"/>
                <w:b w:val="1"/>
                <w:bCs w:val="1"/>
                <w:color w:val="auto"/>
              </w:rPr>
              <w:t>’</w:t>
            </w:r>
            <w:r>
              <w:rPr>
                <w:rFonts w:ascii="Arial" w:cs="Arial" w:eastAsia="Arial" w:hAnsi="Arial"/>
                <w:sz w:val="18"/>
                <w:szCs w:val="18"/>
                <w:b w:val="1"/>
                <w:bCs w:val="1"/>
                <w:color w:val="auto"/>
              </w:rPr>
              <w:t>s</w:t>
            </w:r>
          </w:p>
        </w:tc>
        <w:tc>
          <w:tcPr>
            <w:tcW w:w="2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vMerge w:val="restart"/>
          </w:tcPr>
          <w:p>
            <w:pPr>
              <w:ind w:left="200"/>
              <w:spacing w:after="0"/>
              <w:rPr>
                <w:sz w:val="20"/>
                <w:szCs w:val="20"/>
                <w:color w:val="auto"/>
              </w:rPr>
            </w:pPr>
            <w:r>
              <w:rPr>
                <w:rFonts w:ascii="Arial" w:cs="Arial" w:eastAsia="Arial" w:hAnsi="Arial"/>
                <w:sz w:val="18"/>
                <w:szCs w:val="18"/>
                <w:b w:val="1"/>
                <w:bCs w:val="1"/>
                <w:color w:val="auto"/>
              </w:rPr>
              <w:t>Amount</w:t>
            </w:r>
          </w:p>
        </w:tc>
        <w:tc>
          <w:tcPr>
            <w:tcW w:w="1700" w:type="dxa"/>
            <w:vAlign w:val="bottom"/>
            <w:tcBorders>
              <w:top w:val="single" w:sz="8" w:color="auto"/>
            </w:tcBorders>
          </w:tcPr>
          <w:p>
            <w:pPr>
              <w:jc w:val="right"/>
              <w:ind w:right="366"/>
              <w:spacing w:after="0" w:line="191" w:lineRule="exact"/>
              <w:rPr>
                <w:sz w:val="20"/>
                <w:szCs w:val="20"/>
                <w:color w:val="auto"/>
              </w:rPr>
            </w:pPr>
            <w:r>
              <w:rPr>
                <w:rFonts w:ascii="Arial" w:cs="Arial" w:eastAsia="Arial" w:hAnsi="Arial"/>
                <w:sz w:val="18"/>
                <w:szCs w:val="18"/>
                <w:b w:val="1"/>
                <w:bCs w:val="1"/>
                <w:color w:val="auto"/>
              </w:rPr>
              <w:t>% of Plan</w:t>
            </w:r>
            <w:r>
              <w:rPr>
                <w:rFonts w:ascii="Arial" w:cs="Arial" w:eastAsia="Arial" w:hAnsi="Arial"/>
                <w:sz w:val="19"/>
                <w:szCs w:val="19"/>
                <w:b w:val="1"/>
                <w:bCs w:val="1"/>
                <w:color w:val="auto"/>
              </w:rPr>
              <w:t>’</w:t>
            </w:r>
            <w:r>
              <w:rPr>
                <w:rFonts w:ascii="Arial" w:cs="Arial" w:eastAsia="Arial" w:hAnsi="Arial"/>
                <w:sz w:val="18"/>
                <w:szCs w:val="18"/>
                <w:b w:val="1"/>
                <w:bCs w:val="1"/>
                <w:color w:val="auto"/>
              </w:rPr>
              <w:t>s</w:t>
            </w:r>
          </w:p>
        </w:tc>
        <w:tc>
          <w:tcPr>
            <w:tcW w:w="0" w:type="dxa"/>
            <w:vAlign w:val="bottom"/>
          </w:tcPr>
          <w:p>
            <w:pPr>
              <w:spacing w:after="0"/>
              <w:rPr>
                <w:sz w:val="1"/>
                <w:szCs w:val="1"/>
                <w:color w:val="auto"/>
              </w:rPr>
            </w:pPr>
          </w:p>
        </w:tc>
      </w:tr>
      <w:tr>
        <w:trPr>
          <w:trHeight w:val="226"/>
        </w:trPr>
        <w:tc>
          <w:tcPr>
            <w:tcW w:w="2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2300" w:type="dxa"/>
            <w:vAlign w:val="bottom"/>
            <w:gridSpan w:val="3"/>
          </w:tcPr>
          <w:p>
            <w:pPr>
              <w:ind w:left="280"/>
              <w:spacing w:after="0"/>
              <w:rPr>
                <w:sz w:val="20"/>
                <w:szCs w:val="20"/>
                <w:color w:val="auto"/>
              </w:rPr>
            </w:pPr>
            <w:r>
              <w:rPr>
                <w:rFonts w:ascii="Arial" w:cs="Arial" w:eastAsia="Arial" w:hAnsi="Arial"/>
                <w:sz w:val="18"/>
                <w:szCs w:val="18"/>
                <w:b w:val="1"/>
                <w:bCs w:val="1"/>
                <w:color w:val="auto"/>
              </w:rPr>
              <w:t>Investment</w:t>
            </w:r>
          </w:p>
        </w:tc>
        <w:tc>
          <w:tcPr>
            <w:tcW w:w="1600" w:type="dxa"/>
            <w:vAlign w:val="bottom"/>
            <w:vMerge w:val="continue"/>
          </w:tcPr>
          <w:p>
            <w:pPr>
              <w:spacing w:after="0"/>
              <w:rPr>
                <w:sz w:val="19"/>
                <w:szCs w:val="19"/>
                <w:color w:val="auto"/>
              </w:rPr>
            </w:pPr>
          </w:p>
        </w:tc>
        <w:tc>
          <w:tcPr>
            <w:tcW w:w="1700" w:type="dxa"/>
            <w:vAlign w:val="bottom"/>
          </w:tcPr>
          <w:p>
            <w:pPr>
              <w:jc w:val="right"/>
              <w:ind w:right="386"/>
              <w:spacing w:after="0"/>
              <w:rPr>
                <w:sz w:val="20"/>
                <w:szCs w:val="20"/>
                <w:color w:val="auto"/>
              </w:rPr>
            </w:pPr>
            <w:r>
              <w:rPr>
                <w:rFonts w:ascii="Arial" w:cs="Arial" w:eastAsia="Arial" w:hAnsi="Arial"/>
                <w:sz w:val="18"/>
                <w:szCs w:val="18"/>
                <w:b w:val="1"/>
                <w:bCs w:val="1"/>
                <w:color w:val="auto"/>
              </w:rPr>
              <w:t>Investment</w:t>
            </w:r>
          </w:p>
        </w:tc>
        <w:tc>
          <w:tcPr>
            <w:tcW w:w="0" w:type="dxa"/>
            <w:vAlign w:val="bottom"/>
          </w:tcPr>
          <w:p>
            <w:pPr>
              <w:spacing w:after="0"/>
              <w:rPr>
                <w:sz w:val="1"/>
                <w:szCs w:val="1"/>
                <w:color w:val="auto"/>
              </w:rPr>
            </w:pPr>
          </w:p>
        </w:tc>
      </w:tr>
      <w:tr>
        <w:trPr>
          <w:trHeight w:val="256"/>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TRP</w:t>
            </w: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620" w:type="dxa"/>
            <w:vAlign w:val="bottom"/>
          </w:tcPr>
          <w:p>
            <w:pPr>
              <w:jc w:val="right"/>
              <w:ind w:right="186"/>
              <w:spacing w:after="0"/>
              <w:rPr>
                <w:sz w:val="20"/>
                <w:szCs w:val="20"/>
                <w:color w:val="auto"/>
              </w:rPr>
            </w:pPr>
            <w:r>
              <w:rPr>
                <w:rFonts w:ascii="Times New Roman" w:cs="Times New Roman" w:eastAsia="Times New Roman" w:hAnsi="Times New Roman"/>
                <w:sz w:val="20"/>
                <w:szCs w:val="20"/>
                <w:color w:val="auto"/>
              </w:rPr>
              <w:t>1,070,492</w:t>
            </w:r>
          </w:p>
        </w:tc>
        <w:tc>
          <w:tcPr>
            <w:tcW w:w="2300" w:type="dxa"/>
            <w:vAlign w:val="bottom"/>
            <w:gridSpan w:val="3"/>
          </w:tcPr>
          <w:p>
            <w:pPr>
              <w:ind w:left="1000"/>
              <w:spacing w:after="0"/>
              <w:rPr>
                <w:sz w:val="20"/>
                <w:szCs w:val="20"/>
                <w:color w:val="auto"/>
              </w:rPr>
            </w:pPr>
            <w:r>
              <w:rPr>
                <w:rFonts w:ascii="Times New Roman" w:cs="Times New Roman" w:eastAsia="Times New Roman" w:hAnsi="Times New Roman"/>
                <w:sz w:val="20"/>
                <w:szCs w:val="20"/>
                <w:color w:val="auto"/>
              </w:rPr>
              <w:t>48.66 %   $</w:t>
            </w:r>
          </w:p>
        </w:tc>
        <w:tc>
          <w:tcPr>
            <w:tcW w:w="160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948,284</w:t>
            </w: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45.20 %</w:t>
            </w:r>
          </w:p>
        </w:tc>
        <w:tc>
          <w:tcPr>
            <w:tcW w:w="0" w:type="dxa"/>
            <w:vAlign w:val="bottom"/>
          </w:tcPr>
          <w:p>
            <w:pPr>
              <w:spacing w:after="0"/>
              <w:rPr>
                <w:sz w:val="1"/>
                <w:szCs w:val="1"/>
                <w:color w:val="auto"/>
              </w:rPr>
            </w:pPr>
          </w:p>
        </w:tc>
      </w:tr>
      <w:tr>
        <w:trPr>
          <w:trHeight w:val="258"/>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The Vanguard Group, Inc.</w:t>
            </w:r>
          </w:p>
        </w:tc>
        <w:tc>
          <w:tcPr>
            <w:tcW w:w="320" w:type="dxa"/>
            <w:vAlign w:val="bottom"/>
          </w:tcPr>
          <w:p>
            <w:pPr>
              <w:spacing w:after="0"/>
              <w:rPr>
                <w:sz w:val="22"/>
                <w:szCs w:val="22"/>
                <w:color w:val="auto"/>
              </w:rPr>
            </w:pPr>
          </w:p>
        </w:tc>
        <w:tc>
          <w:tcPr>
            <w:tcW w:w="1620" w:type="dxa"/>
            <w:vAlign w:val="bottom"/>
          </w:tcPr>
          <w:p>
            <w:pPr>
              <w:jc w:val="right"/>
              <w:ind w:right="186"/>
              <w:spacing w:after="0"/>
              <w:rPr>
                <w:sz w:val="20"/>
                <w:szCs w:val="20"/>
                <w:color w:val="auto"/>
              </w:rPr>
            </w:pPr>
            <w:r>
              <w:rPr>
                <w:rFonts w:ascii="Times New Roman" w:cs="Times New Roman" w:eastAsia="Times New Roman" w:hAnsi="Times New Roman"/>
                <w:sz w:val="20"/>
                <w:szCs w:val="20"/>
                <w:color w:val="auto"/>
              </w:rPr>
              <w:t>475,396</w:t>
            </w:r>
          </w:p>
        </w:tc>
        <w:tc>
          <w:tcPr>
            <w:tcW w:w="17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21.61 %</w:t>
            </w: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453,939</w:t>
            </w: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9" w:right="339" w:bottom="1440" w:gutter="0" w:footer="0" w:header="0"/>
        </w:sectPr>
      </w:pPr>
    </w:p>
    <w:bookmarkStart w:id="34" w:name="page35"/>
    <w:bookmarkEnd w:id="34"/>
    <w:p>
      <w:pPr>
        <w:spacing w:after="0" w:line="185" w:lineRule="exact"/>
        <w:rPr>
          <w:sz w:val="20"/>
          <w:szCs w:val="20"/>
          <w:color w:val="auto"/>
        </w:rPr>
      </w:pPr>
    </w:p>
    <w:p>
      <w:pPr>
        <w:ind w:left="340" w:right="38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Benefit Payments </w:t>
      </w:r>
      <w:r>
        <w:rPr>
          <w:rFonts w:ascii="Times New Roman" w:cs="Times New Roman" w:eastAsia="Times New Roman" w:hAnsi="Times New Roman"/>
          <w:sz w:val="20"/>
          <w:szCs w:val="20"/>
          <w:color w:val="auto"/>
        </w:rPr>
        <w:t>— Benefits are recorded when paid. There were no amounts allocated to accounts of persons who have elected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withdraw from the Plan but have not yet been paid as of December 31, 2025 or 2024.</w:t>
      </w:r>
    </w:p>
    <w:p>
      <w:pPr>
        <w:spacing w:after="0" w:line="138" w:lineRule="exact"/>
        <w:rPr>
          <w:sz w:val="20"/>
          <w:szCs w:val="20"/>
          <w:color w:val="auto"/>
        </w:rPr>
      </w:pPr>
    </w:p>
    <w:p>
      <w:pPr>
        <w:ind w:left="340" w:right="40"/>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Notes Receivable from Participants </w:t>
      </w:r>
      <w:r>
        <w:rPr>
          <w:rFonts w:ascii="Times New Roman" w:cs="Times New Roman" w:eastAsia="Times New Roman" w:hAnsi="Times New Roman"/>
          <w:sz w:val="19"/>
          <w:szCs w:val="19"/>
          <w:color w:val="auto"/>
        </w:rPr>
        <w:t>— Notes receivable from participants are reported at their outstanding principal balances plus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accrued interest. Interest income is recorded on an accrual basis. If a participant does not make regular loan payments for 90 days, the loan is considered to be in default. For participant loans that become delinquent, are not cured and result in default, the amount of unpaid principal and interest due to the Plan is treated as a deemed distribution to the participant. Deemed distributions are reported as taxable distributions to participants for purposes of reporting in the Form 5500; however, deemed distributions remain classified as notes receivable from participants until a qualifying distributable event occurs for purposes of reporting in conformity with U.S. GAAP.</w:t>
      </w:r>
    </w:p>
    <w:p>
      <w:pPr>
        <w:spacing w:after="0" w:line="172" w:lineRule="exact"/>
        <w:rPr>
          <w:sz w:val="20"/>
          <w:szCs w:val="20"/>
          <w:color w:val="auto"/>
        </w:rPr>
      </w:pPr>
    </w:p>
    <w:p>
      <w:pPr>
        <w:ind w:left="340" w:right="40"/>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Administrative Expenses </w:t>
      </w:r>
      <w:r>
        <w:rPr>
          <w:rFonts w:ascii="Times New Roman" w:cs="Times New Roman" w:eastAsia="Times New Roman" w:hAnsi="Times New Roman"/>
          <w:sz w:val="20"/>
          <w:szCs w:val="20"/>
          <w:color w:val="auto"/>
        </w:rPr>
        <w:t>— Each participant is charged an annual recordkeeping fee, which is paid on a monthly basis.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pays this fee for each participant during their first 23 months of employment. After 23 months of employment, this fee is charged to participants and deducted from participants’ accounts. Additionally, loan origination fees, loan maintenance fees and rollover fees charged by the receiving financial institution, when applicable, are charged to participants and deducted from participants’ accounts. Investment management fees (including fees associated with brokerage activity in the SDBA) are included in Net investment gain – Plan interest in Master Trust in the Statement of Changes in Net Assets Available for Benefits.</w:t>
      </w:r>
    </w:p>
    <w:p>
      <w:pPr>
        <w:spacing w:after="0" w:line="170" w:lineRule="exact"/>
        <w:rPr>
          <w:sz w:val="20"/>
          <w:szCs w:val="20"/>
          <w:color w:val="auto"/>
        </w:rPr>
      </w:pPr>
    </w:p>
    <w:p>
      <w:pPr>
        <w:ind w:left="340" w:right="100"/>
        <w:spacing w:after="0" w:line="283" w:lineRule="auto"/>
        <w:rPr>
          <w:sz w:val="20"/>
          <w:szCs w:val="20"/>
          <w:color w:val="auto"/>
        </w:rPr>
      </w:pPr>
      <w:r>
        <w:rPr>
          <w:rFonts w:ascii="Times New Roman" w:cs="Times New Roman" w:eastAsia="Times New Roman" w:hAnsi="Times New Roman"/>
          <w:sz w:val="20"/>
          <w:szCs w:val="20"/>
          <w:color w:val="auto"/>
        </w:rPr>
        <w:t>Certain administrative expenses of the Plan are paid directly by the Company, such as legal and accounting fees, and not allocated to the Plan.</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color w:val="auto"/>
        </w:rPr>
        <w:t xml:space="preserve">Subsequent Events </w:t>
      </w:r>
      <w:r>
        <w:rPr>
          <w:rFonts w:ascii="Times New Roman" w:cs="Times New Roman" w:eastAsia="Times New Roman" w:hAnsi="Times New Roman"/>
          <w:sz w:val="20"/>
          <w:szCs w:val="20"/>
          <w:color w:val="auto"/>
        </w:rPr>
        <w:t>— Subsequent events were evaluated through the date the financial statements were issued.</w:t>
      </w:r>
    </w:p>
    <w:p>
      <w:pPr>
        <w:spacing w:after="0" w:line="200" w:lineRule="exact"/>
        <w:rPr>
          <w:sz w:val="20"/>
          <w:szCs w:val="20"/>
          <w:color w:val="auto"/>
        </w:rPr>
      </w:pPr>
    </w:p>
    <w:p>
      <w:pPr>
        <w:spacing w:after="0" w:line="28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FEDERAL INCOME TAX STATUS</w:t>
      </w:r>
    </w:p>
    <w:p>
      <w:pPr>
        <w:spacing w:after="0" w:line="233" w:lineRule="exact"/>
        <w:rPr>
          <w:sz w:val="20"/>
          <w:szCs w:val="20"/>
          <w:color w:val="auto"/>
        </w:rPr>
      </w:pPr>
    </w:p>
    <w:p>
      <w:pPr>
        <w:ind w:left="340"/>
        <w:spacing w:after="0" w:line="253" w:lineRule="auto"/>
        <w:rPr>
          <w:sz w:val="20"/>
          <w:szCs w:val="20"/>
          <w:color w:val="auto"/>
        </w:rPr>
      </w:pPr>
      <w:r>
        <w:rPr>
          <w:rFonts w:ascii="Times New Roman" w:cs="Times New Roman" w:eastAsia="Times New Roman" w:hAnsi="Times New Roman"/>
          <w:sz w:val="20"/>
          <w:szCs w:val="20"/>
          <w:color w:val="auto"/>
        </w:rPr>
        <w:t>The IRS has determined and informed the Company by a letter dated July 12, 2017 that the Plan and the Master Trust were designed in accordance with the applicable requirements of the IRC. The Plan has been amended since receiving the determination letter. Additionally, on an annual basis, the IRS publishes a Required Amendments List for individually designed plans that specifies changes in statutory and administrative requirements. The Company and Plan management believe that the Plan is currently designed and being operated in compliance with the applicable requirements of the IRC, and that the Plan and the Master Trust continue to remain tax exempt. Therefore, no provision for income taxes has been included in the Plan’s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ind w:left="332" w:hanging="332"/>
        <w:spacing w:after="0"/>
        <w:tabs>
          <w:tab w:leader="none" w:pos="332"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INTEREST IN THE MASTER TRUST</w:t>
      </w:r>
    </w:p>
    <w:p>
      <w:pPr>
        <w:spacing w:after="0" w:line="233" w:lineRule="exact"/>
        <w:rPr>
          <w:rFonts w:ascii="Times New Roman" w:cs="Times New Roman" w:eastAsia="Times New Roman" w:hAnsi="Times New Roman"/>
          <w:sz w:val="20"/>
          <w:szCs w:val="20"/>
          <w:b w:val="1"/>
          <w:bCs w:val="1"/>
          <w:color w:val="auto"/>
        </w:rPr>
      </w:pPr>
    </w:p>
    <w:p>
      <w:pPr>
        <w:ind w:left="332"/>
        <w:spacing w:after="0" w:line="25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Plan’s investment consists of a divided interest, as discussed below, in the Master Trust. A portion of this interest in the Master Trust is held in a trust account at TRP and the remainder is held in a trust account at the Northern Trust Company, who acts as an agent for TRP and is the custodian of the custom investment funds, except the U.S. Large Cap Equity Fund for which TRP is the custodian. Use of the Master Trust permits the commingling of the trust assets of this and other similar employee benefit plans sponsored by Sempra or an affiliate for investment and administrative purposes. The Plan’s interest in the Master Trust is based on the individual Plan participants’ investment balances (divided interest). Investment income (loss) is allocated by the Trustee on a daily basis through a valuation of the Master Trust’s investments and each individual Plan participant’s share of each investment. Administrative expenses of the Master Trust are allocated to the Plan based upon each individual Plan participant’s share of each investment or the participant’s transaction in a specific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1409" w:right="399" w:bottom="1440" w:gutter="0" w:footer="0" w:header="0"/>
        </w:sectPr>
      </w:pPr>
    </w:p>
    <w:bookmarkStart w:id="36" w:name="page37"/>
    <w:bookmarkEnd w:id="36"/>
    <w:p>
      <w:pPr>
        <w:ind w:right="720"/>
        <w:spacing w:after="0" w:line="283" w:lineRule="auto"/>
        <w:rPr>
          <w:sz w:val="20"/>
          <w:szCs w:val="20"/>
          <w:color w:val="auto"/>
        </w:rPr>
      </w:pPr>
      <w:r>
        <w:rPr>
          <w:rFonts w:ascii="Times New Roman" w:cs="Times New Roman" w:eastAsia="Times New Roman" w:hAnsi="Times New Roman"/>
          <w:sz w:val="20"/>
          <w:szCs w:val="20"/>
          <w:color w:val="auto"/>
        </w:rPr>
        <w:t>The net assets available for benefits of the Master Trust at December 31, 2025 and 2024 are summarized as follows (dollars in thousands):</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gridSpan w:val="4"/>
          </w:tcPr>
          <w:p>
            <w:pPr>
              <w:jc w:val="right"/>
              <w:ind w:right="1283"/>
              <w:spacing w:after="0"/>
              <w:rPr>
                <w:sz w:val="20"/>
                <w:szCs w:val="20"/>
                <w:color w:val="auto"/>
              </w:rPr>
            </w:pPr>
            <w:r>
              <w:rPr>
                <w:rFonts w:ascii="Arial" w:cs="Arial" w:eastAsia="Arial" w:hAnsi="Arial"/>
                <w:sz w:val="18"/>
                <w:szCs w:val="18"/>
                <w:b w:val="1"/>
                <w:bCs w:val="1"/>
                <w:color w:val="auto"/>
              </w:rPr>
              <w:t>December 31, 2025</w:t>
            </w:r>
          </w:p>
        </w:tc>
      </w:tr>
      <w:tr>
        <w:trPr>
          <w:trHeight w:val="218"/>
        </w:trPr>
        <w:tc>
          <w:tcPr>
            <w:tcW w:w="6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tcPr>
          <w:p>
            <w:pPr>
              <w:jc w:val="center"/>
              <w:ind w:right="163"/>
              <w:spacing w:after="0"/>
              <w:rPr>
                <w:sz w:val="20"/>
                <w:szCs w:val="20"/>
                <w:color w:val="auto"/>
              </w:rPr>
            </w:pPr>
            <w:r>
              <w:rPr>
                <w:rFonts w:ascii="Arial" w:cs="Arial" w:eastAsia="Arial" w:hAnsi="Arial"/>
                <w:sz w:val="18"/>
                <w:szCs w:val="18"/>
                <w:b w:val="1"/>
                <w:bCs w:val="1"/>
                <w:color w:val="auto"/>
                <w:w w:val="99"/>
              </w:rPr>
              <w:t>Plan’s Interest</w:t>
            </w:r>
          </w:p>
        </w:tc>
      </w:tr>
      <w:tr>
        <w:trPr>
          <w:trHeight w:val="230"/>
        </w:trPr>
        <w:tc>
          <w:tcPr>
            <w:tcW w:w="6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9"/>
              </w:rPr>
              <w:t>Master Trust</w:t>
            </w:r>
          </w:p>
        </w:tc>
        <w:tc>
          <w:tcPr>
            <w:tcW w:w="260" w:type="dxa"/>
            <w:vAlign w:val="bottom"/>
          </w:tcPr>
          <w:p>
            <w:pPr>
              <w:spacing w:after="0"/>
              <w:rPr>
                <w:sz w:val="19"/>
                <w:szCs w:val="19"/>
                <w:color w:val="auto"/>
              </w:rPr>
            </w:pPr>
          </w:p>
        </w:tc>
        <w:tc>
          <w:tcPr>
            <w:tcW w:w="1840" w:type="dxa"/>
            <w:vAlign w:val="bottom"/>
          </w:tcPr>
          <w:p>
            <w:pPr>
              <w:jc w:val="center"/>
              <w:ind w:right="183"/>
              <w:spacing w:after="0"/>
              <w:rPr>
                <w:sz w:val="20"/>
                <w:szCs w:val="20"/>
                <w:color w:val="auto"/>
              </w:rPr>
            </w:pPr>
            <w:r>
              <w:rPr>
                <w:rFonts w:ascii="Arial" w:cs="Arial" w:eastAsia="Arial" w:hAnsi="Arial"/>
                <w:sz w:val="18"/>
                <w:szCs w:val="18"/>
                <w:b w:val="1"/>
                <w:bCs w:val="1"/>
                <w:color w:val="auto"/>
                <w:w w:val="99"/>
              </w:rPr>
              <w:t>in Master Trust</w:t>
            </w:r>
          </w:p>
        </w:tc>
      </w:tr>
      <w:tr>
        <w:trPr>
          <w:trHeight w:val="247"/>
        </w:trPr>
        <w:tc>
          <w:tcPr>
            <w:tcW w:w="6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8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rPr>
              <w:t>Balances</w:t>
            </w:r>
          </w:p>
        </w:tc>
        <w:tc>
          <w:tcPr>
            <w:tcW w:w="260" w:type="dxa"/>
            <w:vAlign w:val="bottom"/>
          </w:tcPr>
          <w:p>
            <w:pPr>
              <w:spacing w:after="0"/>
              <w:rPr>
                <w:sz w:val="21"/>
                <w:szCs w:val="21"/>
                <w:color w:val="auto"/>
              </w:rPr>
            </w:pPr>
          </w:p>
        </w:tc>
        <w:tc>
          <w:tcPr>
            <w:tcW w:w="1840" w:type="dxa"/>
            <w:vAlign w:val="bottom"/>
          </w:tcPr>
          <w:p>
            <w:pPr>
              <w:jc w:val="center"/>
              <w:ind w:right="183"/>
              <w:spacing w:after="0"/>
              <w:rPr>
                <w:sz w:val="20"/>
                <w:szCs w:val="20"/>
                <w:color w:val="auto"/>
              </w:rPr>
            </w:pPr>
            <w:r>
              <w:rPr>
                <w:rFonts w:ascii="Arial" w:cs="Arial" w:eastAsia="Arial" w:hAnsi="Arial"/>
                <w:sz w:val="18"/>
                <w:szCs w:val="18"/>
                <w:b w:val="1"/>
                <w:bCs w:val="1"/>
                <w:color w:val="auto"/>
              </w:rPr>
              <w:t>Balances</w:t>
            </w:r>
          </w:p>
        </w:tc>
      </w:tr>
      <w:tr>
        <w:trPr>
          <w:trHeight w:val="505"/>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Sempra common stock</w:t>
            </w:r>
          </w:p>
        </w:tc>
        <w:tc>
          <w:tcPr>
            <w:tcW w:w="2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1,034,401</w:t>
            </w:r>
          </w:p>
        </w:tc>
        <w:tc>
          <w:tcPr>
            <w:tcW w:w="300" w:type="dxa"/>
            <w:vAlign w:val="bottom"/>
          </w:tcPr>
          <w:p>
            <w:pPr>
              <w:spacing w:after="0"/>
              <w:rPr>
                <w:sz w:val="24"/>
                <w:szCs w:val="24"/>
                <w:color w:val="auto"/>
              </w:rPr>
            </w:pP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374,781</w:t>
            </w:r>
          </w:p>
        </w:tc>
      </w:tr>
      <w:tr>
        <w:trPr>
          <w:trHeight w:val="256"/>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Mutual funds</w:t>
            </w:r>
          </w:p>
        </w:tc>
        <w:tc>
          <w:tcPr>
            <w:tcW w:w="28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442,746</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157,845</w:t>
            </w:r>
          </w:p>
        </w:tc>
      </w:tr>
      <w:tr>
        <w:trPr>
          <w:trHeight w:val="262"/>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Common/collective trusts</w:t>
            </w:r>
          </w:p>
        </w:tc>
        <w:tc>
          <w:tcPr>
            <w:tcW w:w="2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4,474,698</w:t>
            </w:r>
          </w:p>
        </w:tc>
        <w:tc>
          <w:tcPr>
            <w:tcW w:w="3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1,667,313</w:t>
            </w:r>
          </w:p>
        </w:tc>
      </w:tr>
      <w:tr>
        <w:trPr>
          <w:trHeight w:val="503"/>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Master Trust investments</w:t>
            </w:r>
          </w:p>
        </w:tc>
        <w:tc>
          <w:tcPr>
            <w:tcW w:w="2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5,951,845</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2,199,939</w:t>
            </w:r>
          </w:p>
        </w:tc>
      </w:tr>
      <w:tr>
        <w:trPr>
          <w:trHeight w:val="525"/>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Plus:</w:t>
            </w: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56"/>
        </w:trPr>
        <w:tc>
          <w:tcPr>
            <w:tcW w:w="6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Non-interest bearing cash</w:t>
            </w:r>
          </w:p>
        </w:tc>
        <w:tc>
          <w:tcPr>
            <w:tcW w:w="28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778</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w:t>
            </w:r>
          </w:p>
        </w:tc>
      </w:tr>
      <w:tr>
        <w:trPr>
          <w:trHeight w:val="257"/>
        </w:trPr>
        <w:tc>
          <w:tcPr>
            <w:tcW w:w="6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Dividends receivable</w:t>
            </w:r>
          </w:p>
        </w:tc>
        <w:tc>
          <w:tcPr>
            <w:tcW w:w="28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7,639</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2,774</w:t>
            </w:r>
          </w:p>
        </w:tc>
      </w:tr>
      <w:tr>
        <w:trPr>
          <w:trHeight w:val="257"/>
        </w:trPr>
        <w:tc>
          <w:tcPr>
            <w:tcW w:w="6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Employer contributions receivable</w:t>
            </w:r>
          </w:p>
        </w:tc>
        <w:tc>
          <w:tcPr>
            <w:tcW w:w="28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2"/>
        </w:trPr>
        <w:tc>
          <w:tcPr>
            <w:tcW w:w="6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Participant contributions receivable</w:t>
            </w:r>
          </w:p>
        </w:tc>
        <w:tc>
          <w:tcPr>
            <w:tcW w:w="2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3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510"/>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Net assets available for benefits of the Master Trust</w:t>
            </w:r>
          </w:p>
        </w:tc>
        <w:tc>
          <w:tcPr>
            <w:tcW w:w="2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5,960,265</w:t>
            </w:r>
          </w:p>
        </w:tc>
        <w:tc>
          <w:tcPr>
            <w:tcW w:w="300" w:type="dxa"/>
            <w:vAlign w:val="bottom"/>
          </w:tcPr>
          <w:p>
            <w:pPr>
              <w:spacing w:after="0"/>
              <w:rPr>
                <w:sz w:val="24"/>
                <w:szCs w:val="24"/>
                <w:color w:val="auto"/>
              </w:rPr>
            </w:pPr>
          </w:p>
        </w:tc>
        <w:tc>
          <w:tcPr>
            <w:tcW w:w="2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2,202,968</w:t>
            </w:r>
          </w:p>
        </w:tc>
      </w:tr>
      <w:tr>
        <w:trPr>
          <w:trHeight w:val="20"/>
        </w:trPr>
        <w:tc>
          <w:tcPr>
            <w:tcW w:w="6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tcBorders>
              <w:bottom w:val="single" w:sz="8" w:color="auto"/>
            </w:tcBorders>
            <w:gridSpan w:val="2"/>
          </w:tcPr>
          <w:p>
            <w:pPr>
              <w:spacing w:after="0" w:line="20" w:lineRule="exact"/>
              <w:rPr>
                <w:sz w:val="1"/>
                <w:szCs w:val="1"/>
                <w:color w:val="auto"/>
              </w:rPr>
            </w:pPr>
          </w:p>
        </w:tc>
      </w:tr>
      <w:tr>
        <w:trPr>
          <w:trHeight w:val="466"/>
        </w:trPr>
        <w:tc>
          <w:tcPr>
            <w:tcW w:w="6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4"/>
          </w:tcPr>
          <w:p>
            <w:pPr>
              <w:jc w:val="right"/>
              <w:ind w:right="1283"/>
              <w:spacing w:after="0"/>
              <w:rPr>
                <w:sz w:val="20"/>
                <w:szCs w:val="20"/>
                <w:color w:val="auto"/>
              </w:rPr>
            </w:pPr>
            <w:r>
              <w:rPr>
                <w:rFonts w:ascii="Arial" w:cs="Arial" w:eastAsia="Arial" w:hAnsi="Arial"/>
                <w:sz w:val="18"/>
                <w:szCs w:val="18"/>
                <w:b w:val="1"/>
                <w:bCs w:val="1"/>
                <w:color w:val="auto"/>
              </w:rPr>
              <w:t>December 31, 2024</w:t>
            </w:r>
          </w:p>
        </w:tc>
      </w:tr>
      <w:tr>
        <w:trPr>
          <w:trHeight w:val="218"/>
        </w:trPr>
        <w:tc>
          <w:tcPr>
            <w:tcW w:w="6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tcPr>
          <w:p>
            <w:pPr>
              <w:jc w:val="center"/>
              <w:ind w:right="163"/>
              <w:spacing w:after="0"/>
              <w:rPr>
                <w:sz w:val="20"/>
                <w:szCs w:val="20"/>
                <w:color w:val="auto"/>
              </w:rPr>
            </w:pPr>
            <w:r>
              <w:rPr>
                <w:rFonts w:ascii="Arial" w:cs="Arial" w:eastAsia="Arial" w:hAnsi="Arial"/>
                <w:sz w:val="18"/>
                <w:szCs w:val="18"/>
                <w:b w:val="1"/>
                <w:bCs w:val="1"/>
                <w:color w:val="auto"/>
                <w:w w:val="99"/>
              </w:rPr>
              <w:t>Plan’s Interest</w:t>
            </w:r>
          </w:p>
        </w:tc>
      </w:tr>
      <w:tr>
        <w:trPr>
          <w:trHeight w:val="230"/>
        </w:trPr>
        <w:tc>
          <w:tcPr>
            <w:tcW w:w="6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9"/>
              </w:rPr>
              <w:t>Master Trust</w:t>
            </w:r>
          </w:p>
        </w:tc>
        <w:tc>
          <w:tcPr>
            <w:tcW w:w="260" w:type="dxa"/>
            <w:vAlign w:val="bottom"/>
          </w:tcPr>
          <w:p>
            <w:pPr>
              <w:spacing w:after="0"/>
              <w:rPr>
                <w:sz w:val="19"/>
                <w:szCs w:val="19"/>
                <w:color w:val="auto"/>
              </w:rPr>
            </w:pPr>
          </w:p>
        </w:tc>
        <w:tc>
          <w:tcPr>
            <w:tcW w:w="1840" w:type="dxa"/>
            <w:vAlign w:val="bottom"/>
          </w:tcPr>
          <w:p>
            <w:pPr>
              <w:jc w:val="center"/>
              <w:ind w:right="183"/>
              <w:spacing w:after="0"/>
              <w:rPr>
                <w:sz w:val="20"/>
                <w:szCs w:val="20"/>
                <w:color w:val="auto"/>
              </w:rPr>
            </w:pPr>
            <w:r>
              <w:rPr>
                <w:rFonts w:ascii="Arial" w:cs="Arial" w:eastAsia="Arial" w:hAnsi="Arial"/>
                <w:sz w:val="18"/>
                <w:szCs w:val="18"/>
                <w:b w:val="1"/>
                <w:bCs w:val="1"/>
                <w:color w:val="auto"/>
                <w:w w:val="99"/>
              </w:rPr>
              <w:t>in Master Trust</w:t>
            </w:r>
          </w:p>
        </w:tc>
      </w:tr>
      <w:tr>
        <w:trPr>
          <w:trHeight w:val="247"/>
        </w:trPr>
        <w:tc>
          <w:tcPr>
            <w:tcW w:w="6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8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rPr>
              <w:t>Balances</w:t>
            </w:r>
          </w:p>
        </w:tc>
        <w:tc>
          <w:tcPr>
            <w:tcW w:w="260" w:type="dxa"/>
            <w:vAlign w:val="bottom"/>
          </w:tcPr>
          <w:p>
            <w:pPr>
              <w:spacing w:after="0"/>
              <w:rPr>
                <w:sz w:val="21"/>
                <w:szCs w:val="21"/>
                <w:color w:val="auto"/>
              </w:rPr>
            </w:pPr>
          </w:p>
        </w:tc>
        <w:tc>
          <w:tcPr>
            <w:tcW w:w="1840" w:type="dxa"/>
            <w:vAlign w:val="bottom"/>
          </w:tcPr>
          <w:p>
            <w:pPr>
              <w:jc w:val="center"/>
              <w:ind w:right="183"/>
              <w:spacing w:after="0"/>
              <w:rPr>
                <w:sz w:val="20"/>
                <w:szCs w:val="20"/>
                <w:color w:val="auto"/>
              </w:rPr>
            </w:pPr>
            <w:r>
              <w:rPr>
                <w:rFonts w:ascii="Arial" w:cs="Arial" w:eastAsia="Arial" w:hAnsi="Arial"/>
                <w:sz w:val="18"/>
                <w:szCs w:val="18"/>
                <w:b w:val="1"/>
                <w:bCs w:val="1"/>
                <w:color w:val="auto"/>
              </w:rPr>
              <w:t>Balances</w:t>
            </w:r>
          </w:p>
        </w:tc>
      </w:tr>
      <w:tr>
        <w:trPr>
          <w:trHeight w:val="505"/>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Sempra common stock</w:t>
            </w:r>
          </w:p>
        </w:tc>
        <w:tc>
          <w:tcPr>
            <w:tcW w:w="2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1,165,804</w:t>
            </w:r>
          </w:p>
        </w:tc>
        <w:tc>
          <w:tcPr>
            <w:tcW w:w="300" w:type="dxa"/>
            <w:vAlign w:val="bottom"/>
          </w:tcPr>
          <w:p>
            <w:pPr>
              <w:spacing w:after="0"/>
              <w:rPr>
                <w:sz w:val="24"/>
                <w:szCs w:val="24"/>
                <w:color w:val="auto"/>
              </w:rPr>
            </w:pP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430,893</w:t>
            </w:r>
          </w:p>
        </w:tc>
      </w:tr>
      <w:tr>
        <w:trPr>
          <w:trHeight w:val="256"/>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Mutual funds</w:t>
            </w:r>
          </w:p>
        </w:tc>
        <w:tc>
          <w:tcPr>
            <w:tcW w:w="28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400,835</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153,843</w:t>
            </w:r>
          </w:p>
        </w:tc>
      </w:tr>
      <w:tr>
        <w:trPr>
          <w:trHeight w:val="262"/>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Common/collective trusts</w:t>
            </w:r>
          </w:p>
        </w:tc>
        <w:tc>
          <w:tcPr>
            <w:tcW w:w="2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4,040,716</w:t>
            </w:r>
          </w:p>
        </w:tc>
        <w:tc>
          <w:tcPr>
            <w:tcW w:w="3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1,513,229</w:t>
            </w:r>
          </w:p>
        </w:tc>
      </w:tr>
      <w:tr>
        <w:trPr>
          <w:trHeight w:val="503"/>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Master Trust investments</w:t>
            </w:r>
          </w:p>
        </w:tc>
        <w:tc>
          <w:tcPr>
            <w:tcW w:w="2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5,607,355</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2,097,965</w:t>
            </w:r>
          </w:p>
        </w:tc>
      </w:tr>
      <w:tr>
        <w:trPr>
          <w:trHeight w:val="525"/>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Plus:</w:t>
            </w: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56"/>
        </w:trPr>
        <w:tc>
          <w:tcPr>
            <w:tcW w:w="6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Non-interest bearing cash</w:t>
            </w:r>
          </w:p>
        </w:tc>
        <w:tc>
          <w:tcPr>
            <w:tcW w:w="28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57"/>
        </w:trPr>
        <w:tc>
          <w:tcPr>
            <w:tcW w:w="6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Dividends receivable</w:t>
            </w:r>
          </w:p>
        </w:tc>
        <w:tc>
          <w:tcPr>
            <w:tcW w:w="28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8,271</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3,055</w:t>
            </w:r>
          </w:p>
        </w:tc>
      </w:tr>
      <w:tr>
        <w:trPr>
          <w:trHeight w:val="256"/>
        </w:trPr>
        <w:tc>
          <w:tcPr>
            <w:tcW w:w="6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Employer contributions receivable</w:t>
            </w:r>
          </w:p>
        </w:tc>
        <w:tc>
          <w:tcPr>
            <w:tcW w:w="28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62"/>
        </w:trPr>
        <w:tc>
          <w:tcPr>
            <w:tcW w:w="6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Participant contributions receivable</w:t>
            </w:r>
          </w:p>
        </w:tc>
        <w:tc>
          <w:tcPr>
            <w:tcW w:w="280" w:type="dxa"/>
            <w:vAlign w:val="bottom"/>
          </w:tcPr>
          <w:p>
            <w:pPr>
              <w:spacing w:after="0"/>
              <w:rPr>
                <w:sz w:val="22"/>
                <w:szCs w:val="22"/>
                <w:color w:val="auto"/>
              </w:rPr>
            </w:pPr>
          </w:p>
        </w:tc>
        <w:tc>
          <w:tcPr>
            <w:tcW w:w="198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510"/>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Net assets available for benefits of the Master Trust</w:t>
            </w:r>
          </w:p>
        </w:tc>
        <w:tc>
          <w:tcPr>
            <w:tcW w:w="28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5,615,679</w:t>
            </w:r>
          </w:p>
        </w:tc>
        <w:tc>
          <w:tcPr>
            <w:tcW w:w="30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2,101,024</w:t>
            </w:r>
          </w:p>
        </w:tc>
      </w:tr>
      <w:tr>
        <w:trPr>
          <w:trHeight w:val="20"/>
        </w:trPr>
        <w:tc>
          <w:tcPr>
            <w:tcW w:w="6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660" w:top="1413" w:right="539" w:bottom="1440" w:gutter="0" w:footer="0" w:header="0"/>
        </w:sectPr>
      </w:pPr>
    </w:p>
    <w:bookmarkStart w:id="37" w:name="page38"/>
    <w:bookmarkEnd w:id="37"/>
    <w:p>
      <w:pPr>
        <w:ind w:left="332" w:right="380"/>
        <w:spacing w:after="0" w:line="283" w:lineRule="auto"/>
        <w:rPr>
          <w:sz w:val="20"/>
          <w:szCs w:val="20"/>
          <w:color w:val="auto"/>
        </w:rPr>
      </w:pPr>
      <w:r>
        <w:rPr>
          <w:rFonts w:ascii="Times New Roman" w:cs="Times New Roman" w:eastAsia="Times New Roman" w:hAnsi="Times New Roman"/>
          <w:sz w:val="20"/>
          <w:szCs w:val="20"/>
          <w:color w:val="auto"/>
        </w:rPr>
        <w:t>Net appreciation in fair value of investments and dividend income for the Master Trust for the year ended December 31, 2025, are as follows (dollars in thousands):</w:t>
      </w:r>
    </w:p>
    <w:p>
      <w:pPr>
        <w:spacing w:after="0" w:line="173" w:lineRule="exact"/>
        <w:rPr>
          <w:sz w:val="20"/>
          <w:szCs w:val="20"/>
          <w:color w:val="auto"/>
        </w:rPr>
      </w:pPr>
    </w:p>
    <w:tbl>
      <w:tblPr>
        <w:tblLayout w:type="fixed"/>
        <w:tblInd w:w="352" w:type="dxa"/>
        <w:tblCellMar>
          <w:top w:w="0" w:type="dxa"/>
          <w:left w:w="0" w:type="dxa"/>
          <w:bottom w:w="0" w:type="dxa"/>
          <w:right w:w="0" w:type="dxa"/>
        </w:tblCellMar>
      </w:tblPr>
      <w:tr>
        <w:trPr>
          <w:trHeight w:val="207"/>
        </w:trPr>
        <w:tc>
          <w:tcPr>
            <w:tcW w:w="8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tcPr>
          <w:p>
            <w:pPr>
              <w:jc w:val="right"/>
              <w:ind w:right="544"/>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35"/>
        </w:trPr>
        <w:tc>
          <w:tcPr>
            <w:tcW w:w="82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appreciation (depreciation) in fair value of investments:</w:t>
            </w:r>
          </w:p>
        </w:tc>
        <w:tc>
          <w:tcPr>
            <w:tcW w:w="2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204"/>
              <w:spacing w:after="0"/>
              <w:rPr>
                <w:sz w:val="20"/>
                <w:szCs w:val="20"/>
                <w:color w:val="auto"/>
              </w:rPr>
            </w:pPr>
            <w:r>
              <w:rPr>
                <w:rFonts w:ascii="Arial" w:cs="Arial" w:eastAsia="Arial" w:hAnsi="Arial"/>
                <w:sz w:val="18"/>
                <w:szCs w:val="18"/>
                <w:b w:val="1"/>
                <w:bCs w:val="1"/>
                <w:color w:val="auto"/>
              </w:rPr>
              <w:t>December 31, 2025</w:t>
            </w:r>
          </w:p>
        </w:tc>
        <w:tc>
          <w:tcPr>
            <w:tcW w:w="0" w:type="dxa"/>
            <w:vAlign w:val="bottom"/>
          </w:tcPr>
          <w:p>
            <w:pPr>
              <w:spacing w:after="0"/>
              <w:rPr>
                <w:sz w:val="1"/>
                <w:szCs w:val="1"/>
                <w:color w:val="auto"/>
              </w:rPr>
            </w:pPr>
          </w:p>
        </w:tc>
      </w:tr>
      <w:tr>
        <w:trPr>
          <w:trHeight w:val="227"/>
        </w:trPr>
        <w:tc>
          <w:tcPr>
            <w:tcW w:w="82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Sempra common stock</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(1,156)</w:t>
            </w:r>
          </w:p>
        </w:tc>
        <w:tc>
          <w:tcPr>
            <w:tcW w:w="0" w:type="dxa"/>
            <w:vAlign w:val="bottom"/>
          </w:tcPr>
          <w:p>
            <w:pPr>
              <w:spacing w:after="0"/>
              <w:rPr>
                <w:sz w:val="1"/>
                <w:szCs w:val="1"/>
                <w:color w:val="auto"/>
              </w:rPr>
            </w:pPr>
          </w:p>
        </w:tc>
      </w:tr>
      <w:tr>
        <w:trPr>
          <w:trHeight w:val="257"/>
        </w:trPr>
        <w:tc>
          <w:tcPr>
            <w:tcW w:w="8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Mutual funds</w:t>
            </w:r>
          </w:p>
        </w:tc>
        <w:tc>
          <w:tcPr>
            <w:tcW w:w="200" w:type="dxa"/>
            <w:vAlign w:val="bottom"/>
          </w:tcPr>
          <w:p>
            <w:pPr>
              <w:spacing w:after="0"/>
              <w:rPr>
                <w:sz w:val="22"/>
                <w:szCs w:val="22"/>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42,113</w:t>
            </w:r>
          </w:p>
        </w:tc>
        <w:tc>
          <w:tcPr>
            <w:tcW w:w="0" w:type="dxa"/>
            <w:vAlign w:val="bottom"/>
          </w:tcPr>
          <w:p>
            <w:pPr>
              <w:spacing w:after="0"/>
              <w:rPr>
                <w:sz w:val="1"/>
                <w:szCs w:val="1"/>
                <w:color w:val="auto"/>
              </w:rPr>
            </w:pPr>
          </w:p>
        </w:tc>
      </w:tr>
      <w:tr>
        <w:trPr>
          <w:trHeight w:val="262"/>
        </w:trPr>
        <w:tc>
          <w:tcPr>
            <w:tcW w:w="8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Common/collective trusts</w:t>
            </w:r>
          </w:p>
        </w:tc>
        <w:tc>
          <w:tcPr>
            <w:tcW w:w="20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637,142</w:t>
            </w:r>
          </w:p>
        </w:tc>
        <w:tc>
          <w:tcPr>
            <w:tcW w:w="0" w:type="dxa"/>
            <w:vAlign w:val="bottom"/>
          </w:tcPr>
          <w:p>
            <w:pPr>
              <w:spacing w:after="0"/>
              <w:rPr>
                <w:sz w:val="1"/>
                <w:szCs w:val="1"/>
                <w:color w:val="auto"/>
              </w:rPr>
            </w:pPr>
          </w:p>
        </w:tc>
      </w:tr>
      <w:tr>
        <w:trPr>
          <w:trHeight w:val="510"/>
        </w:trPr>
        <w:tc>
          <w:tcPr>
            <w:tcW w:w="8280" w:type="dxa"/>
            <w:vAlign w:val="bottom"/>
          </w:tcPr>
          <w:p>
            <w:pPr>
              <w:spacing w:after="0"/>
              <w:rPr>
                <w:sz w:val="20"/>
                <w:szCs w:val="20"/>
                <w:color w:val="auto"/>
              </w:rPr>
            </w:pPr>
            <w:r>
              <w:rPr>
                <w:rFonts w:ascii="Times New Roman" w:cs="Times New Roman" w:eastAsia="Times New Roman" w:hAnsi="Times New Roman"/>
                <w:sz w:val="20"/>
                <w:szCs w:val="20"/>
                <w:color w:val="auto"/>
              </w:rPr>
              <w:t>Net appreciation in fair value of investments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678,099</w:t>
            </w:r>
          </w:p>
        </w:tc>
        <w:tc>
          <w:tcPr>
            <w:tcW w:w="0" w:type="dxa"/>
            <w:vAlign w:val="bottom"/>
          </w:tcPr>
          <w:p>
            <w:pPr>
              <w:spacing w:after="0"/>
              <w:rPr>
                <w:sz w:val="1"/>
                <w:szCs w:val="1"/>
                <w:color w:val="auto"/>
              </w:rPr>
            </w:pPr>
          </w:p>
        </w:tc>
      </w:tr>
      <w:tr>
        <w:trPr>
          <w:trHeight w:val="21"/>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8280" w:type="dxa"/>
            <w:vAlign w:val="bottom"/>
          </w:tcPr>
          <w:p>
            <w:pPr>
              <w:spacing w:after="0"/>
              <w:rPr>
                <w:sz w:val="20"/>
                <w:szCs w:val="20"/>
                <w:color w:val="auto"/>
              </w:rPr>
            </w:pPr>
            <w:r>
              <w:rPr>
                <w:rFonts w:ascii="Times New Roman" w:cs="Times New Roman" w:eastAsia="Times New Roman" w:hAnsi="Times New Roman"/>
                <w:sz w:val="20"/>
                <w:szCs w:val="20"/>
                <w:color w:val="auto"/>
              </w:rPr>
              <w:t>Dividend income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37,749</w:t>
            </w:r>
          </w:p>
        </w:tc>
        <w:tc>
          <w:tcPr>
            <w:tcW w:w="0" w:type="dxa"/>
            <w:vAlign w:val="bottom"/>
          </w:tcPr>
          <w:p>
            <w:pPr>
              <w:spacing w:after="0"/>
              <w:rPr>
                <w:sz w:val="1"/>
                <w:szCs w:val="1"/>
                <w:color w:val="auto"/>
              </w:rPr>
            </w:pPr>
          </w:p>
        </w:tc>
      </w:tr>
      <w:tr>
        <w:trPr>
          <w:trHeight w:val="21"/>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32" w:hanging="332"/>
        <w:spacing w:after="0"/>
        <w:tabs>
          <w:tab w:leader="none" w:pos="332" w:val="left"/>
        </w:tabs>
        <w:numPr>
          <w:ilvl w:val="0"/>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FAIR VALUE MEASUREMENTS</w:t>
      </w:r>
    </w:p>
    <w:p>
      <w:pPr>
        <w:spacing w:after="0" w:line="219" w:lineRule="exact"/>
        <w:rPr>
          <w:rFonts w:ascii="Times New Roman" w:cs="Times New Roman" w:eastAsia="Times New Roman" w:hAnsi="Times New Roman"/>
          <w:sz w:val="20"/>
          <w:szCs w:val="20"/>
          <w:b w:val="1"/>
          <w:bCs w:val="1"/>
          <w:color w:val="auto"/>
        </w:rPr>
      </w:pPr>
    </w:p>
    <w:p>
      <w:pPr>
        <w:ind w:left="332"/>
        <w:spacing w:after="0" w:line="257"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Plan management applies recurring fair value measurements to certain assets and liabilities. “Fair value” is defined as the price that would be received to sell an asset or paid to transfer a liability in an orderly transaction between market participants at the measurement date (exit price). A fair value measurement reflects the assumptions market participants would use in pricing an asset or liability based on the best available information. These assumptions include the risk inherent in a particular valuation technique (such as a pricing model) and the risks inherent in the inputs to the model.</w:t>
      </w:r>
    </w:p>
    <w:p>
      <w:pPr>
        <w:spacing w:after="0" w:line="172" w:lineRule="exact"/>
        <w:rPr>
          <w:rFonts w:ascii="Times New Roman" w:cs="Times New Roman" w:eastAsia="Times New Roman" w:hAnsi="Times New Roman"/>
          <w:sz w:val="20"/>
          <w:szCs w:val="20"/>
          <w:b w:val="1"/>
          <w:bCs w:val="1"/>
          <w:color w:val="auto"/>
        </w:rPr>
      </w:pPr>
    </w:p>
    <w:p>
      <w:pPr>
        <w:ind w:left="332" w:right="360"/>
        <w:spacing w:after="0" w:line="28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fair value hierarchy used by Plan management prioritizes the inputs used to measure fair value, with the highest priority given to observable inputs and the lowest priority given to unobservable inputs, as follows:</w:t>
      </w:r>
    </w:p>
    <w:p>
      <w:pPr>
        <w:spacing w:after="0" w:line="159" w:lineRule="exact"/>
        <w:rPr>
          <w:rFonts w:ascii="Times New Roman" w:cs="Times New Roman" w:eastAsia="Times New Roman" w:hAnsi="Times New Roman"/>
          <w:sz w:val="20"/>
          <w:szCs w:val="20"/>
          <w:b w:val="1"/>
          <w:bCs w:val="1"/>
          <w:color w:val="auto"/>
        </w:rPr>
      </w:pPr>
    </w:p>
    <w:p>
      <w:pPr>
        <w:ind w:left="652" w:right="420" w:hanging="328"/>
        <w:spacing w:after="0" w:line="269" w:lineRule="auto"/>
        <w:tabs>
          <w:tab w:leader="none" w:pos="64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1, which refers to investments valued using observable inputs that reflect quoted (unadjusted) prices for identical assets in active markets;</w:t>
      </w:r>
    </w:p>
    <w:p>
      <w:pPr>
        <w:spacing w:after="0" w:line="172" w:lineRule="exact"/>
        <w:rPr>
          <w:rFonts w:ascii="Times New Roman" w:cs="Times New Roman" w:eastAsia="Times New Roman" w:hAnsi="Times New Roman"/>
          <w:sz w:val="20"/>
          <w:szCs w:val="20"/>
          <w:color w:val="auto"/>
        </w:rPr>
      </w:pPr>
    </w:p>
    <w:p>
      <w:pPr>
        <w:ind w:left="652" w:right="100" w:hanging="328"/>
        <w:spacing w:after="0" w:line="269" w:lineRule="auto"/>
        <w:tabs>
          <w:tab w:leader="none" w:pos="64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2, which refers to investments valued using inputs other than quoted prices in active markets and for which observable market data is readily available; and</w:t>
      </w:r>
    </w:p>
    <w:p>
      <w:pPr>
        <w:spacing w:after="0" w:line="172" w:lineRule="exact"/>
        <w:rPr>
          <w:rFonts w:ascii="Times New Roman" w:cs="Times New Roman" w:eastAsia="Times New Roman" w:hAnsi="Times New Roman"/>
          <w:sz w:val="20"/>
          <w:szCs w:val="20"/>
          <w:color w:val="auto"/>
        </w:rPr>
      </w:pPr>
    </w:p>
    <w:p>
      <w:pPr>
        <w:ind w:left="652" w:right="140" w:hanging="328"/>
        <w:spacing w:after="0" w:line="283" w:lineRule="auto"/>
        <w:tabs>
          <w:tab w:leader="none" w:pos="64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3, which refers to investments valued based on unobservable inputs, which are determined based on estimates of assumptions that market participants would use in pricing the asset or liability.</w:t>
      </w:r>
    </w:p>
    <w:p>
      <w:pPr>
        <w:spacing w:after="0" w:line="146" w:lineRule="exact"/>
        <w:rPr>
          <w:sz w:val="20"/>
          <w:szCs w:val="20"/>
          <w:color w:val="auto"/>
        </w:rPr>
      </w:pPr>
    </w:p>
    <w:p>
      <w:pPr>
        <w:ind w:left="332" w:right="200"/>
        <w:spacing w:after="0" w:line="283" w:lineRule="auto"/>
        <w:rPr>
          <w:sz w:val="20"/>
          <w:szCs w:val="20"/>
          <w:color w:val="auto"/>
        </w:rPr>
      </w:pPr>
      <w:r>
        <w:rPr>
          <w:rFonts w:ascii="Times New Roman" w:cs="Times New Roman" w:eastAsia="Times New Roman" w:hAnsi="Times New Roman"/>
          <w:sz w:val="20"/>
          <w:szCs w:val="20"/>
          <w:color w:val="auto"/>
        </w:rPr>
        <w:t>Investments are classified in their entirety based on the lowest level of input that is significant to the fair value measurement. Valuation techniques used maximize the use of observable inputs and minimize the use of unobservable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13" w:right="359" w:bottom="1440" w:gutter="0" w:footer="0" w:header="0"/>
        </w:sectPr>
      </w:pPr>
    </w:p>
    <w:bookmarkStart w:id="38" w:name="page39"/>
    <w:bookmarkEnd w:id="38"/>
    <w:p>
      <w:pPr>
        <w:ind w:left="8"/>
        <w:spacing w:after="0" w:line="283" w:lineRule="auto"/>
        <w:rPr>
          <w:sz w:val="20"/>
          <w:szCs w:val="20"/>
          <w:color w:val="auto"/>
        </w:rPr>
      </w:pPr>
      <w:r>
        <w:rPr>
          <w:rFonts w:ascii="Times New Roman" w:cs="Times New Roman" w:eastAsia="Times New Roman" w:hAnsi="Times New Roman"/>
          <w:sz w:val="20"/>
          <w:szCs w:val="20"/>
          <w:color w:val="auto"/>
        </w:rPr>
        <w:t>The following table sets forth by level within the fair value hierarchy a summary of the Master Trust’s investments measured at fair value on a recurring basis at December 31, 2025 and 2024 (dollars in thousands):</w:t>
      </w:r>
    </w:p>
    <w:p>
      <w:pPr>
        <w:spacing w:after="0" w:line="191" w:lineRule="exact"/>
        <w:rPr>
          <w:sz w:val="20"/>
          <w:szCs w:val="20"/>
          <w:color w:val="auto"/>
        </w:rPr>
      </w:pPr>
    </w:p>
    <w:tbl>
      <w:tblPr>
        <w:tblLayout w:type="fixed"/>
        <w:tblInd w:w="28" w:type="dxa"/>
        <w:tblCellMar>
          <w:top w:w="0" w:type="dxa"/>
          <w:left w:w="0" w:type="dxa"/>
          <w:bottom w:w="0" w:type="dxa"/>
          <w:right w:w="0" w:type="dxa"/>
        </w:tblCellMar>
      </w:tblPr>
      <w:tr>
        <w:trPr>
          <w:trHeight w:val="230"/>
        </w:trPr>
        <w:tc>
          <w:tcPr>
            <w:tcW w:w="6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9"/>
                <w:szCs w:val="19"/>
                <w:color w:val="auto"/>
              </w:rPr>
            </w:pPr>
          </w:p>
        </w:tc>
        <w:tc>
          <w:tcPr>
            <w:tcW w:w="1580" w:type="dxa"/>
            <w:vAlign w:val="bottom"/>
          </w:tcPr>
          <w:p>
            <w:pPr>
              <w:jc w:val="right"/>
              <w:ind w:right="224"/>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66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Level 1 investments:</w:t>
            </w: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84"/>
              <w:spacing w:after="0"/>
              <w:rPr>
                <w:sz w:val="20"/>
                <w:szCs w:val="20"/>
                <w:color w:val="auto"/>
              </w:rPr>
            </w:pPr>
            <w:r>
              <w:rPr>
                <w:rFonts w:ascii="Arial" w:cs="Arial" w:eastAsia="Arial" w:hAnsi="Arial"/>
                <w:sz w:val="18"/>
                <w:szCs w:val="18"/>
                <w:b w:val="1"/>
                <w:bCs w:val="1"/>
                <w:color w:val="auto"/>
              </w:rPr>
              <w:t>2025</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04"/>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27"/>
        </w:trPr>
        <w:tc>
          <w:tcPr>
            <w:tcW w:w="66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Sempra common stock</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1,034,401</w:t>
            </w:r>
          </w:p>
        </w:tc>
        <w:tc>
          <w:tcPr>
            <w:tcW w:w="300" w:type="dxa"/>
            <w:vAlign w:val="bottom"/>
          </w:tcPr>
          <w:p>
            <w:pPr>
              <w:spacing w:after="0"/>
              <w:rPr>
                <w:sz w:val="22"/>
                <w:szCs w:val="22"/>
                <w:color w:val="auto"/>
              </w:rPr>
            </w:pPr>
          </w:p>
        </w:tc>
        <w:tc>
          <w:tcPr>
            <w:tcW w:w="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1,165,804</w:t>
            </w:r>
          </w:p>
        </w:tc>
        <w:tc>
          <w:tcPr>
            <w:tcW w:w="0" w:type="dxa"/>
            <w:vAlign w:val="bottom"/>
          </w:tcPr>
          <w:p>
            <w:pPr>
              <w:spacing w:after="0"/>
              <w:rPr>
                <w:sz w:val="1"/>
                <w:szCs w:val="1"/>
                <w:color w:val="auto"/>
              </w:rPr>
            </w:pPr>
          </w:p>
        </w:tc>
      </w:tr>
      <w:tr>
        <w:trPr>
          <w:trHeight w:val="262"/>
        </w:trPr>
        <w:tc>
          <w:tcPr>
            <w:tcW w:w="6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Mutual funds</w:t>
            </w:r>
          </w:p>
        </w:tc>
        <w:tc>
          <w:tcPr>
            <w:tcW w:w="2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442,746</w:t>
            </w:r>
          </w:p>
        </w:tc>
        <w:tc>
          <w:tcPr>
            <w:tcW w:w="3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400,835</w:t>
            </w:r>
          </w:p>
        </w:tc>
        <w:tc>
          <w:tcPr>
            <w:tcW w:w="0" w:type="dxa"/>
            <w:vAlign w:val="bottom"/>
          </w:tcPr>
          <w:p>
            <w:pPr>
              <w:spacing w:after="0"/>
              <w:rPr>
                <w:sz w:val="1"/>
                <w:szCs w:val="1"/>
                <w:color w:val="auto"/>
              </w:rPr>
            </w:pPr>
          </w:p>
        </w:tc>
      </w:tr>
      <w:tr>
        <w:trPr>
          <w:trHeight w:val="435"/>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Total Level 1 investments</w:t>
            </w:r>
          </w:p>
        </w:tc>
        <w:tc>
          <w:tcPr>
            <w:tcW w:w="2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1,477,147</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1,566,639</w:t>
            </w:r>
          </w:p>
        </w:tc>
        <w:tc>
          <w:tcPr>
            <w:tcW w:w="0" w:type="dxa"/>
            <w:vAlign w:val="bottom"/>
          </w:tcPr>
          <w:p>
            <w:pPr>
              <w:spacing w:after="0"/>
              <w:rPr>
                <w:sz w:val="1"/>
                <w:szCs w:val="1"/>
                <w:color w:val="auto"/>
              </w:rPr>
            </w:pPr>
          </w:p>
        </w:tc>
      </w:tr>
      <w:tr>
        <w:trPr>
          <w:trHeight w:val="457"/>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Investments measured at NAV*:</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Common/collective trusts</w:t>
            </w:r>
          </w:p>
        </w:tc>
        <w:tc>
          <w:tcPr>
            <w:tcW w:w="2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4,474,698</w:t>
            </w:r>
          </w:p>
        </w:tc>
        <w:tc>
          <w:tcPr>
            <w:tcW w:w="3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4,040,716</w:t>
            </w:r>
          </w:p>
        </w:tc>
        <w:tc>
          <w:tcPr>
            <w:tcW w:w="0" w:type="dxa"/>
            <w:vAlign w:val="bottom"/>
          </w:tcPr>
          <w:p>
            <w:pPr>
              <w:spacing w:after="0"/>
              <w:rPr>
                <w:sz w:val="1"/>
                <w:szCs w:val="1"/>
                <w:color w:val="auto"/>
              </w:rPr>
            </w:pPr>
          </w:p>
        </w:tc>
      </w:tr>
      <w:tr>
        <w:trPr>
          <w:trHeight w:val="443"/>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Total Master Trust investments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5,951,845</w:t>
            </w:r>
          </w:p>
        </w:tc>
        <w:tc>
          <w:tcPr>
            <w:tcW w:w="300" w:type="dxa"/>
            <w:vAlign w:val="bottom"/>
          </w:tcPr>
          <w:p>
            <w:pPr>
              <w:spacing w:after="0"/>
              <w:rPr>
                <w:sz w:val="24"/>
                <w:szCs w:val="24"/>
                <w:color w:val="auto"/>
              </w:rPr>
            </w:pPr>
          </w:p>
        </w:tc>
        <w:tc>
          <w:tcPr>
            <w:tcW w:w="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5,607,355</w:t>
            </w:r>
          </w:p>
        </w:tc>
        <w:tc>
          <w:tcPr>
            <w:tcW w:w="0" w:type="dxa"/>
            <w:vAlign w:val="bottom"/>
          </w:tcPr>
          <w:p>
            <w:pPr>
              <w:spacing w:after="0"/>
              <w:rPr>
                <w:sz w:val="1"/>
                <w:szCs w:val="1"/>
                <w:color w:val="auto"/>
              </w:rPr>
            </w:pPr>
          </w:p>
        </w:tc>
      </w:tr>
      <w:tr>
        <w:trPr>
          <w:trHeight w:val="21"/>
        </w:trPr>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28" w:right="280" w:hanging="328"/>
        <w:spacing w:after="0" w:line="255" w:lineRule="auto"/>
        <w:tabs>
          <w:tab w:leader="none" w:pos="319"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Investments for which fair value is estimated based on NAV as a practical expedient have not been classified in the fair value hierarchy, but are presented to permit reconciliation to the total Master Trust investments in Note 4.</w:t>
      </w:r>
    </w:p>
    <w:p>
      <w:pPr>
        <w:spacing w:after="0" w:line="179"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There were no investments classified as Level 2 or Level 3 in the Master Trust as of December 31, 2025 or 2024.</w:t>
      </w:r>
    </w:p>
    <w:p>
      <w:pPr>
        <w:spacing w:after="0" w:line="2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The following is a description of the valuation methodologies and assumptions used to estimate the fair values of the investments in the</w:t>
      </w:r>
    </w:p>
    <w:p>
      <w:pPr>
        <w:spacing w:after="0" w:line="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Master Trust:</w:t>
      </w:r>
    </w:p>
    <w:p>
      <w:pPr>
        <w:spacing w:after="0" w:line="19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9"/>
          <w:szCs w:val="19"/>
          <w:i w:val="1"/>
          <w:iCs w:val="1"/>
          <w:color w:val="auto"/>
        </w:rPr>
        <w:t xml:space="preserve">Common Stocks </w:t>
      </w:r>
      <w:r>
        <w:rPr>
          <w:rFonts w:ascii="Times New Roman" w:cs="Times New Roman" w:eastAsia="Times New Roman" w:hAnsi="Times New Roman"/>
          <w:sz w:val="19"/>
          <w:szCs w:val="19"/>
          <w:color w:val="auto"/>
        </w:rPr>
        <w:t>— Common stocks are valued using quoted prices listed on nationally recognized securities exchanges (Level 1 inputs).</w:t>
      </w:r>
    </w:p>
    <w:p>
      <w:pPr>
        <w:spacing w:after="0" w:line="241" w:lineRule="exact"/>
        <w:rPr>
          <w:sz w:val="20"/>
          <w:szCs w:val="20"/>
          <w:color w:val="auto"/>
        </w:rPr>
      </w:pPr>
    </w:p>
    <w:p>
      <w:pPr>
        <w:jc w:val="both"/>
        <w:ind w:left="8" w:right="220"/>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Mutual Funds </w:t>
      </w:r>
      <w:r>
        <w:rPr>
          <w:rFonts w:ascii="Times New Roman" w:cs="Times New Roman" w:eastAsia="Times New Roman" w:hAnsi="Times New Roman"/>
          <w:sz w:val="20"/>
          <w:szCs w:val="20"/>
          <w:color w:val="auto"/>
        </w:rPr>
        <w:t>— The fair values of mutual funds are determined by obtaining quoted prices listed on nationally recognized securities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exchanges (Level 1 inputs). These funds are required to publish their daily NAV and to transact at that price. The mutual funds held by the Master Trust are deemed to be actively traded.</w:t>
      </w:r>
    </w:p>
    <w:p>
      <w:pPr>
        <w:spacing w:after="0" w:line="175" w:lineRule="exact"/>
        <w:rPr>
          <w:sz w:val="20"/>
          <w:szCs w:val="20"/>
          <w:color w:val="auto"/>
        </w:rPr>
      </w:pPr>
    </w:p>
    <w:p>
      <w:pPr>
        <w:ind w:left="8" w:right="20"/>
        <w:spacing w:after="0" w:line="273" w:lineRule="auto"/>
        <w:rPr>
          <w:sz w:val="20"/>
          <w:szCs w:val="20"/>
          <w:color w:val="auto"/>
        </w:rPr>
      </w:pPr>
      <w:r>
        <w:rPr>
          <w:rFonts w:ascii="Times New Roman" w:cs="Times New Roman" w:eastAsia="Times New Roman" w:hAnsi="Times New Roman"/>
          <w:sz w:val="19"/>
          <w:szCs w:val="19"/>
          <w:i w:val="1"/>
          <w:iCs w:val="1"/>
          <w:color w:val="auto"/>
        </w:rPr>
        <w:t xml:space="preserve">Common/Collective Trusts </w:t>
      </w:r>
      <w:r>
        <w:rPr>
          <w:rFonts w:ascii="Times New Roman" w:cs="Times New Roman" w:eastAsia="Times New Roman" w:hAnsi="Times New Roman"/>
          <w:sz w:val="19"/>
          <w:szCs w:val="19"/>
          <w:color w:val="auto"/>
        </w:rPr>
        <w:t>— NAV is used as a practical expedient to estimate the fair value of participation units held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common/collective trust funds, for which the reported NAV reflects recent transaction prices. The NAV is provided by the trustee of each common/collective trust. Apart from the stable value fund, each common/collective trust allows for daily redemptions by the Plan at its reported NAV per share, with no advance notice requirement, has no unfunded commitments, and has no other redemption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8"/>
          </w:cols>
          <w:pgMar w:left="652" w:top="1413" w:right="359" w:bottom="1440" w:gutter="0" w:footer="0" w:header="0"/>
        </w:sectPr>
      </w:pPr>
    </w:p>
    <w:bookmarkStart w:id="39" w:name="page40"/>
    <w:bookmarkEnd w:id="39"/>
    <w:p>
      <w:pPr>
        <w:ind w:left="332"/>
        <w:spacing w:after="0" w:line="253" w:lineRule="auto"/>
        <w:rPr>
          <w:sz w:val="20"/>
          <w:szCs w:val="20"/>
          <w:color w:val="auto"/>
        </w:rPr>
      </w:pPr>
      <w:r>
        <w:rPr>
          <w:rFonts w:ascii="Times New Roman" w:cs="Times New Roman" w:eastAsia="Times New Roman" w:hAnsi="Times New Roman"/>
          <w:sz w:val="20"/>
          <w:szCs w:val="20"/>
          <w:color w:val="auto"/>
        </w:rPr>
        <w:t>The T. Rowe Price Stable Value Common Trust Fund invests in fully benefit-responsive contracts that are held at contract value. NAV is determined to be contract value, the value at which participants ordinarily transact. This practical expedient is not used if it is determined to be probable that the fund will sell its investment for an amount different from the reported NAV. The Plan is required to give notice 12 months in advance of a partial or total liquidation of the investment in the stable value fund for any purpose other than for benefit payments, participant loans, participant-directed investment transfers, and payment of administrative fees. The Plan Administrator is also required to give a 30-day notice of the liquidation of the investment in the fund due to termination of the Master Trust. There are no unfunded commitments related to the stable value fund.</w:t>
      </w:r>
    </w:p>
    <w:p>
      <w:pPr>
        <w:spacing w:after="0" w:line="179" w:lineRule="exact"/>
        <w:rPr>
          <w:sz w:val="20"/>
          <w:szCs w:val="20"/>
          <w:color w:val="auto"/>
        </w:rPr>
      </w:pPr>
    </w:p>
    <w:p>
      <w:pPr>
        <w:ind w:left="332" w:right="60"/>
        <w:spacing w:after="0" w:line="258" w:lineRule="auto"/>
        <w:rPr>
          <w:sz w:val="20"/>
          <w:szCs w:val="20"/>
          <w:color w:val="auto"/>
        </w:rPr>
      </w:pPr>
      <w:r>
        <w:rPr>
          <w:rFonts w:ascii="Times New Roman" w:cs="Times New Roman" w:eastAsia="Times New Roman" w:hAnsi="Times New Roman"/>
          <w:sz w:val="20"/>
          <w:szCs w:val="20"/>
          <w:color w:val="auto"/>
        </w:rPr>
        <w:t>The valuation methods described above are intended to produce a fair value calculation that is indicative of net realizable value or reflective of future fair values. However, while the Plan believes its valuation methods are appropriate and consistent with other market participants, the use of different methodologies or assumptions to determine the fair value of certain financial instruments could result in different fair value measurements at the reporting date.</w:t>
      </w:r>
    </w:p>
    <w:p>
      <w:pPr>
        <w:spacing w:after="0" w:line="200" w:lineRule="exact"/>
        <w:rPr>
          <w:sz w:val="20"/>
          <w:szCs w:val="20"/>
          <w:color w:val="auto"/>
        </w:rPr>
      </w:pPr>
    </w:p>
    <w:p>
      <w:pPr>
        <w:spacing w:after="0" w:line="225" w:lineRule="exact"/>
        <w:rPr>
          <w:sz w:val="20"/>
          <w:szCs w:val="20"/>
          <w:color w:val="auto"/>
        </w:rPr>
      </w:pPr>
    </w:p>
    <w:p>
      <w:pPr>
        <w:ind w:left="332" w:hanging="332"/>
        <w:spacing w:after="0"/>
        <w:tabs>
          <w:tab w:leader="none" w:pos="332" w:val="left"/>
        </w:tabs>
        <w:numPr>
          <w:ilvl w:val="0"/>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RECONCILIATION OF FINANCIAL STATEMENTS TO FORM 5500</w:t>
      </w:r>
    </w:p>
    <w:p>
      <w:pPr>
        <w:spacing w:after="0" w:line="219" w:lineRule="exact"/>
        <w:rPr>
          <w:rFonts w:ascii="Times New Roman" w:cs="Times New Roman" w:eastAsia="Times New Roman" w:hAnsi="Times New Roman"/>
          <w:sz w:val="20"/>
          <w:szCs w:val="20"/>
          <w:b w:val="1"/>
          <w:bCs w:val="1"/>
          <w:color w:val="auto"/>
        </w:rPr>
      </w:pPr>
    </w:p>
    <w:p>
      <w:pPr>
        <w:ind w:left="332" w:right="820"/>
        <w:spacing w:after="0" w:line="28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following is a reconciliation of net assets available for benefits at December 31, 2025 and 2024 as reported in the financial statements compared to the Form 5500 (dollars in thousands):</w:t>
      </w:r>
    </w:p>
    <w:p>
      <w:pPr>
        <w:spacing w:after="0" w:line="218" w:lineRule="exact"/>
        <w:rPr>
          <w:sz w:val="20"/>
          <w:szCs w:val="20"/>
          <w:color w:val="auto"/>
        </w:rPr>
      </w:pPr>
    </w:p>
    <w:tbl>
      <w:tblPr>
        <w:tblLayout w:type="fixed"/>
        <w:tblInd w:w="352" w:type="dxa"/>
        <w:tblCellMar>
          <w:top w:w="0" w:type="dxa"/>
          <w:left w:w="0" w:type="dxa"/>
          <w:bottom w:w="0" w:type="dxa"/>
          <w:right w:w="0" w:type="dxa"/>
        </w:tblCellMar>
      </w:tblPr>
      <w:tr>
        <w:trPr>
          <w:trHeight w:val="229"/>
        </w:trPr>
        <w:tc>
          <w:tcPr>
            <w:tcW w:w="6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gridSpan w:val="2"/>
          </w:tcPr>
          <w:p>
            <w:pPr>
              <w:ind w:left="180"/>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Pr>
          <w:p>
            <w:pPr>
              <w:spacing w:after="0"/>
              <w:rPr>
                <w:sz w:val="19"/>
                <w:szCs w:val="19"/>
                <w:color w:val="auto"/>
              </w:rPr>
            </w:pPr>
          </w:p>
        </w:tc>
        <w:tc>
          <w:tcPr>
            <w:tcW w:w="1880" w:type="dxa"/>
            <w:vAlign w:val="bottom"/>
          </w:tcPr>
          <w:p>
            <w:pPr>
              <w:jc w:val="right"/>
              <w:ind w:right="425"/>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6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assets available for benefits per the financial</w:t>
            </w: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785"/>
              <w:spacing w:after="0"/>
              <w:rPr>
                <w:sz w:val="20"/>
                <w:szCs w:val="20"/>
                <w:color w:val="auto"/>
              </w:rPr>
            </w:pPr>
            <w:r>
              <w:rPr>
                <w:rFonts w:ascii="Arial" w:cs="Arial" w:eastAsia="Arial" w:hAnsi="Arial"/>
                <w:sz w:val="18"/>
                <w:szCs w:val="18"/>
                <w:b w:val="1"/>
                <w:bCs w:val="1"/>
                <w:color w:val="auto"/>
              </w:rPr>
              <w:t>2025</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805"/>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173"/>
        </w:trPr>
        <w:tc>
          <w:tcPr>
            <w:tcW w:w="6040" w:type="dxa"/>
            <w:vAlign w:val="bottom"/>
            <w:vMerge w:val="continue"/>
          </w:tcPr>
          <w:p>
            <w:pPr>
              <w:spacing w:after="0"/>
              <w:rPr>
                <w:sz w:val="15"/>
                <w:szCs w:val="15"/>
                <w:color w:val="auto"/>
              </w:rPr>
            </w:pPr>
          </w:p>
        </w:tc>
        <w:tc>
          <w:tcPr>
            <w:tcW w:w="320" w:type="dxa"/>
            <w:vAlign w:val="bottom"/>
            <w:vMerge w:val="restart"/>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2,233,193</w:t>
            </w:r>
          </w:p>
        </w:tc>
        <w:tc>
          <w:tcPr>
            <w:tcW w:w="280" w:type="dxa"/>
            <w:vAlign w:val="bottom"/>
          </w:tcPr>
          <w:p>
            <w:pPr>
              <w:spacing w:after="0"/>
              <w:rPr>
                <w:sz w:val="15"/>
                <w:szCs w:val="15"/>
                <w:color w:val="auto"/>
              </w:rPr>
            </w:pPr>
          </w:p>
        </w:tc>
        <w:tc>
          <w:tcPr>
            <w:tcW w:w="320" w:type="dxa"/>
            <w:vAlign w:val="bottom"/>
            <w:vMerge w:val="restart"/>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2,131,333</w:t>
            </w:r>
          </w:p>
        </w:tc>
        <w:tc>
          <w:tcPr>
            <w:tcW w:w="0" w:type="dxa"/>
            <w:vAlign w:val="bottom"/>
          </w:tcPr>
          <w:p>
            <w:pPr>
              <w:spacing w:after="0"/>
              <w:rPr>
                <w:sz w:val="1"/>
                <w:szCs w:val="1"/>
                <w:color w:val="auto"/>
              </w:rPr>
            </w:pPr>
          </w:p>
        </w:tc>
      </w:tr>
      <w:tr>
        <w:trPr>
          <w:trHeight w:val="243"/>
        </w:trPr>
        <w:tc>
          <w:tcPr>
            <w:tcW w:w="6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statements</w:t>
            </w:r>
          </w:p>
        </w:tc>
        <w:tc>
          <w:tcPr>
            <w:tcW w:w="320" w:type="dxa"/>
            <w:vAlign w:val="bottom"/>
            <w:vMerge w:val="continue"/>
          </w:tcPr>
          <w:p>
            <w:pPr>
              <w:spacing w:after="0"/>
              <w:rPr>
                <w:sz w:val="21"/>
                <w:szCs w:val="21"/>
                <w:color w:val="auto"/>
              </w:rPr>
            </w:pPr>
          </w:p>
        </w:tc>
        <w:tc>
          <w:tcPr>
            <w:tcW w:w="186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vMerge w:val="continue"/>
          </w:tcPr>
          <w:p>
            <w:pPr>
              <w:spacing w:after="0"/>
              <w:rPr>
                <w:sz w:val="21"/>
                <w:szCs w:val="21"/>
                <w:color w:val="auto"/>
              </w:rPr>
            </w:pPr>
          </w:p>
        </w:tc>
        <w:tc>
          <w:tcPr>
            <w:tcW w:w="1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0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Delinquent notes receivable in the financial statements</w:t>
            </w:r>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80"/>
              <w:spacing w:after="0" w:line="203" w:lineRule="exact"/>
              <w:rPr>
                <w:sz w:val="20"/>
                <w:szCs w:val="20"/>
                <w:color w:val="auto"/>
              </w:rPr>
            </w:pPr>
            <w:r>
              <w:rPr>
                <w:rFonts w:ascii="Times New Roman" w:cs="Times New Roman" w:eastAsia="Times New Roman" w:hAnsi="Times New Roman"/>
                <w:sz w:val="20"/>
                <w:szCs w:val="20"/>
                <w:color w:val="auto"/>
              </w:rPr>
              <w:t>reported as deemed distributions of participant loans in the</w:t>
            </w:r>
          </w:p>
        </w:tc>
        <w:tc>
          <w:tcPr>
            <w:tcW w:w="320" w:type="dxa"/>
            <w:vAlign w:val="bottom"/>
          </w:tcPr>
          <w:p>
            <w:pPr>
              <w:spacing w:after="0"/>
              <w:rPr>
                <w:sz w:val="17"/>
                <w:szCs w:val="17"/>
                <w:color w:val="auto"/>
              </w:rPr>
            </w:pPr>
          </w:p>
        </w:tc>
        <w:tc>
          <w:tcPr>
            <w:tcW w:w="1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(394)</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(521)</w:t>
            </w:r>
          </w:p>
        </w:tc>
        <w:tc>
          <w:tcPr>
            <w:tcW w:w="0" w:type="dxa"/>
            <w:vAlign w:val="bottom"/>
          </w:tcPr>
          <w:p>
            <w:pPr>
              <w:spacing w:after="0"/>
              <w:rPr>
                <w:sz w:val="1"/>
                <w:szCs w:val="1"/>
                <w:color w:val="auto"/>
              </w:rPr>
            </w:pPr>
          </w:p>
        </w:tc>
      </w:tr>
      <w:tr>
        <w:trPr>
          <w:trHeight w:val="252"/>
        </w:trPr>
        <w:tc>
          <w:tcPr>
            <w:tcW w:w="6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Form 5500</w:t>
            </w:r>
          </w:p>
        </w:tc>
        <w:tc>
          <w:tcPr>
            <w:tcW w:w="3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vMerge w:val="continue"/>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Net assets available for benefits per the Form 5500</w:t>
            </w:r>
          </w:p>
        </w:tc>
        <w:tc>
          <w:tcPr>
            <w:tcW w:w="3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2,232,799</w:t>
            </w:r>
          </w:p>
        </w:tc>
        <w:tc>
          <w:tcPr>
            <w:tcW w:w="280" w:type="dxa"/>
            <w:vAlign w:val="bottom"/>
          </w:tcPr>
          <w:p>
            <w:pPr>
              <w:spacing w:after="0"/>
              <w:rPr>
                <w:sz w:val="21"/>
                <w:szCs w:val="21"/>
                <w:color w:val="auto"/>
              </w:rPr>
            </w:pPr>
          </w:p>
        </w:tc>
        <w:tc>
          <w:tcPr>
            <w:tcW w:w="3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2,130,812</w:t>
            </w:r>
          </w:p>
        </w:tc>
        <w:tc>
          <w:tcPr>
            <w:tcW w:w="0" w:type="dxa"/>
            <w:vAlign w:val="bottom"/>
          </w:tcPr>
          <w:p>
            <w:pPr>
              <w:spacing w:after="0"/>
              <w:rPr>
                <w:sz w:val="1"/>
                <w:szCs w:val="1"/>
                <w:color w:val="auto"/>
              </w:rPr>
            </w:pPr>
          </w:p>
        </w:tc>
      </w:tr>
      <w:tr>
        <w:trPr>
          <w:trHeight w:val="21"/>
        </w:trPr>
        <w:tc>
          <w:tcPr>
            <w:tcW w:w="6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ind w:left="332" w:right="240"/>
        <w:spacing w:after="0" w:line="267" w:lineRule="auto"/>
        <w:rPr>
          <w:sz w:val="20"/>
          <w:szCs w:val="20"/>
          <w:color w:val="auto"/>
        </w:rPr>
      </w:pPr>
      <w:r>
        <w:rPr>
          <w:rFonts w:ascii="Times New Roman" w:cs="Times New Roman" w:eastAsia="Times New Roman" w:hAnsi="Times New Roman"/>
          <w:sz w:val="20"/>
          <w:szCs w:val="20"/>
          <w:color w:val="auto"/>
        </w:rPr>
        <w:t>The following is a reconciliation of the change in net assets available for benefits for the year ended December 31, 2025 as reported in the financial statements compared to the Form 5500 (dollars in thousands):</w:t>
      </w:r>
    </w:p>
    <w:p>
      <w:pPr>
        <w:spacing w:after="0" w:line="1" w:lineRule="exact"/>
        <w:rPr>
          <w:sz w:val="20"/>
          <w:szCs w:val="20"/>
          <w:color w:val="auto"/>
        </w:rPr>
      </w:pPr>
    </w:p>
    <w:tbl>
      <w:tblPr>
        <w:tblLayout w:type="fixed"/>
        <w:tblInd w:w="352" w:type="dxa"/>
        <w:tblCellMar>
          <w:top w:w="0" w:type="dxa"/>
          <w:left w:w="0" w:type="dxa"/>
          <w:bottom w:w="0" w:type="dxa"/>
          <w:right w:w="0" w:type="dxa"/>
        </w:tblCellMar>
      </w:tblPr>
      <w:tr>
        <w:trPr>
          <w:trHeight w:val="256"/>
        </w:trPr>
        <w:tc>
          <w:tcPr>
            <w:tcW w:w="8500" w:type="dxa"/>
            <w:vAlign w:val="bottom"/>
          </w:tcPr>
          <w:p>
            <w:pPr>
              <w:spacing w:after="0"/>
              <w:rPr>
                <w:sz w:val="20"/>
                <w:szCs w:val="20"/>
                <w:color w:val="auto"/>
              </w:rPr>
            </w:pPr>
            <w:r>
              <w:rPr>
                <w:rFonts w:ascii="Times New Roman" w:cs="Times New Roman" w:eastAsia="Times New Roman" w:hAnsi="Times New Roman"/>
                <w:sz w:val="20"/>
                <w:szCs w:val="20"/>
                <w:color w:val="auto"/>
              </w:rPr>
              <w:t>Net increase in net assets per the financial statements</w:t>
            </w:r>
          </w:p>
        </w:tc>
        <w:tc>
          <w:tcPr>
            <w:tcW w:w="800" w:type="dxa"/>
            <w:vAlign w:val="bottom"/>
          </w:tcPr>
          <w:p>
            <w:pPr>
              <w:jc w:val="right"/>
              <w:ind w:right="58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101,860</w:t>
            </w:r>
          </w:p>
        </w:tc>
        <w:tc>
          <w:tcPr>
            <w:tcW w:w="0" w:type="dxa"/>
            <w:vAlign w:val="bottom"/>
          </w:tcPr>
          <w:p>
            <w:pPr>
              <w:spacing w:after="0"/>
              <w:rPr>
                <w:sz w:val="1"/>
                <w:szCs w:val="1"/>
                <w:color w:val="auto"/>
              </w:rPr>
            </w:pPr>
          </w:p>
        </w:tc>
      </w:tr>
      <w:tr>
        <w:trPr>
          <w:trHeight w:val="203"/>
        </w:trPr>
        <w:tc>
          <w:tcPr>
            <w:tcW w:w="850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Add: Deemed distributions of participant loans reported in the Form 5500</w:t>
            </w:r>
          </w:p>
        </w:tc>
        <w:tc>
          <w:tcPr>
            <w:tcW w:w="800" w:type="dxa"/>
            <w:vAlign w:val="bottom"/>
          </w:tcPr>
          <w:p>
            <w:pPr>
              <w:spacing w:after="0"/>
              <w:rPr>
                <w:sz w:val="17"/>
                <w:szCs w:val="17"/>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521</w:t>
            </w:r>
          </w:p>
        </w:tc>
        <w:tc>
          <w:tcPr>
            <w:tcW w:w="0" w:type="dxa"/>
            <w:vAlign w:val="bottom"/>
          </w:tcPr>
          <w:p>
            <w:pPr>
              <w:spacing w:after="0"/>
              <w:rPr>
                <w:sz w:val="1"/>
                <w:szCs w:val="1"/>
                <w:color w:val="auto"/>
              </w:rPr>
            </w:pPr>
          </w:p>
        </w:tc>
      </w:tr>
      <w:tr>
        <w:trPr>
          <w:trHeight w:val="243"/>
        </w:trPr>
        <w:tc>
          <w:tcPr>
            <w:tcW w:w="85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as of December 31, 2024</w:t>
            </w:r>
          </w:p>
        </w:tc>
        <w:tc>
          <w:tcPr>
            <w:tcW w:w="80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50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Less: Deemed distributions of participant loans reported in the Form 5500</w:t>
            </w:r>
          </w:p>
        </w:tc>
        <w:tc>
          <w:tcPr>
            <w:tcW w:w="800" w:type="dxa"/>
            <w:vAlign w:val="bottom"/>
          </w:tcPr>
          <w:p>
            <w:pPr>
              <w:spacing w:after="0"/>
              <w:rPr>
                <w:sz w:val="17"/>
                <w:szCs w:val="17"/>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(394)</w:t>
            </w:r>
          </w:p>
        </w:tc>
        <w:tc>
          <w:tcPr>
            <w:tcW w:w="0" w:type="dxa"/>
            <w:vAlign w:val="bottom"/>
          </w:tcPr>
          <w:p>
            <w:pPr>
              <w:spacing w:after="0"/>
              <w:rPr>
                <w:sz w:val="1"/>
                <w:szCs w:val="1"/>
                <w:color w:val="auto"/>
              </w:rPr>
            </w:pPr>
          </w:p>
        </w:tc>
      </w:tr>
      <w:tr>
        <w:trPr>
          <w:trHeight w:val="252"/>
        </w:trPr>
        <w:tc>
          <w:tcPr>
            <w:tcW w:w="85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as of December 31, 2025</w:t>
            </w:r>
          </w:p>
        </w:tc>
        <w:tc>
          <w:tcPr>
            <w:tcW w:w="8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500" w:type="dxa"/>
            <w:vAlign w:val="bottom"/>
          </w:tcPr>
          <w:p>
            <w:pPr>
              <w:spacing w:after="0"/>
              <w:rPr>
                <w:sz w:val="20"/>
                <w:szCs w:val="20"/>
                <w:color w:val="auto"/>
              </w:rPr>
            </w:pPr>
            <w:r>
              <w:rPr>
                <w:rFonts w:ascii="Times New Roman" w:cs="Times New Roman" w:eastAsia="Times New Roman" w:hAnsi="Times New Roman"/>
                <w:sz w:val="20"/>
                <w:szCs w:val="20"/>
                <w:color w:val="auto"/>
              </w:rPr>
              <w:t>Net increase in net assets per the Form 5500</w:t>
            </w:r>
          </w:p>
        </w:tc>
        <w:tc>
          <w:tcPr>
            <w:tcW w:w="80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101,987</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413" w:right="379" w:bottom="1440" w:gutter="0" w:footer="0" w:header="0"/>
        </w:sectPr>
      </w:pPr>
    </w:p>
    <w:bookmarkStart w:id="40" w:name="page41"/>
    <w:bookmarkEnd w:id="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SUPPLEMENTAL SCHEDULE</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41" w:name="page42"/>
    <w:bookmarkEnd w:id="41"/>
    <w:p>
      <w:pPr>
        <w:spacing w:after="0" w:line="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SAN DIEGO GAS &amp; ELECTRIC COMPANY SAVINGS PLAN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Employer ID No: 95-1184800</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Number: 001</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FORM 5500, SCHEDULE H, PART IV, LINE 4i — SCHEDULE OF ASSETS (HELD AT END OF YEAR)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wp:posOffset>
            </wp:positionV>
            <wp:extent cx="69608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275"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320" w:type="dxa"/>
            <w:vAlign w:val="bottom"/>
          </w:tcPr>
          <w:p>
            <w:pPr>
              <w:jc w:val="center"/>
              <w:spacing w:after="0"/>
              <w:rPr>
                <w:sz w:val="20"/>
                <w:szCs w:val="20"/>
                <w:color w:val="auto"/>
              </w:rPr>
            </w:pPr>
            <w:r>
              <w:rPr>
                <w:rFonts w:ascii="Arial" w:cs="Arial" w:eastAsia="Arial" w:hAnsi="Arial"/>
                <w:sz w:val="16"/>
                <w:szCs w:val="16"/>
                <w:b w:val="1"/>
                <w:bCs w:val="1"/>
                <w:color w:val="auto"/>
              </w:rPr>
              <w:t>(c)</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080" w:type="dxa"/>
            <w:vAlign w:val="bottom"/>
          </w:tcPr>
          <w:p>
            <w:pPr>
              <w:jc w:val="center"/>
              <w:ind w:right="157"/>
              <w:spacing w:after="0"/>
              <w:rPr>
                <w:sz w:val="20"/>
                <w:szCs w:val="20"/>
                <w:color w:val="auto"/>
              </w:rPr>
            </w:pPr>
            <w:r>
              <w:rPr>
                <w:rFonts w:ascii="Arial" w:cs="Arial" w:eastAsia="Arial" w:hAnsi="Arial"/>
                <w:sz w:val="16"/>
                <w:szCs w:val="16"/>
                <w:b w:val="1"/>
                <w:bCs w:val="1"/>
                <w:color w:val="auto"/>
                <w:w w:val="97"/>
              </w:rPr>
              <w:t>(b)</w:t>
            </w:r>
          </w:p>
        </w:tc>
        <w:tc>
          <w:tcPr>
            <w:tcW w:w="4320" w:type="dxa"/>
            <w:vAlign w:val="bottom"/>
          </w:tcPr>
          <w:p>
            <w:pPr>
              <w:jc w:val="center"/>
              <w:spacing w:after="0"/>
              <w:rPr>
                <w:sz w:val="20"/>
                <w:szCs w:val="20"/>
                <w:color w:val="auto"/>
              </w:rPr>
            </w:pPr>
            <w:r>
              <w:rPr>
                <w:rFonts w:ascii="Arial" w:cs="Arial" w:eastAsia="Arial" w:hAnsi="Arial"/>
                <w:sz w:val="16"/>
                <w:szCs w:val="16"/>
                <w:b w:val="1"/>
                <w:bCs w:val="1"/>
                <w:color w:val="auto"/>
              </w:rPr>
              <w:t>Description of Investment</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157"/>
              <w:spacing w:after="0"/>
              <w:rPr>
                <w:sz w:val="20"/>
                <w:szCs w:val="20"/>
                <w:color w:val="auto"/>
              </w:rPr>
            </w:pPr>
            <w:r>
              <w:rPr>
                <w:rFonts w:ascii="Arial" w:cs="Arial" w:eastAsia="Arial" w:hAnsi="Arial"/>
                <w:sz w:val="16"/>
                <w:szCs w:val="16"/>
                <w:b w:val="1"/>
                <w:bCs w:val="1"/>
                <w:color w:val="auto"/>
              </w:rPr>
              <w:t>(e)</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080" w:type="dxa"/>
            <w:vAlign w:val="bottom"/>
          </w:tcPr>
          <w:p>
            <w:pPr>
              <w:jc w:val="center"/>
              <w:ind w:right="157"/>
              <w:spacing w:after="0"/>
              <w:rPr>
                <w:sz w:val="20"/>
                <w:szCs w:val="20"/>
                <w:color w:val="auto"/>
              </w:rPr>
            </w:pPr>
            <w:r>
              <w:rPr>
                <w:rFonts w:ascii="Arial" w:cs="Arial" w:eastAsia="Arial" w:hAnsi="Arial"/>
                <w:sz w:val="16"/>
                <w:szCs w:val="16"/>
                <w:b w:val="1"/>
                <w:bCs w:val="1"/>
                <w:color w:val="auto"/>
              </w:rPr>
              <w:t>Identity of Issue, Borrower,</w:t>
            </w:r>
          </w:p>
        </w:tc>
        <w:tc>
          <w:tcPr>
            <w:tcW w:w="4320" w:type="dxa"/>
            <w:vAlign w:val="bottom"/>
          </w:tcPr>
          <w:p>
            <w:pPr>
              <w:jc w:val="center"/>
              <w:spacing w:after="0"/>
              <w:rPr>
                <w:sz w:val="20"/>
                <w:szCs w:val="20"/>
                <w:color w:val="auto"/>
              </w:rPr>
            </w:pPr>
            <w:r>
              <w:rPr>
                <w:rFonts w:ascii="Arial" w:cs="Arial" w:eastAsia="Arial" w:hAnsi="Arial"/>
                <w:sz w:val="16"/>
                <w:szCs w:val="16"/>
                <w:b w:val="1"/>
                <w:bCs w:val="1"/>
                <w:color w:val="auto"/>
              </w:rPr>
              <w:t>Including Maturity Date, Rate of Interest,</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7"/>
              </w:rPr>
              <w:t>(d)</w:t>
            </w:r>
          </w:p>
        </w:tc>
        <w:tc>
          <w:tcPr>
            <w:tcW w:w="240" w:type="dxa"/>
            <w:vAlign w:val="bottom"/>
          </w:tcPr>
          <w:p>
            <w:pPr>
              <w:spacing w:after="0"/>
              <w:rPr>
                <w:sz w:val="18"/>
                <w:szCs w:val="18"/>
                <w:color w:val="auto"/>
              </w:rPr>
            </w:pPr>
          </w:p>
        </w:tc>
        <w:tc>
          <w:tcPr>
            <w:tcW w:w="1120" w:type="dxa"/>
            <w:vAlign w:val="bottom"/>
          </w:tcPr>
          <w:p>
            <w:pPr>
              <w:jc w:val="center"/>
              <w:ind w:right="157"/>
              <w:spacing w:after="0"/>
              <w:rPr>
                <w:sz w:val="20"/>
                <w:szCs w:val="20"/>
                <w:color w:val="auto"/>
              </w:rPr>
            </w:pPr>
            <w:r>
              <w:rPr>
                <w:rFonts w:ascii="Arial" w:cs="Arial" w:eastAsia="Arial" w:hAnsi="Arial"/>
                <w:sz w:val="16"/>
                <w:szCs w:val="16"/>
                <w:b w:val="1"/>
                <w:bCs w:val="1"/>
                <w:color w:val="auto"/>
              </w:rPr>
              <w:t>Current</w:t>
            </w:r>
          </w:p>
        </w:tc>
        <w:tc>
          <w:tcPr>
            <w:tcW w:w="0" w:type="dxa"/>
            <w:vAlign w:val="bottom"/>
          </w:tcPr>
          <w:p>
            <w:pPr>
              <w:spacing w:after="0"/>
              <w:rPr>
                <w:sz w:val="1"/>
                <w:szCs w:val="1"/>
                <w:color w:val="auto"/>
              </w:rPr>
            </w:pPr>
          </w:p>
        </w:tc>
      </w:tr>
      <w:tr>
        <w:trPr>
          <w:trHeight w:val="223"/>
        </w:trPr>
        <w:tc>
          <w:tcPr>
            <w:tcW w:w="560" w:type="dxa"/>
            <w:vAlign w:val="bottom"/>
          </w:tcPr>
          <w:p>
            <w:pPr>
              <w:jc w:val="center"/>
              <w:ind w:right="275"/>
              <w:spacing w:after="0"/>
              <w:rPr>
                <w:sz w:val="20"/>
                <w:szCs w:val="20"/>
                <w:color w:val="auto"/>
              </w:rPr>
            </w:pPr>
            <w:r>
              <w:rPr>
                <w:rFonts w:ascii="Arial" w:cs="Arial" w:eastAsia="Arial" w:hAnsi="Arial"/>
                <w:sz w:val="16"/>
                <w:szCs w:val="16"/>
                <w:b w:val="1"/>
                <w:bCs w:val="1"/>
                <w:color w:val="auto"/>
              </w:rPr>
              <w:t>(a)</w:t>
            </w:r>
          </w:p>
        </w:tc>
        <w:tc>
          <w:tcPr>
            <w:tcW w:w="3080" w:type="dxa"/>
            <w:vAlign w:val="bottom"/>
          </w:tcPr>
          <w:p>
            <w:pPr>
              <w:jc w:val="center"/>
              <w:ind w:right="177"/>
              <w:spacing w:after="0"/>
              <w:rPr>
                <w:sz w:val="20"/>
                <w:szCs w:val="20"/>
                <w:color w:val="auto"/>
              </w:rPr>
            </w:pPr>
            <w:r>
              <w:rPr>
                <w:rFonts w:ascii="Arial" w:cs="Arial" w:eastAsia="Arial" w:hAnsi="Arial"/>
                <w:sz w:val="16"/>
                <w:szCs w:val="16"/>
                <w:b w:val="1"/>
                <w:bCs w:val="1"/>
                <w:color w:val="auto"/>
              </w:rPr>
              <w:t>Lessor, or Similar Party</w:t>
            </w:r>
          </w:p>
        </w:tc>
        <w:tc>
          <w:tcPr>
            <w:tcW w:w="4320" w:type="dxa"/>
            <w:vAlign w:val="bottom"/>
          </w:tcPr>
          <w:p>
            <w:pPr>
              <w:jc w:val="center"/>
              <w:spacing w:after="0"/>
              <w:rPr>
                <w:sz w:val="20"/>
                <w:szCs w:val="20"/>
                <w:color w:val="auto"/>
              </w:rPr>
            </w:pPr>
            <w:r>
              <w:rPr>
                <w:rFonts w:ascii="Arial" w:cs="Arial" w:eastAsia="Arial" w:hAnsi="Arial"/>
                <w:sz w:val="16"/>
                <w:szCs w:val="16"/>
                <w:b w:val="1"/>
                <w:bCs w:val="1"/>
                <w:color w:val="auto"/>
              </w:rPr>
              <w:t>Collateral, Par, or Maturity Value</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Cost</w:t>
            </w:r>
          </w:p>
        </w:tc>
        <w:tc>
          <w:tcPr>
            <w:tcW w:w="240" w:type="dxa"/>
            <w:vAlign w:val="bottom"/>
          </w:tcPr>
          <w:p>
            <w:pPr>
              <w:spacing w:after="0"/>
              <w:rPr>
                <w:sz w:val="19"/>
                <w:szCs w:val="19"/>
                <w:color w:val="auto"/>
              </w:rPr>
            </w:pPr>
          </w:p>
        </w:tc>
        <w:tc>
          <w:tcPr>
            <w:tcW w:w="1120" w:type="dxa"/>
            <w:vAlign w:val="bottom"/>
          </w:tcPr>
          <w:p>
            <w:pPr>
              <w:jc w:val="center"/>
              <w:ind w:right="137"/>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493"/>
        </w:trPr>
        <w:tc>
          <w:tcPr>
            <w:tcW w:w="560" w:type="dxa"/>
            <w:vAlign w:val="bottom"/>
            <w:vMerge w:val="restart"/>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vMerge w:val="restart"/>
          </w:tcPr>
          <w:p>
            <w:pPr>
              <w:jc w:val="center"/>
              <w:ind w:right="157"/>
              <w:spacing w:after="0"/>
              <w:rPr>
                <w:sz w:val="20"/>
                <w:szCs w:val="20"/>
                <w:color w:val="auto"/>
              </w:rPr>
            </w:pPr>
            <w:r>
              <w:rPr>
                <w:rFonts w:ascii="Times New Roman" w:cs="Times New Roman" w:eastAsia="Times New Roman" w:hAnsi="Times New Roman"/>
                <w:sz w:val="18"/>
                <w:szCs w:val="18"/>
                <w:color w:val="auto"/>
                <w:w w:val="99"/>
              </w:rPr>
              <w:t>Participant loans</w:t>
            </w: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Interest rates from 4.25% to 9.50%;</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60" w:type="dxa"/>
            <w:vAlign w:val="bottom"/>
            <w:vMerge w:val="continue"/>
          </w:tcPr>
          <w:p>
            <w:pPr>
              <w:spacing w:after="0"/>
              <w:rPr>
                <w:sz w:val="12"/>
                <w:szCs w:val="12"/>
                <w:color w:val="auto"/>
              </w:rPr>
            </w:pPr>
          </w:p>
        </w:tc>
        <w:tc>
          <w:tcPr>
            <w:tcW w:w="3080" w:type="dxa"/>
            <w:vAlign w:val="bottom"/>
            <w:vMerge w:val="continue"/>
          </w:tcPr>
          <w:p>
            <w:pPr>
              <w:spacing w:after="0"/>
              <w:rPr>
                <w:sz w:val="12"/>
                <w:szCs w:val="12"/>
                <w:color w:val="auto"/>
              </w:rPr>
            </w:pPr>
          </w:p>
        </w:tc>
        <w:tc>
          <w:tcPr>
            <w:tcW w:w="4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maturities through January 2041</w:t>
            </w:r>
          </w:p>
        </w:tc>
        <w:tc>
          <w:tcPr>
            <w:tcW w:w="1480" w:type="dxa"/>
            <w:vAlign w:val="bottom"/>
            <w:vMerge w:val="continue"/>
          </w:tcPr>
          <w:p>
            <w:pPr>
              <w:spacing w:after="0"/>
              <w:rPr>
                <w:sz w:val="12"/>
                <w:szCs w:val="12"/>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29,831,004</w:t>
            </w:r>
          </w:p>
        </w:tc>
        <w:tc>
          <w:tcPr>
            <w:tcW w:w="0" w:type="dxa"/>
            <w:vAlign w:val="bottom"/>
          </w:tcPr>
          <w:p>
            <w:pPr>
              <w:spacing w:after="0"/>
              <w:rPr>
                <w:sz w:val="1"/>
                <w:szCs w:val="1"/>
                <w:color w:val="auto"/>
              </w:rPr>
            </w:pPr>
          </w:p>
        </w:tc>
      </w:tr>
      <w:tr>
        <w:trPr>
          <w:trHeight w:val="140"/>
        </w:trPr>
        <w:tc>
          <w:tcPr>
            <w:tcW w:w="56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4320" w:type="dxa"/>
            <w:vAlign w:val="bottom"/>
            <w:vMerge w:val="continue"/>
          </w:tcPr>
          <w:p>
            <w:pPr>
              <w:spacing w:after="0"/>
              <w:rPr>
                <w:sz w:val="11"/>
                <w:szCs w:val="11"/>
                <w:color w:val="auto"/>
              </w:rPr>
            </w:pPr>
          </w:p>
        </w:tc>
        <w:tc>
          <w:tcPr>
            <w:tcW w:w="1480" w:type="dxa"/>
            <w:vAlign w:val="bottom"/>
          </w:tcPr>
          <w:p>
            <w:pPr>
              <w:spacing w:after="0"/>
              <w:rPr>
                <w:sz w:val="11"/>
                <w:szCs w:val="11"/>
                <w:color w:val="auto"/>
              </w:rPr>
            </w:pPr>
          </w:p>
        </w:tc>
        <w:tc>
          <w:tcPr>
            <w:tcW w:w="240" w:type="dxa"/>
            <w:vAlign w:val="bottom"/>
            <w:tcBorders>
              <w:bottom w:val="single" w:sz="8" w:color="auto"/>
            </w:tcBorders>
            <w:vMerge w:val="continue"/>
          </w:tcPr>
          <w:p>
            <w:pPr>
              <w:spacing w:after="0"/>
              <w:rPr>
                <w:sz w:val="11"/>
                <w:szCs w:val="11"/>
                <w:color w:val="auto"/>
              </w:rPr>
            </w:pPr>
          </w:p>
        </w:tc>
        <w:tc>
          <w:tcPr>
            <w:tcW w:w="11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5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200"/>
        <w:spacing w:after="0"/>
        <w:tabs>
          <w:tab w:leader="none" w:pos="480" w:val="left"/>
        </w:tabs>
        <w:rPr>
          <w:sz w:val="20"/>
          <w:szCs w:val="20"/>
          <w:color w:val="auto"/>
        </w:rPr>
      </w:pPr>
      <w:r>
        <w:rPr>
          <w:rFonts w:ascii="Times New Roman" w:cs="Times New Roman" w:eastAsia="Times New Roman" w:hAnsi="Times New Roman"/>
          <w:sz w:val="18"/>
          <w:szCs w:val="18"/>
          <w:color w:val="auto"/>
        </w:rPr>
        <w:t>*</w:t>
        <w:tab/>
        <w:t>Party-in-interest to the Plan.</w:t>
      </w:r>
    </w:p>
    <w:p>
      <w:pPr>
        <w:spacing w:after="0" w:line="27" w:lineRule="exact"/>
        <w:rPr>
          <w:sz w:val="20"/>
          <w:szCs w:val="20"/>
          <w:color w:val="auto"/>
        </w:rPr>
      </w:pPr>
    </w:p>
    <w:p>
      <w:pPr>
        <w:ind w:left="140"/>
        <w:spacing w:after="0"/>
        <w:tabs>
          <w:tab w:leader="none" w:pos="4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Cost not required to be presented for participant-directed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40" w:top="1440" w:right="619" w:bottom="1440" w:gutter="0" w:footer="0" w:header="0"/>
        </w:sectPr>
      </w:pPr>
    </w:p>
    <w:bookmarkStart w:id="42" w:name="page43"/>
    <w:bookmarkEnd w:id="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right="2519"/>
        <w:spacing w:after="0" w:line="252" w:lineRule="auto"/>
        <w:rPr>
          <w:sz w:val="20"/>
          <w:szCs w:val="20"/>
          <w:color w:val="auto"/>
        </w:rPr>
      </w:pPr>
      <w:r>
        <w:rPr>
          <w:rFonts w:ascii="Times New Roman" w:cs="Times New Roman" w:eastAsia="Times New Roman" w:hAnsi="Times New Roman"/>
          <w:sz w:val="46"/>
          <w:szCs w:val="46"/>
          <w:color w:val="auto"/>
        </w:rPr>
        <w:t>Southern California Gas Company Retirement Savings Plan</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22"/>
          <w:szCs w:val="22"/>
          <w:color w:val="auto"/>
        </w:rPr>
        <w:t>Employer ID No: 95-1240705</w:t>
      </w:r>
    </w:p>
    <w:p>
      <w:pPr>
        <w:ind w:left="20"/>
        <w:spacing w:after="0"/>
        <w:rPr>
          <w:sz w:val="20"/>
          <w:szCs w:val="20"/>
          <w:color w:val="auto"/>
        </w:rPr>
      </w:pPr>
      <w:r>
        <w:rPr>
          <w:rFonts w:ascii="Arial" w:cs="Arial" w:eastAsia="Arial" w:hAnsi="Arial"/>
          <w:sz w:val="22"/>
          <w:szCs w:val="22"/>
          <w:color w:val="auto"/>
        </w:rPr>
        <w:t>Plan Number: 002</w:t>
      </w:r>
    </w:p>
    <w:p>
      <w:pPr>
        <w:spacing w:after="0" w:line="159" w:lineRule="exact"/>
        <w:rPr>
          <w:sz w:val="20"/>
          <w:szCs w:val="20"/>
          <w:color w:val="auto"/>
        </w:rPr>
      </w:pPr>
    </w:p>
    <w:p>
      <w:pPr>
        <w:ind w:left="20" w:right="2939"/>
        <w:spacing w:after="0" w:line="220" w:lineRule="auto"/>
        <w:rPr>
          <w:sz w:val="20"/>
          <w:szCs w:val="20"/>
          <w:color w:val="auto"/>
        </w:rPr>
      </w:pPr>
      <w:r>
        <w:rPr>
          <w:rFonts w:ascii="Arial" w:cs="Arial" w:eastAsia="Arial" w:hAnsi="Arial"/>
          <w:sz w:val="22"/>
          <w:szCs w:val="22"/>
          <w:color w:val="auto"/>
        </w:rPr>
        <w:t>Financial Statements as of December 31, 2025 and 2024, and for the Year Ended December 31, 2025, Supplemental Schedule as of December 31, 2025, and 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2707005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3" w:name="page44"/>
    <w:bookmarkEnd w:id="43"/>
    <w:p>
      <w:pPr>
        <w:spacing w:after="0"/>
        <w:rPr>
          <w:sz w:val="20"/>
          <w:szCs w:val="20"/>
          <w:color w:val="auto"/>
        </w:rPr>
      </w:pPr>
      <w:r>
        <w:rPr>
          <w:rFonts w:ascii="Arial" w:cs="Arial" w:eastAsia="Arial" w:hAnsi="Arial"/>
          <w:sz w:val="23"/>
          <w:szCs w:val="23"/>
          <w:b w:val="1"/>
          <w:bCs w:val="1"/>
          <w:color w:val="auto"/>
        </w:rPr>
        <w:t>SOUTHERN CALIFORNIA GAS COMPANY RETIREMENT SAVINGS PLAN</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73"/>
        </w:trPr>
        <w:tc>
          <w:tcPr>
            <w:tcW w:w="9240" w:type="dxa"/>
            <w:vAlign w:val="bottom"/>
          </w:tcPr>
          <w:p>
            <w:pPr>
              <w:spacing w:after="0"/>
              <w:rPr>
                <w:sz w:val="23"/>
                <w:szCs w:val="23"/>
                <w:color w:val="auto"/>
              </w:rPr>
            </w:pPr>
          </w:p>
        </w:tc>
        <w:tc>
          <w:tcPr>
            <w:tcW w:w="1800" w:type="dxa"/>
            <w:vAlign w:val="bottom"/>
          </w:tcPr>
          <w:p>
            <w:pPr>
              <w:ind w:left="1340"/>
              <w:spacing w:after="0"/>
              <w:rPr>
                <w:sz w:val="20"/>
                <w:szCs w:val="20"/>
                <w:color w:val="auto"/>
              </w:rPr>
            </w:pPr>
            <w:r>
              <w:rPr>
                <w:rFonts w:ascii="Arial" w:cs="Arial" w:eastAsia="Arial" w:hAnsi="Arial"/>
                <w:sz w:val="20"/>
                <w:szCs w:val="20"/>
                <w:b w:val="1"/>
                <w:bCs w:val="1"/>
                <w:color w:val="auto"/>
                <w:w w:val="91"/>
              </w:rPr>
              <w:t>Page</w:t>
            </w:r>
          </w:p>
        </w:tc>
        <w:tc>
          <w:tcPr>
            <w:tcW w:w="0" w:type="dxa"/>
            <w:vAlign w:val="bottom"/>
          </w:tcPr>
          <w:p>
            <w:pPr>
              <w:spacing w:after="0"/>
              <w:rPr>
                <w:sz w:val="1"/>
                <w:szCs w:val="1"/>
                <w:color w:val="auto"/>
              </w:rPr>
            </w:pPr>
          </w:p>
        </w:tc>
      </w:tr>
      <w:tr>
        <w:trPr>
          <w:trHeight w:val="513"/>
        </w:trPr>
        <w:tc>
          <w:tcPr>
            <w:tcW w:w="9240" w:type="dxa"/>
            <w:vAlign w:val="bottom"/>
          </w:tcPr>
          <w:p>
            <w:pPr>
              <w:spacing w:after="0"/>
              <w:rPr>
                <w:sz w:val="20"/>
                <w:szCs w:val="20"/>
                <w:color w:val="auto"/>
              </w:rPr>
            </w:pPr>
            <w:r>
              <w:rPr>
                <w:rFonts w:ascii="Times New Roman" w:cs="Times New Roman" w:eastAsia="Times New Roman" w:hAnsi="Times New Roman"/>
                <w:sz w:val="20"/>
                <w:szCs w:val="20"/>
                <w:color w:val="3051F2"/>
              </w:rPr>
              <w:t>REPORT OF INDEPENDENT REGISTERED PUBLIC ACCOUNTING FIRM</w:t>
            </w:r>
          </w:p>
        </w:tc>
        <w:tc>
          <w:tcPr>
            <w:tcW w:w="1800" w:type="dxa"/>
            <w:vAlign w:val="bottom"/>
          </w:tcPr>
          <w:p>
            <w:pPr>
              <w:jc w:val="center"/>
              <w:ind w:left="1241"/>
              <w:spacing w:after="0"/>
              <w:rPr>
                <w:sz w:val="20"/>
                <w:szCs w:val="20"/>
                <w:color w:val="auto"/>
              </w:rPr>
            </w:pPr>
            <w:r>
              <w:rPr>
                <w:rFonts w:ascii="Times New Roman" w:cs="Times New Roman" w:eastAsia="Times New Roman" w:hAnsi="Times New Roman"/>
                <w:sz w:val="20"/>
                <w:szCs w:val="20"/>
                <w:color w:val="3051F2"/>
                <w:w w:val="99"/>
              </w:rPr>
              <w:t>1</w:t>
            </w:r>
          </w:p>
        </w:tc>
        <w:tc>
          <w:tcPr>
            <w:tcW w:w="0" w:type="dxa"/>
            <w:vAlign w:val="bottom"/>
          </w:tcPr>
          <w:p>
            <w:pPr>
              <w:spacing w:after="0"/>
              <w:rPr>
                <w:sz w:val="1"/>
                <w:szCs w:val="1"/>
                <w:color w:val="auto"/>
              </w:rPr>
            </w:pPr>
          </w:p>
        </w:tc>
      </w:tr>
      <w:tr>
        <w:trPr>
          <w:trHeight w:val="526"/>
        </w:trPr>
        <w:tc>
          <w:tcPr>
            <w:tcW w:w="9240" w:type="dxa"/>
            <w:vAlign w:val="bottom"/>
          </w:tcPr>
          <w:p>
            <w:pPr>
              <w:spacing w:after="0"/>
              <w:rPr>
                <w:sz w:val="20"/>
                <w:szCs w:val="20"/>
                <w:color w:val="auto"/>
              </w:rPr>
            </w:pPr>
            <w:r>
              <w:rPr>
                <w:rFonts w:ascii="Times New Roman" w:cs="Times New Roman" w:eastAsia="Times New Roman" w:hAnsi="Times New Roman"/>
                <w:sz w:val="20"/>
                <w:szCs w:val="20"/>
                <w:color w:val="0000FF"/>
              </w:rPr>
              <w:t>GLOSSARY</w:t>
            </w:r>
          </w:p>
        </w:tc>
        <w:tc>
          <w:tcPr>
            <w:tcW w:w="1800" w:type="dxa"/>
            <w:vAlign w:val="bottom"/>
          </w:tcPr>
          <w:p>
            <w:pPr>
              <w:jc w:val="center"/>
              <w:ind w:left="1241"/>
              <w:spacing w:after="0"/>
              <w:rPr>
                <w:sz w:val="20"/>
                <w:szCs w:val="20"/>
                <w:color w:val="auto"/>
              </w:rPr>
            </w:pPr>
            <w:r>
              <w:rPr>
                <w:rFonts w:ascii="Times New Roman" w:cs="Times New Roman" w:eastAsia="Times New Roman" w:hAnsi="Times New Roman"/>
                <w:sz w:val="20"/>
                <w:szCs w:val="20"/>
                <w:color w:val="3051F2"/>
                <w:w w:val="99"/>
              </w:rPr>
              <w:t>2</w:t>
            </w:r>
          </w:p>
        </w:tc>
        <w:tc>
          <w:tcPr>
            <w:tcW w:w="0" w:type="dxa"/>
            <w:vAlign w:val="bottom"/>
          </w:tcPr>
          <w:p>
            <w:pPr>
              <w:spacing w:after="0"/>
              <w:rPr>
                <w:sz w:val="1"/>
                <w:szCs w:val="1"/>
                <w:color w:val="auto"/>
              </w:rPr>
            </w:pPr>
          </w:p>
        </w:tc>
      </w:tr>
      <w:tr>
        <w:trPr>
          <w:trHeight w:val="527"/>
        </w:trPr>
        <w:tc>
          <w:tcPr>
            <w:tcW w:w="9240" w:type="dxa"/>
            <w:vAlign w:val="bottom"/>
          </w:tcPr>
          <w:p>
            <w:pPr>
              <w:spacing w:after="0"/>
              <w:rPr>
                <w:sz w:val="20"/>
                <w:szCs w:val="20"/>
                <w:color w:val="auto"/>
              </w:rPr>
            </w:pPr>
            <w:r>
              <w:rPr>
                <w:rFonts w:ascii="Times New Roman" w:cs="Times New Roman" w:eastAsia="Times New Roman" w:hAnsi="Times New Roman"/>
                <w:sz w:val="20"/>
                <w:szCs w:val="20"/>
                <w:color w:val="auto"/>
              </w:rPr>
              <w:t>FINANCIAL STATEMENTS:</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240" w:type="dxa"/>
            <w:vAlign w:val="bottom"/>
          </w:tcPr>
          <w:p>
            <w:pPr>
              <w:ind w:left="120"/>
              <w:spacing w:after="0"/>
              <w:rPr>
                <w:sz w:val="20"/>
                <w:szCs w:val="20"/>
                <w:color w:val="auto"/>
              </w:rPr>
            </w:pPr>
            <w:r>
              <w:rPr>
                <w:rFonts w:ascii="Times New Roman" w:cs="Times New Roman" w:eastAsia="Times New Roman" w:hAnsi="Times New Roman"/>
                <w:sz w:val="20"/>
                <w:szCs w:val="20"/>
                <w:color w:val="3051F2"/>
              </w:rPr>
              <w:t>Statements of Net Assets Available for Benefits as of December 31, 2025 and 2024</w:t>
            </w:r>
          </w:p>
        </w:tc>
        <w:tc>
          <w:tcPr>
            <w:tcW w:w="1800" w:type="dxa"/>
            <w:vAlign w:val="bottom"/>
          </w:tcPr>
          <w:p>
            <w:pPr>
              <w:jc w:val="center"/>
              <w:ind w:left="1241"/>
              <w:spacing w:after="0"/>
              <w:rPr>
                <w:sz w:val="20"/>
                <w:szCs w:val="20"/>
                <w:color w:val="auto"/>
              </w:rPr>
            </w:pPr>
            <w:r>
              <w:rPr>
                <w:rFonts w:ascii="Times New Roman" w:cs="Times New Roman" w:eastAsia="Times New Roman" w:hAnsi="Times New Roman"/>
                <w:sz w:val="20"/>
                <w:szCs w:val="20"/>
                <w:color w:val="3051F2"/>
                <w:w w:val="99"/>
              </w:rPr>
              <w:t>3</w:t>
            </w:r>
          </w:p>
        </w:tc>
        <w:tc>
          <w:tcPr>
            <w:tcW w:w="0" w:type="dxa"/>
            <w:vAlign w:val="bottom"/>
          </w:tcPr>
          <w:p>
            <w:pPr>
              <w:spacing w:after="0"/>
              <w:rPr>
                <w:sz w:val="1"/>
                <w:szCs w:val="1"/>
                <w:color w:val="auto"/>
              </w:rPr>
            </w:pPr>
          </w:p>
        </w:tc>
      </w:tr>
      <w:tr>
        <w:trPr>
          <w:trHeight w:val="527"/>
        </w:trPr>
        <w:tc>
          <w:tcPr>
            <w:tcW w:w="9240" w:type="dxa"/>
            <w:vAlign w:val="bottom"/>
          </w:tcPr>
          <w:p>
            <w:pPr>
              <w:ind w:left="120"/>
              <w:spacing w:after="0"/>
              <w:rPr>
                <w:sz w:val="20"/>
                <w:szCs w:val="20"/>
                <w:color w:val="auto"/>
              </w:rPr>
            </w:pPr>
            <w:r>
              <w:rPr>
                <w:rFonts w:ascii="Times New Roman" w:cs="Times New Roman" w:eastAsia="Times New Roman" w:hAnsi="Times New Roman"/>
                <w:sz w:val="20"/>
                <w:szCs w:val="20"/>
                <w:color w:val="3051F2"/>
              </w:rPr>
              <w:t>Statement of Changes in Net Assets Available for Benefits for the Year Ended December 31, 2025</w:t>
            </w:r>
          </w:p>
        </w:tc>
        <w:tc>
          <w:tcPr>
            <w:tcW w:w="1800" w:type="dxa"/>
            <w:vAlign w:val="bottom"/>
          </w:tcPr>
          <w:p>
            <w:pPr>
              <w:jc w:val="center"/>
              <w:ind w:left="1241"/>
              <w:spacing w:after="0"/>
              <w:rPr>
                <w:sz w:val="20"/>
                <w:szCs w:val="20"/>
                <w:color w:val="auto"/>
              </w:rPr>
            </w:pPr>
            <w:r>
              <w:rPr>
                <w:rFonts w:ascii="Times New Roman" w:cs="Times New Roman" w:eastAsia="Times New Roman" w:hAnsi="Times New Roman"/>
                <w:sz w:val="20"/>
                <w:szCs w:val="20"/>
                <w:color w:val="3051F2"/>
                <w:w w:val="99"/>
              </w:rPr>
              <w:t>4</w:t>
            </w:r>
          </w:p>
        </w:tc>
        <w:tc>
          <w:tcPr>
            <w:tcW w:w="0" w:type="dxa"/>
            <w:vAlign w:val="bottom"/>
          </w:tcPr>
          <w:p>
            <w:pPr>
              <w:spacing w:after="0"/>
              <w:rPr>
                <w:sz w:val="1"/>
                <w:szCs w:val="1"/>
                <w:color w:val="auto"/>
              </w:rPr>
            </w:pPr>
          </w:p>
        </w:tc>
      </w:tr>
      <w:tr>
        <w:trPr>
          <w:trHeight w:val="471"/>
        </w:trPr>
        <w:tc>
          <w:tcPr>
            <w:tcW w:w="9240" w:type="dxa"/>
            <w:vAlign w:val="bottom"/>
          </w:tcPr>
          <w:p>
            <w:pPr>
              <w:ind w:left="120"/>
              <w:spacing w:after="0"/>
              <w:rPr>
                <w:sz w:val="20"/>
                <w:szCs w:val="20"/>
                <w:color w:val="auto"/>
              </w:rPr>
            </w:pPr>
            <w:r>
              <w:rPr>
                <w:rFonts w:ascii="Times New Roman" w:cs="Times New Roman" w:eastAsia="Times New Roman" w:hAnsi="Times New Roman"/>
                <w:sz w:val="20"/>
                <w:szCs w:val="20"/>
                <w:color w:val="3051F2"/>
              </w:rPr>
              <w:t>Notes to Financial Statements as of December 31, 2025 and 2024 and for the</w:t>
            </w:r>
          </w:p>
        </w:tc>
        <w:tc>
          <w:tcPr>
            <w:tcW w:w="1800" w:type="dxa"/>
            <w:vAlign w:val="bottom"/>
            <w:vMerge w:val="restart"/>
          </w:tcPr>
          <w:p>
            <w:pPr>
              <w:jc w:val="center"/>
              <w:ind w:left="1241"/>
              <w:spacing w:after="0"/>
              <w:rPr>
                <w:sz w:val="20"/>
                <w:szCs w:val="20"/>
                <w:color w:val="auto"/>
              </w:rPr>
            </w:pPr>
            <w:r>
              <w:rPr>
                <w:rFonts w:ascii="Times New Roman" w:cs="Times New Roman" w:eastAsia="Times New Roman" w:hAnsi="Times New Roman"/>
                <w:sz w:val="20"/>
                <w:szCs w:val="20"/>
                <w:color w:val="3051F2"/>
                <w:w w:val="99"/>
              </w:rPr>
              <w:t>5</w:t>
            </w:r>
          </w:p>
        </w:tc>
        <w:tc>
          <w:tcPr>
            <w:tcW w:w="0" w:type="dxa"/>
            <w:vAlign w:val="bottom"/>
          </w:tcPr>
          <w:p>
            <w:pPr>
              <w:spacing w:after="0"/>
              <w:rPr>
                <w:sz w:val="1"/>
                <w:szCs w:val="1"/>
                <w:color w:val="auto"/>
              </w:rPr>
            </w:pPr>
          </w:p>
        </w:tc>
      </w:tr>
      <w:tr>
        <w:trPr>
          <w:trHeight w:val="258"/>
        </w:trPr>
        <w:tc>
          <w:tcPr>
            <w:tcW w:w="9240" w:type="dxa"/>
            <w:vAlign w:val="bottom"/>
          </w:tcPr>
          <w:p>
            <w:pPr>
              <w:ind w:left="200"/>
              <w:spacing w:after="0"/>
              <w:rPr>
                <w:sz w:val="20"/>
                <w:szCs w:val="20"/>
                <w:color w:val="auto"/>
              </w:rPr>
            </w:pPr>
            <w:r>
              <w:rPr>
                <w:rFonts w:ascii="Times New Roman" w:cs="Times New Roman" w:eastAsia="Times New Roman" w:hAnsi="Times New Roman"/>
                <w:sz w:val="20"/>
                <w:szCs w:val="20"/>
                <w:color w:val="3051F2"/>
              </w:rPr>
              <w:t>Year Ended December 31, 2025</w:t>
            </w:r>
          </w:p>
        </w:tc>
        <w:tc>
          <w:tcPr>
            <w:tcW w:w="1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13"/>
        </w:trPr>
        <w:tc>
          <w:tcPr>
            <w:tcW w:w="9240" w:type="dxa"/>
            <w:vAlign w:val="bottom"/>
          </w:tcPr>
          <w:p>
            <w:pPr>
              <w:spacing w:after="0"/>
              <w:rPr>
                <w:sz w:val="20"/>
                <w:szCs w:val="20"/>
                <w:color w:val="auto"/>
              </w:rPr>
            </w:pPr>
            <w:r>
              <w:rPr>
                <w:rFonts w:ascii="Times New Roman" w:cs="Times New Roman" w:eastAsia="Times New Roman" w:hAnsi="Times New Roman"/>
                <w:sz w:val="20"/>
                <w:szCs w:val="20"/>
                <w:color w:val="auto"/>
              </w:rPr>
              <w:t>SUPPLEMENTAL SCHEDULE:</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1"/>
        </w:trPr>
        <w:tc>
          <w:tcPr>
            <w:tcW w:w="9240" w:type="dxa"/>
            <w:vAlign w:val="bottom"/>
          </w:tcPr>
          <w:p>
            <w:pPr>
              <w:ind w:left="120"/>
              <w:spacing w:after="0"/>
              <w:rPr>
                <w:sz w:val="20"/>
                <w:szCs w:val="20"/>
                <w:color w:val="auto"/>
              </w:rPr>
            </w:pPr>
            <w:r>
              <w:rPr>
                <w:rFonts w:ascii="Times New Roman" w:cs="Times New Roman" w:eastAsia="Times New Roman" w:hAnsi="Times New Roman"/>
                <w:sz w:val="20"/>
                <w:szCs w:val="20"/>
                <w:color w:val="3051F2"/>
              </w:rPr>
              <w:t>Form 5500, Schedule H, Part IV, Line 4i — Schedule of Assets (Held at End of Year) as of</w:t>
            </w:r>
          </w:p>
        </w:tc>
        <w:tc>
          <w:tcPr>
            <w:tcW w:w="1800" w:type="dxa"/>
            <w:vAlign w:val="bottom"/>
            <w:vMerge w:val="restart"/>
          </w:tcPr>
          <w:p>
            <w:pPr>
              <w:jc w:val="center"/>
              <w:ind w:left="1221"/>
              <w:spacing w:after="0"/>
              <w:rPr>
                <w:sz w:val="20"/>
                <w:szCs w:val="20"/>
                <w:color w:val="auto"/>
              </w:rPr>
            </w:pPr>
            <w:r>
              <w:rPr>
                <w:rFonts w:ascii="Times New Roman" w:cs="Times New Roman" w:eastAsia="Times New Roman" w:hAnsi="Times New Roman"/>
                <w:sz w:val="20"/>
                <w:szCs w:val="20"/>
                <w:color w:val="3051F2"/>
                <w:w w:val="99"/>
              </w:rPr>
              <w:t>18</w:t>
            </w:r>
          </w:p>
        </w:tc>
        <w:tc>
          <w:tcPr>
            <w:tcW w:w="0" w:type="dxa"/>
            <w:vAlign w:val="bottom"/>
          </w:tcPr>
          <w:p>
            <w:pPr>
              <w:spacing w:after="0"/>
              <w:rPr>
                <w:sz w:val="1"/>
                <w:szCs w:val="1"/>
                <w:color w:val="auto"/>
              </w:rPr>
            </w:pPr>
          </w:p>
        </w:tc>
      </w:tr>
      <w:tr>
        <w:trPr>
          <w:trHeight w:val="258"/>
        </w:trPr>
        <w:tc>
          <w:tcPr>
            <w:tcW w:w="9240" w:type="dxa"/>
            <w:vAlign w:val="bottom"/>
          </w:tcPr>
          <w:p>
            <w:pPr>
              <w:ind w:left="200"/>
              <w:spacing w:after="0"/>
              <w:rPr>
                <w:sz w:val="20"/>
                <w:szCs w:val="20"/>
                <w:color w:val="auto"/>
              </w:rPr>
            </w:pPr>
            <w:r>
              <w:rPr>
                <w:rFonts w:ascii="Times New Roman" w:cs="Times New Roman" w:eastAsia="Times New Roman" w:hAnsi="Times New Roman"/>
                <w:sz w:val="20"/>
                <w:szCs w:val="20"/>
                <w:color w:val="3051F2"/>
              </w:rPr>
              <w:t>December 31, 2025</w:t>
            </w:r>
          </w:p>
        </w:tc>
        <w:tc>
          <w:tcPr>
            <w:tcW w:w="1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740" w:right="1580" w:hanging="566"/>
        <w:spacing w:after="0" w:line="275" w:lineRule="auto"/>
        <w:tabs>
          <w:tab w:leader="none" w:pos="720" w:val="left"/>
        </w:tabs>
        <w:rPr>
          <w:sz w:val="20"/>
          <w:szCs w:val="20"/>
          <w:color w:val="auto"/>
        </w:rPr>
      </w:pPr>
      <w:r>
        <w:rPr>
          <w:rFonts w:ascii="Arial" w:cs="Arial" w:eastAsia="Arial" w:hAnsi="Arial"/>
          <w:sz w:val="16"/>
          <w:szCs w:val="16"/>
          <w:color w:val="auto"/>
        </w:rPr>
        <w:t>NOTE:</w:t>
        <w:tab/>
        <w:t>All other schedules required by Section 2520.103-10 of the Department of Labor’s Rules and Regulations for Reporting and Disclosure under the Employee Retirement Income Security Act of 1974 are omitted because of the absence of conditions under which they are required or they are filed by the Trustee of the Master Trust in which the Plan participates.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1146175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16" w:right="51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Plan Participants and Plan Administrator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Southern California Gas Company Retirement Savings Plan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8"/>
          <w:szCs w:val="18"/>
          <w:color w:val="auto"/>
        </w:rPr>
        <w:t xml:space="preserve">We have audited the accompanying statements of net assets available for benefits of the Southern California Gas Company Retirement Savings Plan (the </w:t>
      </w:r>
      <w:r>
        <w:rPr>
          <w:rFonts w:ascii="Times New Roman" w:cs="Times New Roman" w:eastAsia="Times New Roman" w:hAnsi="Times New Roman"/>
          <w:sz w:val="19"/>
          <w:szCs w:val="19"/>
          <w:color w:val="auto"/>
        </w:rPr>
        <w:t>“</w:t>
      </w:r>
      <w:r>
        <w:rPr>
          <w:rFonts w:ascii="Times New Roman" w:cs="Times New Roman" w:eastAsia="Times New Roman" w:hAnsi="Times New Roman"/>
          <w:sz w:val="17"/>
          <w:szCs w:val="17"/>
          <w:color w:val="auto"/>
        </w:rPr>
        <w:t>Plan</w:t>
      </w:r>
      <w:r>
        <w:rPr>
          <w:rFonts w:ascii="Times New Roman" w:cs="Times New Roman" w:eastAsia="Times New Roman" w:hAnsi="Times New Roman"/>
          <w:sz w:val="19"/>
          <w:szCs w:val="19"/>
          <w:color w:val="auto"/>
        </w:rPr>
        <w:t>”</w:t>
      </w:r>
      <w:r>
        <w:rPr>
          <w:rFonts w:ascii="Times New Roman" w:cs="Times New Roman" w:eastAsia="Times New Roman" w:hAnsi="Times New Roman"/>
          <w:sz w:val="17"/>
          <w:szCs w:val="17"/>
          <w:color w:val="auto"/>
        </w:rPr>
        <w:t>) as of December 31, 2025 and 2024, the related statement of changes in net assets available for benefits for the year ended December 31, 2025,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7"/>
          <w:szCs w:val="17"/>
          <w:color w:val="auto"/>
        </w:rPr>
        <w:t xml:space="preserve">the related notes (collectively referred to as the </w:t>
      </w:r>
      <w:r>
        <w:rPr>
          <w:rFonts w:ascii="Times New Roman" w:cs="Times New Roman" w:eastAsia="Times New Roman" w:hAnsi="Times New Roman"/>
          <w:sz w:val="19"/>
          <w:szCs w:val="19"/>
          <w:color w:val="auto"/>
        </w:rPr>
        <w:t>“</w:t>
      </w:r>
      <w:r>
        <w:rPr>
          <w:rFonts w:ascii="Times New Roman" w:cs="Times New Roman" w:eastAsia="Times New Roman" w:hAnsi="Times New Roman"/>
          <w:sz w:val="17"/>
          <w:szCs w:val="17"/>
          <w:color w:val="auto"/>
        </w:rPr>
        <w:t>financial statements</w:t>
      </w:r>
      <w:r>
        <w:rPr>
          <w:rFonts w:ascii="Times New Roman" w:cs="Times New Roman" w:eastAsia="Times New Roman" w:hAnsi="Times New Roman"/>
          <w:sz w:val="19"/>
          <w:szCs w:val="19"/>
          <w:color w:val="auto"/>
        </w:rPr>
        <w:t>”</w:t>
      </w:r>
      <w:r>
        <w:rPr>
          <w:rFonts w:ascii="Times New Roman" w:cs="Times New Roman" w:eastAsia="Times New Roman" w:hAnsi="Times New Roman"/>
          <w:sz w:val="17"/>
          <w:szCs w:val="17"/>
          <w:color w:val="auto"/>
        </w:rPr>
        <w:t>).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on Supplemental Schedule</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supplemental schedule of assets (held at end of year) as of December 31, 2025, has been subjected to audit procedures performed in conjunction with the audit of the Plan’s financial statements. The supplemental schedule is the responsibility of the Plan’s management. Our audit procedures included determining whether the supplemental schedule reconciles to the financial statements or the underlying accounting and other records, as applicable, and performing procedures to test the completeness and accuracy of the information presented in the supplemental schedule. In forming our opinion on the supplemental schedule, we evaluated whether the supplemental schedule, including its form and content, is presented in compliance with the Department of Labor’s Rules and Regulations for Reporting and Disclosure under the Employee Retirement Income Security Act of 1974. In our opinion, such schedule is fairly stated, in all material respects, in relation to the financial statements as a whole.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DELOITTE &amp; TOUCHE LLP</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at least 1980; however, an earlier year could not be reliably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5" w:name="page46"/>
    <w:bookmarkEnd w:id="45"/>
    <w:p>
      <w:pPr>
        <w:spacing w:after="0"/>
        <w:rPr>
          <w:sz w:val="20"/>
          <w:szCs w:val="20"/>
          <w:color w:val="auto"/>
        </w:rPr>
      </w:pPr>
      <w:r>
        <w:rPr>
          <w:rFonts w:ascii="Arial" w:cs="Arial" w:eastAsia="Arial" w:hAnsi="Arial"/>
          <w:sz w:val="23"/>
          <w:szCs w:val="23"/>
          <w:b w:val="1"/>
          <w:bCs w:val="1"/>
          <w:color w:val="auto"/>
        </w:rPr>
        <w:t>SOUTHERN CALIFORNIA GAS COMPANY RETIREMENT SAVINGS PLAN</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GLOSSARY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7" w:lineRule="exact"/>
        <w:rPr>
          <w:sz w:val="20"/>
          <w:szCs w:val="20"/>
          <w:color w:val="auto"/>
        </w:rPr>
      </w:pPr>
    </w:p>
    <w:p>
      <w:pPr>
        <w:ind w:left="40" w:right="2180" w:hanging="12"/>
        <w:spacing w:after="0" w:line="363" w:lineRule="auto"/>
        <w:rPr>
          <w:sz w:val="20"/>
          <w:szCs w:val="20"/>
          <w:color w:val="auto"/>
        </w:rPr>
      </w:pPr>
      <w:r>
        <w:rPr>
          <w:rFonts w:ascii="Times New Roman" w:cs="Times New Roman" w:eastAsia="Times New Roman" w:hAnsi="Times New Roman"/>
          <w:sz w:val="20"/>
          <w:szCs w:val="20"/>
          <w:color w:val="auto"/>
        </w:rPr>
        <w:t xml:space="preserve">The following terms and abbreviations appearing in these financial statements have the meanings indicated below. </w:t>
      </w:r>
      <w:r>
        <w:rPr>
          <w:rFonts w:ascii="Times New Roman" w:cs="Times New Roman" w:eastAsia="Times New Roman" w:hAnsi="Times New Roman"/>
          <w:sz w:val="20"/>
          <w:szCs w:val="20"/>
          <w:b w:val="1"/>
          <w:bCs w:val="1"/>
          <w:color w:val="auto"/>
        </w:rPr>
        <w:t>GLOSSARY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40575" cy="37287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0575" cy="37287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9"/>
        </w:trPr>
        <w:tc>
          <w:tcPr>
            <w:tcW w:w="274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Company</w:t>
            </w:r>
          </w:p>
        </w:tc>
        <w:tc>
          <w:tcPr>
            <w:tcW w:w="8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Southern California Gas Company</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Employer</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Southern California Gas Company</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ERISA</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Employee Retirement Income Security Act of 1974</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FIAM</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Fidelity Institutional Asset Management</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IRC</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 Internal Revenue Code</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IRS</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 Internal Revenue Service</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Master Trust</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Sempra Savings Master Trust</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NAV</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net asset value</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Newport</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Newport Trust Company</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Plan</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Southern California Gas Company Retirement Savings Plan</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Plan Administrator</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Sempra Pension and Benefits Committee</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Plan Sponsor</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Southern California Gas Company</w:t>
            </w:r>
          </w:p>
        </w:tc>
      </w:tr>
      <w:tr>
        <w:trPr>
          <w:trHeight w:val="187"/>
        </w:trPr>
        <w:tc>
          <w:tcPr>
            <w:tcW w:w="2740" w:type="dxa"/>
            <w:vAlign w:val="bottom"/>
            <w:tcBorders>
              <w:right w:val="single" w:sz="8" w:color="auto"/>
            </w:tcBorders>
          </w:tcPr>
          <w:p>
            <w:pPr>
              <w:ind w:left="40"/>
              <w:spacing w:after="0" w:line="186" w:lineRule="exact"/>
              <w:rPr>
                <w:sz w:val="20"/>
                <w:szCs w:val="20"/>
                <w:color w:val="auto"/>
              </w:rPr>
            </w:pPr>
            <w:r>
              <w:rPr>
                <w:rFonts w:ascii="Times New Roman" w:cs="Times New Roman" w:eastAsia="Times New Roman" w:hAnsi="Times New Roman"/>
                <w:sz w:val="20"/>
                <w:szCs w:val="20"/>
                <w:color w:val="auto"/>
              </w:rPr>
              <w:t>Roth</w:t>
            </w:r>
          </w:p>
        </w:tc>
        <w:tc>
          <w:tcPr>
            <w:tcW w:w="85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Type of employee elective deferral contributions that are made on an after-tax basis and for which the</w:t>
            </w:r>
          </w:p>
        </w:tc>
      </w:tr>
      <w:tr>
        <w:trPr>
          <w:trHeight w:val="252"/>
        </w:trPr>
        <w:tc>
          <w:tcPr>
            <w:tcW w:w="2740" w:type="dxa"/>
            <w:vAlign w:val="bottom"/>
            <w:tcBorders>
              <w:bottom w:val="single" w:sz="8" w:color="auto"/>
              <w:right w:val="single" w:sz="8" w:color="auto"/>
            </w:tcBorders>
          </w:tcPr>
          <w:p>
            <w:pPr>
              <w:spacing w:after="0"/>
              <w:rPr>
                <w:sz w:val="21"/>
                <w:szCs w:val="21"/>
                <w:color w:val="auto"/>
              </w:rPr>
            </w:pP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distributions of such contributions and the earnings thereon are tax-free if certain conditions are met</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SDBA</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self-directed brokerage account</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Sempra P&amp;B Committee</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Sempra Pension and Benefits Committee</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Sempra Stock Fund</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Stock Investment Fund</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State Street</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State Street Investment Management (formerly known as State Street Global Advisors (SSGA))</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TRP</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 Rowe Price</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Trustee</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 Rowe Price</w:t>
            </w:r>
          </w:p>
        </w:tc>
      </w:tr>
      <w:tr>
        <w:trPr>
          <w:trHeight w:val="250"/>
        </w:trPr>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 GAAP</w:t>
            </w:r>
          </w:p>
        </w:tc>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generally accepted accounting principles in the United States of America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16" w:right="319" w:bottom="1440" w:gutter="0" w:footer="0" w:header="0"/>
        </w:sectPr>
      </w:pPr>
    </w:p>
    <w:bookmarkStart w:id="46" w:name="page47"/>
    <w:bookmarkEnd w:id="46"/>
    <w:p>
      <w:pPr>
        <w:spacing w:after="0"/>
        <w:rPr>
          <w:sz w:val="20"/>
          <w:szCs w:val="20"/>
          <w:color w:val="auto"/>
        </w:rPr>
      </w:pPr>
      <w:r>
        <w:rPr>
          <w:rFonts w:ascii="Arial" w:cs="Arial" w:eastAsia="Arial" w:hAnsi="Arial"/>
          <w:sz w:val="23"/>
          <w:szCs w:val="23"/>
          <w:b w:val="1"/>
          <w:bCs w:val="1"/>
          <w:color w:val="auto"/>
        </w:rPr>
        <w:t>SOUTHERN CALIFORNIA GAS COMPANY RETIREMENT SAVINGS PLAN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2025 AND 2024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0628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19"/>
                <w:szCs w:val="19"/>
                <w:color w:val="auto"/>
              </w:rPr>
            </w:pPr>
          </w:p>
        </w:tc>
        <w:tc>
          <w:tcPr>
            <w:tcW w:w="1640" w:type="dxa"/>
            <w:vAlign w:val="bottom"/>
          </w:tcPr>
          <w:p>
            <w:pPr>
              <w:jc w:val="right"/>
              <w:ind w:right="264"/>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716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ASSETS</w:t>
            </w: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44"/>
              <w:spacing w:after="0"/>
              <w:rPr>
                <w:sz w:val="20"/>
                <w:szCs w:val="20"/>
                <w:color w:val="auto"/>
              </w:rPr>
            </w:pPr>
            <w:r>
              <w:rPr>
                <w:rFonts w:ascii="Arial" w:cs="Arial" w:eastAsia="Arial" w:hAnsi="Arial"/>
                <w:sz w:val="18"/>
                <w:szCs w:val="18"/>
                <w:b w:val="1"/>
                <w:bCs w:val="1"/>
                <w:color w:val="auto"/>
              </w:rPr>
              <w:t>2025</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44"/>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27"/>
        </w:trPr>
        <w:tc>
          <w:tcPr>
            <w:tcW w:w="71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71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NON-INTEREST BEARING CASH</w:t>
            </w:r>
          </w:p>
        </w:tc>
        <w:tc>
          <w:tcPr>
            <w:tcW w:w="2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523</w:t>
            </w:r>
          </w:p>
        </w:tc>
        <w:tc>
          <w:tcPr>
            <w:tcW w:w="280" w:type="dxa"/>
            <w:vAlign w:val="bottom"/>
          </w:tcPr>
          <w:p>
            <w:pPr>
              <w:spacing w:after="0"/>
              <w:rPr>
                <w:sz w:val="22"/>
                <w:szCs w:val="22"/>
                <w:color w:val="auto"/>
              </w:rPr>
            </w:pPr>
          </w:p>
        </w:tc>
        <w:tc>
          <w:tcPr>
            <w:tcW w:w="2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0" w:type="dxa"/>
            <w:vAlign w:val="bottom"/>
          </w:tcPr>
          <w:p>
            <w:pPr>
              <w:spacing w:after="0"/>
              <w:rPr>
                <w:sz w:val="1"/>
                <w:szCs w:val="1"/>
                <w:color w:val="auto"/>
              </w:rPr>
            </w:pPr>
          </w:p>
        </w:tc>
      </w:tr>
      <w:tr>
        <w:trPr>
          <w:trHeight w:val="504"/>
        </w:trPr>
        <w:tc>
          <w:tcPr>
            <w:tcW w:w="71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INVESTMENT:</w:t>
            </w: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1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Plan interest in Master Trust, at fair value</w:t>
            </w:r>
          </w:p>
        </w:tc>
        <w:tc>
          <w:tcPr>
            <w:tcW w:w="2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3,193,465</w:t>
            </w:r>
          </w:p>
        </w:tc>
        <w:tc>
          <w:tcPr>
            <w:tcW w:w="2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3,012,991</w:t>
            </w:r>
          </w:p>
        </w:tc>
        <w:tc>
          <w:tcPr>
            <w:tcW w:w="0" w:type="dxa"/>
            <w:vAlign w:val="bottom"/>
          </w:tcPr>
          <w:p>
            <w:pPr>
              <w:spacing w:after="0"/>
              <w:rPr>
                <w:sz w:val="1"/>
                <w:szCs w:val="1"/>
                <w:color w:val="auto"/>
              </w:rPr>
            </w:pPr>
          </w:p>
        </w:tc>
      </w:tr>
      <w:tr>
        <w:trPr>
          <w:trHeight w:val="504"/>
        </w:trPr>
        <w:tc>
          <w:tcPr>
            <w:tcW w:w="71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RECEIVABLES:</w:t>
            </w: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1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Notes receivable from participants</w:t>
            </w:r>
          </w:p>
        </w:tc>
        <w:tc>
          <w:tcPr>
            <w:tcW w:w="2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66,725</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65,272</w:t>
            </w:r>
          </w:p>
        </w:tc>
        <w:tc>
          <w:tcPr>
            <w:tcW w:w="0" w:type="dxa"/>
            <w:vAlign w:val="bottom"/>
          </w:tcPr>
          <w:p>
            <w:pPr>
              <w:spacing w:after="0"/>
              <w:rPr>
                <w:sz w:val="1"/>
                <w:szCs w:val="1"/>
                <w:color w:val="auto"/>
              </w:rPr>
            </w:pPr>
          </w:p>
        </w:tc>
      </w:tr>
      <w:tr>
        <w:trPr>
          <w:trHeight w:val="262"/>
        </w:trPr>
        <w:tc>
          <w:tcPr>
            <w:tcW w:w="71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Dividends</w:t>
            </w:r>
          </w:p>
        </w:tc>
        <w:tc>
          <w:tcPr>
            <w:tcW w:w="2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4,378</w:t>
            </w:r>
          </w:p>
        </w:tc>
        <w:tc>
          <w:tcPr>
            <w:tcW w:w="2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4,721</w:t>
            </w:r>
          </w:p>
        </w:tc>
        <w:tc>
          <w:tcPr>
            <w:tcW w:w="0" w:type="dxa"/>
            <w:vAlign w:val="bottom"/>
          </w:tcPr>
          <w:p>
            <w:pPr>
              <w:spacing w:after="0"/>
              <w:rPr>
                <w:sz w:val="1"/>
                <w:szCs w:val="1"/>
                <w:color w:val="auto"/>
              </w:rPr>
            </w:pPr>
          </w:p>
        </w:tc>
      </w:tr>
      <w:tr>
        <w:trPr>
          <w:trHeight w:val="507"/>
        </w:trPr>
        <w:tc>
          <w:tcPr>
            <w:tcW w:w="71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Total receivables</w:t>
            </w:r>
          </w:p>
        </w:tc>
        <w:tc>
          <w:tcPr>
            <w:tcW w:w="2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71,103</w:t>
            </w:r>
          </w:p>
        </w:tc>
        <w:tc>
          <w:tcPr>
            <w:tcW w:w="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69,993</w:t>
            </w:r>
          </w:p>
        </w:tc>
        <w:tc>
          <w:tcPr>
            <w:tcW w:w="0" w:type="dxa"/>
            <w:vAlign w:val="bottom"/>
          </w:tcPr>
          <w:p>
            <w:pPr>
              <w:spacing w:after="0"/>
              <w:rPr>
                <w:sz w:val="1"/>
                <w:szCs w:val="1"/>
                <w:color w:val="auto"/>
              </w:rPr>
            </w:pPr>
          </w:p>
        </w:tc>
      </w:tr>
      <w:tr>
        <w:trPr>
          <w:trHeight w:val="504"/>
        </w:trPr>
        <w:tc>
          <w:tcPr>
            <w:tcW w:w="7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ASSETS</w:t>
            </w:r>
          </w:p>
        </w:tc>
        <w:tc>
          <w:tcPr>
            <w:tcW w:w="2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3,265,091</w:t>
            </w:r>
          </w:p>
        </w:tc>
        <w:tc>
          <w:tcPr>
            <w:tcW w:w="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3,083,033</w:t>
            </w:r>
          </w:p>
        </w:tc>
        <w:tc>
          <w:tcPr>
            <w:tcW w:w="0" w:type="dxa"/>
            <w:vAlign w:val="bottom"/>
          </w:tcPr>
          <w:p>
            <w:pPr>
              <w:spacing w:after="0"/>
              <w:rPr>
                <w:sz w:val="1"/>
                <w:szCs w:val="1"/>
                <w:color w:val="auto"/>
              </w:rPr>
            </w:pPr>
          </w:p>
        </w:tc>
      </w:tr>
      <w:tr>
        <w:trPr>
          <w:trHeight w:val="513"/>
        </w:trPr>
        <w:tc>
          <w:tcPr>
            <w:tcW w:w="7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LIABILITIES</w:t>
            </w:r>
          </w:p>
        </w:tc>
        <w:tc>
          <w:tcPr>
            <w:tcW w:w="240" w:type="dxa"/>
            <w:vAlign w:val="bottom"/>
          </w:tcPr>
          <w:p>
            <w:pPr>
              <w:spacing w:after="0"/>
              <w:rPr>
                <w:sz w:val="24"/>
                <w:szCs w:val="24"/>
                <w:color w:val="auto"/>
              </w:rPr>
            </w:pPr>
          </w:p>
        </w:tc>
        <w:tc>
          <w:tcPr>
            <w:tcW w:w="1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06"/>
        </w:trPr>
        <w:tc>
          <w:tcPr>
            <w:tcW w:w="7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NET ASSETS AVAILABLE FOR BENEFITS</w:t>
            </w:r>
          </w:p>
        </w:tc>
        <w:tc>
          <w:tcPr>
            <w:tcW w:w="2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3,265,091</w:t>
            </w:r>
          </w:p>
        </w:tc>
        <w:tc>
          <w:tcPr>
            <w:tcW w:w="28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3,083,033</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See Notes to Financial Statements.</w:t>
            </w: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3"/>
        </w:trPr>
        <w:tc>
          <w:tcPr>
            <w:tcW w:w="71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6" w:right="379" w:bottom="1440" w:gutter="0" w:footer="0" w:header="0"/>
        </w:sectPr>
      </w:pPr>
    </w:p>
    <w:bookmarkStart w:id="47" w:name="page48"/>
    <w:bookmarkEnd w:id="47"/>
    <w:p>
      <w:pPr>
        <w:spacing w:after="0"/>
        <w:rPr>
          <w:sz w:val="20"/>
          <w:szCs w:val="20"/>
          <w:color w:val="auto"/>
        </w:rPr>
      </w:pPr>
      <w:r>
        <w:rPr>
          <w:rFonts w:ascii="Arial" w:cs="Arial" w:eastAsia="Arial" w:hAnsi="Arial"/>
          <w:sz w:val="23"/>
          <w:szCs w:val="23"/>
          <w:b w:val="1"/>
          <w:bCs w:val="1"/>
          <w:color w:val="auto"/>
        </w:rPr>
        <w:t>SOUTHERN CALIFORNIA GAS COMPANY RETIREMENT SAVINGS PLAN</w:t>
      </w:r>
    </w:p>
    <w:p>
      <w:pPr>
        <w:spacing w:after="0" w:line="38" w:lineRule="exact"/>
        <w:rPr>
          <w:sz w:val="20"/>
          <w:szCs w:val="20"/>
          <w:color w:val="auto"/>
        </w:rPr>
      </w:pPr>
    </w:p>
    <w:p>
      <w:pPr>
        <w:ind w:right="5080"/>
        <w:spacing w:after="0" w:line="263" w:lineRule="auto"/>
        <w:rPr>
          <w:sz w:val="20"/>
          <w:szCs w:val="20"/>
          <w:color w:val="auto"/>
        </w:rPr>
      </w:pPr>
      <w:r>
        <w:rPr>
          <w:rFonts w:ascii="Arial" w:cs="Arial" w:eastAsia="Arial" w:hAnsi="Arial"/>
          <w:sz w:val="18"/>
          <w:szCs w:val="18"/>
          <w:b w:val="1"/>
          <w:bCs w:val="1"/>
          <w:color w:val="auto"/>
        </w:rPr>
        <w:t>STATEMENT OF CHANGES IN NET ASSETS AVAILABLE FOR BENEFITS FOR THE YEAR ENDED DECEMBER 31, 2025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9560" w:type="dxa"/>
            <w:vAlign w:val="bottom"/>
          </w:tcPr>
          <w:p>
            <w:pPr>
              <w:spacing w:after="0"/>
              <w:rPr>
                <w:sz w:val="20"/>
                <w:szCs w:val="20"/>
                <w:color w:val="auto"/>
              </w:rPr>
            </w:pPr>
            <w:r>
              <w:rPr>
                <w:rFonts w:ascii="Times New Roman" w:cs="Times New Roman" w:eastAsia="Times New Roman" w:hAnsi="Times New Roman"/>
                <w:sz w:val="20"/>
                <w:szCs w:val="20"/>
                <w:color w:val="auto"/>
              </w:rPr>
              <w:t>ADDITIONS:</w:t>
            </w:r>
          </w:p>
        </w:tc>
        <w:tc>
          <w:tcPr>
            <w:tcW w:w="4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9"/>
        </w:trPr>
        <w:tc>
          <w:tcPr>
            <w:tcW w:w="95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Net investment gain — Plan interest in Master Trust</w:t>
            </w:r>
          </w:p>
        </w:tc>
        <w:tc>
          <w:tcPr>
            <w:tcW w:w="4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381,617</w:t>
            </w:r>
          </w:p>
        </w:tc>
      </w:tr>
      <w:tr>
        <w:trPr>
          <w:trHeight w:val="342"/>
        </w:trPr>
        <w:tc>
          <w:tcPr>
            <w:tcW w:w="95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Contributions:</w:t>
            </w: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7"/>
        </w:trPr>
        <w:tc>
          <w:tcPr>
            <w:tcW w:w="95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Employer, net of forfeitures</w:t>
            </w:r>
          </w:p>
        </w:tc>
        <w:tc>
          <w:tcPr>
            <w:tcW w:w="4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32,548</w:t>
            </w:r>
          </w:p>
        </w:tc>
      </w:tr>
      <w:tr>
        <w:trPr>
          <w:trHeight w:val="256"/>
        </w:trPr>
        <w:tc>
          <w:tcPr>
            <w:tcW w:w="95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Participant</w:t>
            </w:r>
          </w:p>
        </w:tc>
        <w:tc>
          <w:tcPr>
            <w:tcW w:w="4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111,094</w:t>
            </w:r>
          </w:p>
        </w:tc>
      </w:tr>
      <w:tr>
        <w:trPr>
          <w:trHeight w:val="262"/>
        </w:trPr>
        <w:tc>
          <w:tcPr>
            <w:tcW w:w="95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Participant rollovers</w:t>
            </w:r>
          </w:p>
        </w:tc>
        <w:tc>
          <w:tcPr>
            <w:tcW w:w="4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9,147</w:t>
            </w:r>
          </w:p>
        </w:tc>
      </w:tr>
      <w:tr>
        <w:trPr>
          <w:trHeight w:val="345"/>
        </w:trPr>
        <w:tc>
          <w:tcPr>
            <w:tcW w:w="95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Total contributions</w:t>
            </w:r>
          </w:p>
        </w:tc>
        <w:tc>
          <w:tcPr>
            <w:tcW w:w="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152,789</w:t>
            </w:r>
          </w:p>
        </w:tc>
      </w:tr>
      <w:tr>
        <w:trPr>
          <w:trHeight w:val="344"/>
        </w:trPr>
        <w:tc>
          <w:tcPr>
            <w:tcW w:w="95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Interest income on notes receivable from participants</w:t>
            </w:r>
          </w:p>
        </w:tc>
        <w:tc>
          <w:tcPr>
            <w:tcW w:w="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5,058</w:t>
            </w:r>
          </w:p>
        </w:tc>
      </w:tr>
      <w:tr>
        <w:trPr>
          <w:trHeight w:val="342"/>
        </w:trPr>
        <w:tc>
          <w:tcPr>
            <w:tcW w:w="95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Total additions</w:t>
            </w:r>
          </w:p>
        </w:tc>
        <w:tc>
          <w:tcPr>
            <w:tcW w:w="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539,464</w:t>
            </w:r>
          </w:p>
        </w:tc>
      </w:tr>
      <w:tr>
        <w:trPr>
          <w:trHeight w:val="342"/>
        </w:trPr>
        <w:tc>
          <w:tcPr>
            <w:tcW w:w="9560" w:type="dxa"/>
            <w:vAlign w:val="bottom"/>
          </w:tcPr>
          <w:p>
            <w:pPr>
              <w:spacing w:after="0"/>
              <w:rPr>
                <w:sz w:val="20"/>
                <w:szCs w:val="20"/>
                <w:color w:val="auto"/>
              </w:rPr>
            </w:pPr>
            <w:r>
              <w:rPr>
                <w:rFonts w:ascii="Times New Roman" w:cs="Times New Roman" w:eastAsia="Times New Roman" w:hAnsi="Times New Roman"/>
                <w:sz w:val="20"/>
                <w:szCs w:val="20"/>
                <w:color w:val="auto"/>
              </w:rPr>
              <w:t>DEDUCTIONS:</w:t>
            </w: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6"/>
        </w:trPr>
        <w:tc>
          <w:tcPr>
            <w:tcW w:w="95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Distributions to participants or their beneficiaries</w:t>
            </w:r>
          </w:p>
        </w:tc>
        <w:tc>
          <w:tcPr>
            <w:tcW w:w="4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355,837</w:t>
            </w:r>
          </w:p>
        </w:tc>
      </w:tr>
      <w:tr>
        <w:trPr>
          <w:trHeight w:val="262"/>
        </w:trPr>
        <w:tc>
          <w:tcPr>
            <w:tcW w:w="95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Administrative expenses</w:t>
            </w:r>
          </w:p>
        </w:tc>
        <w:tc>
          <w:tcPr>
            <w:tcW w:w="4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399</w:t>
            </w:r>
          </w:p>
        </w:tc>
      </w:tr>
      <w:tr>
        <w:trPr>
          <w:trHeight w:val="345"/>
        </w:trPr>
        <w:tc>
          <w:tcPr>
            <w:tcW w:w="95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Total deductions</w:t>
            </w:r>
          </w:p>
        </w:tc>
        <w:tc>
          <w:tcPr>
            <w:tcW w:w="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356,236</w:t>
            </w:r>
          </w:p>
        </w:tc>
      </w:tr>
      <w:tr>
        <w:trPr>
          <w:trHeight w:val="342"/>
        </w:trPr>
        <w:tc>
          <w:tcPr>
            <w:tcW w:w="9560" w:type="dxa"/>
            <w:vAlign w:val="bottom"/>
          </w:tcPr>
          <w:p>
            <w:pPr>
              <w:spacing w:after="0"/>
              <w:rPr>
                <w:sz w:val="20"/>
                <w:szCs w:val="20"/>
                <w:color w:val="auto"/>
              </w:rPr>
            </w:pPr>
            <w:r>
              <w:rPr>
                <w:rFonts w:ascii="Times New Roman" w:cs="Times New Roman" w:eastAsia="Times New Roman" w:hAnsi="Times New Roman"/>
                <w:sz w:val="20"/>
                <w:szCs w:val="20"/>
                <w:color w:val="auto"/>
              </w:rPr>
              <w:t>INCREASE IN NET ASSETS BEFORE PLAN TRANSFERS</w:t>
            </w:r>
          </w:p>
        </w:tc>
        <w:tc>
          <w:tcPr>
            <w:tcW w:w="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183,228</w:t>
            </w:r>
          </w:p>
        </w:tc>
      </w:tr>
      <w:tr>
        <w:trPr>
          <w:trHeight w:val="342"/>
        </w:trPr>
        <w:tc>
          <w:tcPr>
            <w:tcW w:w="9560" w:type="dxa"/>
            <w:vAlign w:val="bottom"/>
          </w:tcPr>
          <w:p>
            <w:pPr>
              <w:spacing w:after="0"/>
              <w:rPr>
                <w:sz w:val="20"/>
                <w:szCs w:val="20"/>
                <w:color w:val="auto"/>
              </w:rPr>
            </w:pPr>
            <w:r>
              <w:rPr>
                <w:rFonts w:ascii="Times New Roman" w:cs="Times New Roman" w:eastAsia="Times New Roman" w:hAnsi="Times New Roman"/>
                <w:sz w:val="20"/>
                <w:szCs w:val="20"/>
                <w:color w:val="auto"/>
              </w:rPr>
              <w:t>PLAN TRANSFERS:</w:t>
            </w: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7"/>
        </w:trPr>
        <w:tc>
          <w:tcPr>
            <w:tcW w:w="95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From plans of related entities</w:t>
            </w:r>
          </w:p>
        </w:tc>
        <w:tc>
          <w:tcPr>
            <w:tcW w:w="4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717</w:t>
            </w:r>
          </w:p>
        </w:tc>
      </w:tr>
      <w:tr>
        <w:trPr>
          <w:trHeight w:val="262"/>
        </w:trPr>
        <w:tc>
          <w:tcPr>
            <w:tcW w:w="95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 plans of related entities</w:t>
            </w:r>
          </w:p>
        </w:tc>
        <w:tc>
          <w:tcPr>
            <w:tcW w:w="4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(1,887)</w:t>
            </w:r>
          </w:p>
        </w:tc>
      </w:tr>
      <w:tr>
        <w:trPr>
          <w:trHeight w:val="345"/>
        </w:trPr>
        <w:tc>
          <w:tcPr>
            <w:tcW w:w="95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Net plan transfers</w:t>
            </w:r>
          </w:p>
        </w:tc>
        <w:tc>
          <w:tcPr>
            <w:tcW w:w="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(1,170)</w:t>
            </w:r>
          </w:p>
        </w:tc>
      </w:tr>
      <w:tr>
        <w:trPr>
          <w:trHeight w:val="341"/>
        </w:trPr>
        <w:tc>
          <w:tcPr>
            <w:tcW w:w="9560" w:type="dxa"/>
            <w:vAlign w:val="bottom"/>
          </w:tcPr>
          <w:p>
            <w:pPr>
              <w:spacing w:after="0"/>
              <w:rPr>
                <w:sz w:val="20"/>
                <w:szCs w:val="20"/>
                <w:color w:val="auto"/>
              </w:rPr>
            </w:pPr>
            <w:r>
              <w:rPr>
                <w:rFonts w:ascii="Times New Roman" w:cs="Times New Roman" w:eastAsia="Times New Roman" w:hAnsi="Times New Roman"/>
                <w:sz w:val="20"/>
                <w:szCs w:val="20"/>
                <w:color w:val="auto"/>
              </w:rPr>
              <w:t>NET INCREASE IN NET ASSETS</w:t>
            </w:r>
          </w:p>
        </w:tc>
        <w:tc>
          <w:tcPr>
            <w:tcW w:w="4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182,058</w:t>
            </w:r>
          </w:p>
        </w:tc>
      </w:tr>
      <w:tr>
        <w:trPr>
          <w:trHeight w:val="363"/>
        </w:trPr>
        <w:tc>
          <w:tcPr>
            <w:tcW w:w="9560" w:type="dxa"/>
            <w:vAlign w:val="bottom"/>
          </w:tcPr>
          <w:p>
            <w:pPr>
              <w:spacing w:after="0"/>
              <w:rPr>
                <w:sz w:val="20"/>
                <w:szCs w:val="20"/>
                <w:color w:val="auto"/>
              </w:rPr>
            </w:pPr>
            <w:r>
              <w:rPr>
                <w:rFonts w:ascii="Times New Roman" w:cs="Times New Roman" w:eastAsia="Times New Roman" w:hAnsi="Times New Roman"/>
                <w:sz w:val="20"/>
                <w:szCs w:val="20"/>
                <w:color w:val="auto"/>
              </w:rPr>
              <w:t>NET ASSETS AVAILABLE FOR BENEFITS:</w:t>
            </w: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2"/>
        </w:trPr>
        <w:tc>
          <w:tcPr>
            <w:tcW w:w="95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Beginning of year</w:t>
            </w:r>
          </w:p>
        </w:tc>
        <w:tc>
          <w:tcPr>
            <w:tcW w:w="4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3,083,033</w:t>
            </w:r>
          </w:p>
        </w:tc>
      </w:tr>
      <w:tr>
        <w:trPr>
          <w:trHeight w:val="348"/>
        </w:trPr>
        <w:tc>
          <w:tcPr>
            <w:tcW w:w="95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End of year</w:t>
            </w:r>
          </w:p>
        </w:tc>
        <w:tc>
          <w:tcPr>
            <w:tcW w:w="4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3,265,091</w:t>
            </w:r>
          </w:p>
        </w:tc>
      </w:tr>
      <w:tr>
        <w:trPr>
          <w:trHeight w:val="20"/>
        </w:trPr>
        <w:tc>
          <w:tcPr>
            <w:tcW w:w="95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48" w:name="page49"/>
    <w:bookmarkEnd w:id="48"/>
    <w:p>
      <w:pPr>
        <w:spacing w:after="0"/>
        <w:rPr>
          <w:sz w:val="20"/>
          <w:szCs w:val="20"/>
          <w:color w:val="auto"/>
        </w:rPr>
      </w:pPr>
      <w:r>
        <w:rPr>
          <w:rFonts w:ascii="Arial" w:cs="Arial" w:eastAsia="Arial" w:hAnsi="Arial"/>
          <w:sz w:val="23"/>
          <w:szCs w:val="23"/>
          <w:b w:val="1"/>
          <w:bCs w:val="1"/>
          <w:color w:val="auto"/>
        </w:rPr>
        <w:t>SOUTHERN CALIFORNIA GAS COMPANY RETIREMENT SAVINGS PLAN</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2025 AND 2024 AND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PLAN DESCRIPTION AND RELATED INFORMATION</w:t>
      </w:r>
    </w:p>
    <w:p>
      <w:pPr>
        <w:spacing w:after="0" w:line="233" w:lineRule="exact"/>
        <w:rPr>
          <w:sz w:val="20"/>
          <w:szCs w:val="20"/>
          <w:color w:val="auto"/>
        </w:rPr>
      </w:pPr>
    </w:p>
    <w:p>
      <w:pPr>
        <w:ind w:left="340" w:right="140"/>
        <w:spacing w:after="0" w:line="269" w:lineRule="auto"/>
        <w:rPr>
          <w:sz w:val="20"/>
          <w:szCs w:val="20"/>
          <w:color w:val="auto"/>
        </w:rPr>
      </w:pPr>
      <w:r>
        <w:rPr>
          <w:rFonts w:ascii="Times New Roman" w:cs="Times New Roman" w:eastAsia="Times New Roman" w:hAnsi="Times New Roman"/>
          <w:sz w:val="20"/>
          <w:szCs w:val="20"/>
          <w:color w:val="auto"/>
        </w:rPr>
        <w:t>The following description of the Plan is provided for general information purposes only. Participants in the Plan should refer to the Plan document for a more complete description of the Plan’s provisions.</w:t>
      </w:r>
    </w:p>
    <w:p>
      <w:pPr>
        <w:spacing w:after="0" w:line="169" w:lineRule="exact"/>
        <w:rPr>
          <w:sz w:val="20"/>
          <w:szCs w:val="20"/>
          <w:color w:val="auto"/>
        </w:rPr>
      </w:pPr>
    </w:p>
    <w:p>
      <w:pPr>
        <w:ind w:left="340" w:right="60"/>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General </w:t>
      </w:r>
      <w:r>
        <w:rPr>
          <w:rFonts w:ascii="Times New Roman" w:cs="Times New Roman" w:eastAsia="Times New Roman" w:hAnsi="Times New Roman"/>
          <w:sz w:val="20"/>
          <w:szCs w:val="20"/>
          <w:color w:val="auto"/>
        </w:rPr>
        <w:t>— The Plan is a defined contribution plan that provides employees of the Company with retirement benefits. All employees,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both full-time and part-time, are eligible to participate immediately in the Plan after their date of hire. Participants may make elective deferral contributions and are eligible to receive an Employer matching contribution based on each participant’s level of elective deferral contributions.</w:t>
      </w:r>
    </w:p>
    <w:p>
      <w:pPr>
        <w:spacing w:after="0" w:line="168" w:lineRule="exact"/>
        <w:rPr>
          <w:sz w:val="20"/>
          <w:szCs w:val="20"/>
          <w:color w:val="auto"/>
        </w:rPr>
      </w:pPr>
    </w:p>
    <w:p>
      <w:pPr>
        <w:ind w:left="340" w:right="40"/>
        <w:spacing w:after="0" w:line="257" w:lineRule="auto"/>
        <w:rPr>
          <w:sz w:val="20"/>
          <w:szCs w:val="20"/>
          <w:color w:val="auto"/>
        </w:rPr>
      </w:pPr>
      <w:r>
        <w:rPr>
          <w:rFonts w:ascii="Times New Roman" w:cs="Times New Roman" w:eastAsia="Times New Roman" w:hAnsi="Times New Roman"/>
          <w:sz w:val="20"/>
          <w:szCs w:val="20"/>
          <w:color w:val="auto"/>
        </w:rPr>
        <w:t>Employees may make regular savings investments in the common stock of Sempra, the indirect parent company of the Employer, through the Sempra Stock Fund, which is invested solely in Sempra common stock. Participants may alternatively, or also, elect to invest in other investments permitted by the Plan (further discussed below). The Sempra P&amp;B Committee manages the operation and administration of the Plan as the Plan Administrator. TRP serves as the Trustee of the Plan. The Plan is subject to the provisions of ERISA.</w:t>
      </w:r>
    </w:p>
    <w:p>
      <w:pPr>
        <w:spacing w:after="0" w:line="169" w:lineRule="exact"/>
        <w:rPr>
          <w:sz w:val="20"/>
          <w:szCs w:val="20"/>
          <w:color w:val="auto"/>
        </w:rPr>
      </w:pPr>
    </w:p>
    <w:p>
      <w:pPr>
        <w:ind w:left="340" w:right="24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Plan Transfers </w:t>
      </w:r>
      <w:r>
        <w:rPr>
          <w:rFonts w:ascii="Times New Roman" w:cs="Times New Roman" w:eastAsia="Times New Roman" w:hAnsi="Times New Roman"/>
          <w:sz w:val="20"/>
          <w:szCs w:val="20"/>
          <w:color w:val="auto"/>
        </w:rPr>
        <w:t>— Employees transfer between the Company and related entities for various reasons, and this results in the transfer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participation and participant assets from one plan to another.</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color w:val="auto"/>
        </w:rPr>
        <w:t xml:space="preserve">Contributions </w:t>
      </w:r>
      <w:r>
        <w:rPr>
          <w:rFonts w:ascii="Times New Roman" w:cs="Times New Roman" w:eastAsia="Times New Roman" w:hAnsi="Times New Roman"/>
          <w:sz w:val="20"/>
          <w:szCs w:val="20"/>
          <w:color w:val="auto"/>
        </w:rPr>
        <w:t>— Contributions to the Plan can be made under the following provisions:</w:t>
      </w:r>
    </w:p>
    <w:p>
      <w:pPr>
        <w:spacing w:after="0" w:line="229" w:lineRule="exact"/>
        <w:rPr>
          <w:sz w:val="20"/>
          <w:szCs w:val="20"/>
          <w:color w:val="auto"/>
        </w:rPr>
      </w:pPr>
    </w:p>
    <w:p>
      <w:pPr>
        <w:ind w:left="340" w:right="4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Participating Employee Contributions </w:t>
      </w:r>
      <w:r>
        <w:rPr>
          <w:rFonts w:ascii="Times New Roman" w:cs="Times New Roman" w:eastAsia="Times New Roman" w:hAnsi="Times New Roman"/>
          <w:sz w:val="20"/>
          <w:szCs w:val="20"/>
          <w:color w:val="auto"/>
        </w:rPr>
        <w:t>— Under the terms of the Plan, participants may contribute up to 50% of eligible pay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increments of 1%) on a pre-tax basis, a designated Roth after-tax basis, a regular after-tax basis or a combination thereof. The IRC limited total individual pre-tax and/or designated Roth after-tax contributions to $23,500 for 2025. In addition, a participant’s overall annual employee contributions and employer contributions (as described below, excluding any catch-up and rollover contributions) is limited to the lesser of (a) 100% of the participant’s annual compensation and (b) $70,000 for 2025. Catch-up contributions are permitted for participants of at least 50 years of age. For 2025, the catch-up provision provided participants aged 60-63 the ability to contribute an additional $11,250 and all other participants aged 50 or older the opportunity to contribute an additional $7,500, both on a pre-tax and/or designated Roth after-tax basis. Participants may also make rollover contributions (including Roth rollover contributions) into the Plan from other eligible retirement plans and eligible participants may also make in-Plan Roth conversions.</w:t>
      </w:r>
    </w:p>
    <w:p>
      <w:pPr>
        <w:spacing w:after="0" w:line="180"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20"/>
          <w:szCs w:val="20"/>
          <w:color w:val="auto"/>
        </w:rPr>
        <w:t>The Plan allows for automatic enrollment of and automatic deferral for newly hired employees who either do not elect a specific deferral percentage or do not opt out of the Plan. The automatic deferral percentage for participants is 6% of eligible pay, increasing each May 1st by 1% up to a maximum of 11%. The default investment vehicle is the T. Rowe Price Retirement Trust option that most closely aligns with the employee’s expected year of retirement at age 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49" w:name="page50"/>
    <w:bookmarkEnd w:id="49"/>
    <w:p>
      <w:pPr>
        <w:ind w:right="100"/>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Employer Matching Contributions </w:t>
      </w:r>
      <w:r>
        <w:rPr>
          <w:rFonts w:ascii="Times New Roman" w:cs="Times New Roman" w:eastAsia="Times New Roman" w:hAnsi="Times New Roman"/>
          <w:sz w:val="20"/>
          <w:szCs w:val="20"/>
          <w:color w:val="auto"/>
        </w:rPr>
        <w:t>— Each pay period, the Employer makes matching contributions to the Plan for all participants equal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50% of each participant’s contribution, up to the first 6% of eligible pay, and an additional 0.2% for each 1% incremental increase to each participant’s contribution over 6%, up to 11% of eligible pay. Employer matching contributions can be made in Sempra common stock, cash or any combination thereof at the discretion of the Plan Sponsor. Employer matching contributions made in cash are subsequently invested into any of the Plan’s designated investments according to each participant’s investment election. Employer matching contributions made in Sempra common stock can be transferred, all or in part, into any of the Plan’s other designated investments at the election of the participant.</w:t>
      </w:r>
    </w:p>
    <w:p>
      <w:pPr>
        <w:spacing w:after="0" w:line="173"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Participant Accounts </w:t>
      </w:r>
      <w:r>
        <w:rPr>
          <w:rFonts w:ascii="Times New Roman" w:cs="Times New Roman" w:eastAsia="Times New Roman" w:hAnsi="Times New Roman"/>
          <w:sz w:val="20"/>
          <w:szCs w:val="20"/>
          <w:color w:val="auto"/>
        </w:rPr>
        <w:t>— A separate account is established and maintained in the name of each participant. Each participant’s account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reflects the participant’s contributions, Employer matching contributions, the earnings and losses attributed to each investment, benefit distributions, and certain administrative expenses as described in Note 2. Participants are allocated a share of each fund’s investment earnings and losses, less investment fees, on a daily basis, based on their account balance.</w:t>
      </w:r>
    </w:p>
    <w:p>
      <w:pPr>
        <w:spacing w:after="0" w:line="178"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0"/>
          <w:szCs w:val="20"/>
          <w:b w:val="1"/>
          <w:bCs w:val="1"/>
          <w:color w:val="auto"/>
        </w:rPr>
        <w:t xml:space="preserve">Vesting </w:t>
      </w:r>
      <w:r>
        <w:rPr>
          <w:rFonts w:ascii="Times New Roman" w:cs="Times New Roman" w:eastAsia="Times New Roman" w:hAnsi="Times New Roman"/>
          <w:sz w:val="20"/>
          <w:szCs w:val="20"/>
          <w:color w:val="auto"/>
        </w:rPr>
        <w:t>— Participant contributions are fully vested at all times. Vesting of Employer matching contributions in a participant’s account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occurs upon the earliest of the date: (a) the participant is credited with one year of vesting service; (b) the participant reaches the normal retirement age, which is the first day of the calendar month following the month of their 65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birthday; or (c) of the participant’s death while an employee of the Company. Additionally, Employer matching contributions in a participant’s account become fully vested upon the termination or discontinuation of the Plan.</w:t>
      </w:r>
    </w:p>
    <w:p>
      <w:pPr>
        <w:spacing w:after="0" w:line="20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Investment Options </w:t>
      </w:r>
      <w:r>
        <w:rPr>
          <w:rFonts w:ascii="Times New Roman" w:cs="Times New Roman" w:eastAsia="Times New Roman" w:hAnsi="Times New Roman"/>
          <w:sz w:val="20"/>
          <w:szCs w:val="20"/>
          <w:color w:val="auto"/>
        </w:rPr>
        <w:t>— All investments are held in the Master Trust (see Note 4). Employees elect to have their contributions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Employer matching contributions made in cash invested in increments of 1% in various investment options. Available investment options as of December 31, 2025 included:</w:t>
      </w:r>
    </w:p>
    <w:p>
      <w:pPr>
        <w:spacing w:after="0" w:line="166" w:lineRule="exact"/>
        <w:rPr>
          <w:sz w:val="20"/>
          <w:szCs w:val="20"/>
          <w:color w:val="auto"/>
        </w:rPr>
      </w:pPr>
    </w:p>
    <w:p>
      <w:pPr>
        <w:ind w:left="620" w:hanging="304"/>
        <w:spacing w:after="0"/>
        <w:tabs>
          <w:tab w:leader="none" w:pos="620" w:val="left"/>
        </w:tabs>
        <w:numPr>
          <w:ilvl w:val="0"/>
          <w:numId w:val="22"/>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Sempra common stock through the Sempra Stock Fund;</w:t>
      </w:r>
    </w:p>
    <w:p>
      <w:pPr>
        <w:spacing w:after="0" w:line="229" w:lineRule="exact"/>
        <w:rPr>
          <w:rFonts w:ascii="Times New Roman" w:cs="Times New Roman" w:eastAsia="Times New Roman" w:hAnsi="Times New Roman"/>
          <w:sz w:val="20"/>
          <w:szCs w:val="20"/>
          <w:b w:val="1"/>
          <w:bCs w:val="1"/>
          <w:i w:val="1"/>
          <w:iCs w:val="1"/>
          <w:color w:val="auto"/>
        </w:rPr>
      </w:pPr>
    </w:p>
    <w:p>
      <w:pPr>
        <w:ind w:left="640" w:right="340" w:hanging="324"/>
        <w:spacing w:after="0" w:line="269" w:lineRule="auto"/>
        <w:tabs>
          <w:tab w:leader="none" w:pos="62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Mutual funds and common/collective trusts including those offered by TRP, Pacific Investment Management Company LLC, State Street, and The Vanguard Group, Inc.;</w:t>
      </w:r>
    </w:p>
    <w:p>
      <w:pPr>
        <w:spacing w:after="0" w:line="172" w:lineRule="exact"/>
        <w:rPr>
          <w:rFonts w:ascii="Times New Roman" w:cs="Times New Roman" w:eastAsia="Times New Roman" w:hAnsi="Times New Roman"/>
          <w:sz w:val="20"/>
          <w:szCs w:val="20"/>
          <w:color w:val="auto"/>
        </w:rPr>
      </w:pPr>
    </w:p>
    <w:p>
      <w:pPr>
        <w:ind w:left="620" w:hanging="304"/>
        <w:spacing w:after="0"/>
        <w:tabs>
          <w:tab w:leader="none" w:pos="6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 investment funds (see below) offered through TRP and Northern Trust Company; and</w:t>
      </w:r>
    </w:p>
    <w:p>
      <w:pPr>
        <w:spacing w:after="0" w:line="229" w:lineRule="exact"/>
        <w:rPr>
          <w:rFonts w:ascii="Times New Roman" w:cs="Times New Roman" w:eastAsia="Times New Roman" w:hAnsi="Times New Roman"/>
          <w:sz w:val="20"/>
          <w:szCs w:val="20"/>
          <w:color w:val="auto"/>
        </w:rPr>
      </w:pPr>
    </w:p>
    <w:p>
      <w:pPr>
        <w:jc w:val="both"/>
        <w:ind w:left="640" w:right="40" w:hanging="324"/>
        <w:spacing w:after="0" w:line="261" w:lineRule="auto"/>
        <w:tabs>
          <w:tab w:leader="none" w:pos="62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broad range of investments through an SDBA. The Plan allows participants to invest a maximum of 50% of the entire value of their Plan account in their SDBA. The SDBA allows participants to invest in any listed fund or security except Sempra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60" w:top="1409" w:right="359" w:bottom="1440" w:gutter="0" w:footer="0" w:header="0"/>
        </w:sectPr>
      </w:pPr>
    </w:p>
    <w:bookmarkStart w:id="50" w:name="page51"/>
    <w:bookmarkEnd w:id="50"/>
    <w:p>
      <w:pPr>
        <w:ind w:right="60"/>
        <w:spacing w:after="0" w:line="253" w:lineRule="auto"/>
        <w:rPr>
          <w:sz w:val="20"/>
          <w:szCs w:val="20"/>
          <w:color w:val="auto"/>
        </w:rPr>
      </w:pPr>
      <w:r>
        <w:rPr>
          <w:rFonts w:ascii="Times New Roman" w:cs="Times New Roman" w:eastAsia="Times New Roman" w:hAnsi="Times New Roman"/>
          <w:sz w:val="20"/>
          <w:szCs w:val="20"/>
          <w:color w:val="auto"/>
        </w:rPr>
        <w:t>Certain custom investment funds are offered to participants as investment options. These custom funds are proprietary investments designed specifically for the Plan and similar employee benefit plans sponsored by Sempra and are invested in one or more underlying investments, which may include mutual funds and/or common/collective trusts. The Sempra P&amp;B Committee makes the decisions about selecting, monitoring and allocating assets between the investment managers and underlying investments within each custom investment fund. The custom investment funds and their underlying target investment allocations are described below. Actual allocations may periodically deviate from target allocations due to market conditions and other factors.</w:t>
      </w:r>
    </w:p>
    <w:p>
      <w:pPr>
        <w:spacing w:after="0" w:line="192" w:lineRule="exact"/>
        <w:rPr>
          <w:sz w:val="20"/>
          <w:szCs w:val="20"/>
          <w:color w:val="auto"/>
        </w:rPr>
      </w:pPr>
    </w:p>
    <w:p>
      <w:pPr>
        <w:ind w:left="640" w:right="40" w:hanging="324"/>
        <w:spacing w:after="0" w:line="269" w:lineRule="auto"/>
        <w:tabs>
          <w:tab w:leader="none" w:pos="62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International Equity Fund is a multi-manager structure with target allocations at December 31, 2025 and December 31, 2024 as follows:</w:t>
      </w:r>
    </w:p>
    <w:p>
      <w:pPr>
        <w:spacing w:after="0" w:line="244"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6000" w:type="dxa"/>
            <w:vAlign w:val="bottom"/>
          </w:tcPr>
          <w:p>
            <w:pPr>
              <w:spacing w:after="0"/>
              <w:rPr>
                <w:sz w:val="19"/>
                <w:szCs w:val="19"/>
                <w:color w:val="auto"/>
              </w:rPr>
            </w:pPr>
          </w:p>
        </w:tc>
        <w:tc>
          <w:tcPr>
            <w:tcW w:w="3680" w:type="dxa"/>
            <w:vAlign w:val="bottom"/>
            <w:gridSpan w:val="3"/>
          </w:tcPr>
          <w:p>
            <w:pPr>
              <w:ind w:left="1000"/>
              <w:spacing w:after="0"/>
              <w:rPr>
                <w:sz w:val="20"/>
                <w:szCs w:val="20"/>
                <w:color w:val="auto"/>
              </w:rPr>
            </w:pPr>
            <w:r>
              <w:rPr>
                <w:rFonts w:ascii="Arial" w:cs="Arial" w:eastAsia="Arial" w:hAnsi="Arial"/>
                <w:sz w:val="18"/>
                <w:szCs w:val="18"/>
                <w:b w:val="1"/>
                <w:bCs w:val="1"/>
                <w:color w:val="auto"/>
              </w:rPr>
              <w:t>Target Allocation %</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19"/>
                <w:szCs w:val="19"/>
                <w:color w:val="auto"/>
              </w:rPr>
            </w:pPr>
          </w:p>
        </w:tc>
        <w:tc>
          <w:tcPr>
            <w:tcW w:w="1980" w:type="dxa"/>
            <w:vAlign w:val="bottom"/>
            <w:gridSpan w:val="2"/>
          </w:tcPr>
          <w:p>
            <w:pPr>
              <w:ind w:left="260"/>
              <w:spacing w:after="0"/>
              <w:rPr>
                <w:sz w:val="20"/>
                <w:szCs w:val="20"/>
                <w:color w:val="auto"/>
              </w:rPr>
            </w:pPr>
            <w:r>
              <w:rPr>
                <w:rFonts w:ascii="Arial" w:cs="Arial" w:eastAsia="Arial" w:hAnsi="Arial"/>
                <w:sz w:val="18"/>
                <w:szCs w:val="18"/>
                <w:b w:val="1"/>
                <w:bCs w:val="1"/>
                <w:color w:val="auto"/>
              </w:rPr>
              <w:t>December 31,</w:t>
            </w:r>
          </w:p>
        </w:tc>
        <w:tc>
          <w:tcPr>
            <w:tcW w:w="1700" w:type="dxa"/>
            <w:vAlign w:val="bottom"/>
          </w:tcPr>
          <w:p>
            <w:pPr>
              <w:ind w:left="2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6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Schroder International Equity Trust</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2025</w:t>
            </w:r>
          </w:p>
        </w:tc>
        <w:tc>
          <w:tcPr>
            <w:tcW w:w="30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2024</w:t>
            </w:r>
          </w:p>
        </w:tc>
        <w:tc>
          <w:tcPr>
            <w:tcW w:w="0" w:type="dxa"/>
            <w:vAlign w:val="bottom"/>
          </w:tcPr>
          <w:p>
            <w:pPr>
              <w:spacing w:after="0"/>
              <w:rPr>
                <w:sz w:val="1"/>
                <w:szCs w:val="1"/>
                <w:color w:val="auto"/>
              </w:rPr>
            </w:pPr>
          </w:p>
        </w:tc>
      </w:tr>
      <w:tr>
        <w:trPr>
          <w:trHeight w:val="241"/>
        </w:trPr>
        <w:tc>
          <w:tcPr>
            <w:tcW w:w="6000" w:type="dxa"/>
            <w:vAlign w:val="bottom"/>
            <w:vMerge w:val="continue"/>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57.5%</w:t>
            </w:r>
          </w:p>
        </w:tc>
        <w:tc>
          <w:tcPr>
            <w:tcW w:w="3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58.7%</w:t>
            </w:r>
          </w:p>
        </w:tc>
        <w:tc>
          <w:tcPr>
            <w:tcW w:w="0" w:type="dxa"/>
            <w:vAlign w:val="bottom"/>
          </w:tcPr>
          <w:p>
            <w:pPr>
              <w:spacing w:after="0"/>
              <w:rPr>
                <w:sz w:val="1"/>
                <w:szCs w:val="1"/>
                <w:color w:val="auto"/>
              </w:rPr>
            </w:pPr>
          </w:p>
        </w:tc>
      </w:tr>
      <w:tr>
        <w:trPr>
          <w:trHeight w:val="257"/>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auto"/>
              </w:rPr>
              <w:t>FIAM Select Emerging Market Equity Commingled Pool</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24.2%</w:t>
            </w:r>
          </w:p>
        </w:tc>
        <w:tc>
          <w:tcPr>
            <w:tcW w:w="30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23.2%</w:t>
            </w:r>
          </w:p>
        </w:tc>
        <w:tc>
          <w:tcPr>
            <w:tcW w:w="0" w:type="dxa"/>
            <w:vAlign w:val="bottom"/>
          </w:tcPr>
          <w:p>
            <w:pPr>
              <w:spacing w:after="0"/>
              <w:rPr>
                <w:sz w:val="1"/>
                <w:szCs w:val="1"/>
                <w:color w:val="auto"/>
              </w:rPr>
            </w:pPr>
          </w:p>
        </w:tc>
      </w:tr>
      <w:tr>
        <w:trPr>
          <w:trHeight w:val="256"/>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auto"/>
              </w:rPr>
              <w:t>FIAM Select International Small Cap Commingled Pool</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13.3%</w:t>
            </w:r>
          </w:p>
        </w:tc>
        <w:tc>
          <w:tcPr>
            <w:tcW w:w="30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13.1%</w:t>
            </w:r>
          </w:p>
        </w:tc>
        <w:tc>
          <w:tcPr>
            <w:tcW w:w="0" w:type="dxa"/>
            <w:vAlign w:val="bottom"/>
          </w:tcPr>
          <w:p>
            <w:pPr>
              <w:spacing w:after="0"/>
              <w:rPr>
                <w:sz w:val="1"/>
                <w:szCs w:val="1"/>
                <w:color w:val="auto"/>
              </w:rPr>
            </w:pPr>
          </w:p>
        </w:tc>
      </w:tr>
      <w:tr>
        <w:trPr>
          <w:trHeight w:val="198"/>
        </w:trPr>
        <w:tc>
          <w:tcPr>
            <w:tcW w:w="6000" w:type="dxa"/>
            <w:vAlign w:val="bottom"/>
          </w:tcPr>
          <w:p>
            <w:pPr>
              <w:spacing w:after="0" w:line="198" w:lineRule="exact"/>
              <w:rPr>
                <w:sz w:val="20"/>
                <w:szCs w:val="20"/>
                <w:color w:val="auto"/>
              </w:rPr>
            </w:pPr>
            <w:r>
              <w:rPr>
                <w:rFonts w:ascii="Times New Roman" w:cs="Times New Roman" w:eastAsia="Times New Roman" w:hAnsi="Times New Roman"/>
                <w:sz w:val="20"/>
                <w:szCs w:val="20"/>
                <w:color w:val="auto"/>
              </w:rPr>
              <w:t>State Street All Cap Equity ex-U.S. Index Non-Lending</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5.0%</w:t>
            </w:r>
          </w:p>
        </w:tc>
        <w:tc>
          <w:tcPr>
            <w:tcW w:w="300" w:type="dxa"/>
            <w:vAlign w:val="bottom"/>
          </w:tcPr>
          <w:p>
            <w:pPr>
              <w:spacing w:after="0"/>
              <w:rPr>
                <w:sz w:val="17"/>
                <w:szCs w:val="17"/>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258"/>
        </w:trPr>
        <w:tc>
          <w:tcPr>
            <w:tcW w:w="6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Fund</w:t>
            </w:r>
          </w:p>
        </w:tc>
        <w:tc>
          <w:tcPr>
            <w:tcW w:w="168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7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640" w:right="500" w:hanging="324"/>
        <w:spacing w:after="0" w:line="268" w:lineRule="auto"/>
        <w:tabs>
          <w:tab w:leader="none" w:pos="62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Diversified Fixed Income Fund is a multi-manager structure that includes a 95% target allocation in the MetWest Total Return Bond Fund and a 5% target allocation in the Vanguard Total Bond Market Index at both December 31, 2025 and December 31, 2024.</w:t>
      </w:r>
    </w:p>
    <w:p>
      <w:pPr>
        <w:spacing w:after="0" w:line="161" w:lineRule="exact"/>
        <w:rPr>
          <w:rFonts w:ascii="Times New Roman" w:cs="Times New Roman" w:eastAsia="Times New Roman" w:hAnsi="Times New Roman"/>
          <w:sz w:val="20"/>
          <w:szCs w:val="20"/>
          <w:color w:val="auto"/>
        </w:rPr>
      </w:pPr>
    </w:p>
    <w:p>
      <w:pPr>
        <w:ind w:left="640" w:right="1040" w:hanging="324"/>
        <w:spacing w:after="0" w:line="283" w:lineRule="auto"/>
        <w:tabs>
          <w:tab w:leader="none" w:pos="62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Small/Mid Cap Equity Fund is a multi-manager structure with target allocations at December 31, 2025 and December 31, 2024 as follows:</w:t>
      </w:r>
    </w:p>
    <w:p>
      <w:pPr>
        <w:spacing w:after="0" w:line="218"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6000" w:type="dxa"/>
            <w:vAlign w:val="bottom"/>
          </w:tcPr>
          <w:p>
            <w:pPr>
              <w:spacing w:after="0"/>
              <w:rPr>
                <w:sz w:val="19"/>
                <w:szCs w:val="19"/>
                <w:color w:val="auto"/>
              </w:rPr>
            </w:pPr>
          </w:p>
        </w:tc>
        <w:tc>
          <w:tcPr>
            <w:tcW w:w="3680" w:type="dxa"/>
            <w:vAlign w:val="bottom"/>
            <w:gridSpan w:val="3"/>
          </w:tcPr>
          <w:p>
            <w:pPr>
              <w:ind w:left="1000"/>
              <w:spacing w:after="0"/>
              <w:rPr>
                <w:sz w:val="20"/>
                <w:szCs w:val="20"/>
                <w:color w:val="auto"/>
              </w:rPr>
            </w:pPr>
            <w:r>
              <w:rPr>
                <w:rFonts w:ascii="Arial" w:cs="Arial" w:eastAsia="Arial" w:hAnsi="Arial"/>
                <w:sz w:val="18"/>
                <w:szCs w:val="18"/>
                <w:b w:val="1"/>
                <w:bCs w:val="1"/>
                <w:color w:val="auto"/>
              </w:rPr>
              <w:t>Target Allocation %</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19"/>
                <w:szCs w:val="19"/>
                <w:color w:val="auto"/>
              </w:rPr>
            </w:pPr>
          </w:p>
        </w:tc>
        <w:tc>
          <w:tcPr>
            <w:tcW w:w="1980" w:type="dxa"/>
            <w:vAlign w:val="bottom"/>
            <w:gridSpan w:val="2"/>
          </w:tcPr>
          <w:p>
            <w:pPr>
              <w:ind w:left="260"/>
              <w:spacing w:after="0"/>
              <w:rPr>
                <w:sz w:val="20"/>
                <w:szCs w:val="20"/>
                <w:color w:val="auto"/>
              </w:rPr>
            </w:pPr>
            <w:r>
              <w:rPr>
                <w:rFonts w:ascii="Arial" w:cs="Arial" w:eastAsia="Arial" w:hAnsi="Arial"/>
                <w:sz w:val="18"/>
                <w:szCs w:val="18"/>
                <w:b w:val="1"/>
                <w:bCs w:val="1"/>
                <w:color w:val="auto"/>
              </w:rPr>
              <w:t>December 31,</w:t>
            </w:r>
          </w:p>
        </w:tc>
        <w:tc>
          <w:tcPr>
            <w:tcW w:w="1700" w:type="dxa"/>
            <w:vAlign w:val="bottom"/>
          </w:tcPr>
          <w:p>
            <w:pPr>
              <w:ind w:left="2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6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 Rowe Price Institutional Small-Cap Stock Fund</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2025</w:t>
            </w:r>
          </w:p>
        </w:tc>
        <w:tc>
          <w:tcPr>
            <w:tcW w:w="30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2024</w:t>
            </w:r>
          </w:p>
        </w:tc>
        <w:tc>
          <w:tcPr>
            <w:tcW w:w="0" w:type="dxa"/>
            <w:vAlign w:val="bottom"/>
          </w:tcPr>
          <w:p>
            <w:pPr>
              <w:spacing w:after="0"/>
              <w:rPr>
                <w:sz w:val="1"/>
                <w:szCs w:val="1"/>
                <w:color w:val="auto"/>
              </w:rPr>
            </w:pPr>
          </w:p>
        </w:tc>
      </w:tr>
      <w:tr>
        <w:trPr>
          <w:trHeight w:val="241"/>
        </w:trPr>
        <w:tc>
          <w:tcPr>
            <w:tcW w:w="6000" w:type="dxa"/>
            <w:vAlign w:val="bottom"/>
            <w:vMerge w:val="continue"/>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32.0%</w:t>
            </w:r>
          </w:p>
        </w:tc>
        <w:tc>
          <w:tcPr>
            <w:tcW w:w="3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32.0%</w:t>
            </w:r>
          </w:p>
        </w:tc>
        <w:tc>
          <w:tcPr>
            <w:tcW w:w="0" w:type="dxa"/>
            <w:vAlign w:val="bottom"/>
          </w:tcPr>
          <w:p>
            <w:pPr>
              <w:spacing w:after="0"/>
              <w:rPr>
                <w:sz w:val="1"/>
                <w:szCs w:val="1"/>
                <w:color w:val="auto"/>
              </w:rPr>
            </w:pPr>
          </w:p>
        </w:tc>
      </w:tr>
      <w:tr>
        <w:trPr>
          <w:trHeight w:val="203"/>
        </w:trPr>
        <w:tc>
          <w:tcPr>
            <w:tcW w:w="600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AllianceBernstein U.S. Small &amp; Mid Cap Value Collective</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31.5%</w:t>
            </w:r>
          </w:p>
        </w:tc>
        <w:tc>
          <w:tcPr>
            <w:tcW w:w="300" w:type="dxa"/>
            <w:vAlign w:val="bottom"/>
          </w:tcPr>
          <w:p>
            <w:pPr>
              <w:spacing w:after="0"/>
              <w:rPr>
                <w:sz w:val="17"/>
                <w:szCs w:val="17"/>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31.5%</w:t>
            </w:r>
          </w:p>
        </w:tc>
        <w:tc>
          <w:tcPr>
            <w:tcW w:w="0" w:type="dxa"/>
            <w:vAlign w:val="bottom"/>
          </w:tcPr>
          <w:p>
            <w:pPr>
              <w:spacing w:after="0"/>
              <w:rPr>
                <w:sz w:val="1"/>
                <w:szCs w:val="1"/>
                <w:color w:val="auto"/>
              </w:rPr>
            </w:pPr>
          </w:p>
        </w:tc>
      </w:tr>
      <w:tr>
        <w:trPr>
          <w:trHeight w:val="243"/>
        </w:trPr>
        <w:tc>
          <w:tcPr>
            <w:tcW w:w="6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Investment Trust</w:t>
            </w:r>
          </w:p>
        </w:tc>
        <w:tc>
          <w:tcPr>
            <w:tcW w:w="168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auto"/>
              </w:rPr>
              <w:t>Loomis Sayles Small/Mid Cap Growth Trust</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31.5%</w:t>
            </w:r>
          </w:p>
        </w:tc>
        <w:tc>
          <w:tcPr>
            <w:tcW w:w="30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31.5%</w:t>
            </w:r>
          </w:p>
        </w:tc>
        <w:tc>
          <w:tcPr>
            <w:tcW w:w="0" w:type="dxa"/>
            <w:vAlign w:val="bottom"/>
          </w:tcPr>
          <w:p>
            <w:pPr>
              <w:spacing w:after="0"/>
              <w:rPr>
                <w:sz w:val="1"/>
                <w:szCs w:val="1"/>
                <w:color w:val="auto"/>
              </w:rPr>
            </w:pPr>
          </w:p>
        </w:tc>
      </w:tr>
      <w:tr>
        <w:trPr>
          <w:trHeight w:val="203"/>
        </w:trPr>
        <w:tc>
          <w:tcPr>
            <w:tcW w:w="600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State Street Russell Small/Mid Cap Index Non-Lending</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5.0%</w:t>
            </w:r>
          </w:p>
        </w:tc>
        <w:tc>
          <w:tcPr>
            <w:tcW w:w="300" w:type="dxa"/>
            <w:vAlign w:val="bottom"/>
          </w:tcPr>
          <w:p>
            <w:pPr>
              <w:spacing w:after="0"/>
              <w:rPr>
                <w:sz w:val="17"/>
                <w:szCs w:val="17"/>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258"/>
        </w:trPr>
        <w:tc>
          <w:tcPr>
            <w:tcW w:w="6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Series Fund</w:t>
            </w:r>
          </w:p>
        </w:tc>
        <w:tc>
          <w:tcPr>
            <w:tcW w:w="168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7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ind w:left="640" w:hanging="324"/>
        <w:spacing w:after="0" w:line="283" w:lineRule="auto"/>
        <w:tabs>
          <w:tab w:leader="none" w:pos="62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Large Cap Equity Fund invests all underlying assets in the Vanguard Institutional 500 Index Trust, a common/collective trust that invests in the Vanguard 500 Index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60" w:top="1413" w:right="359" w:bottom="1440" w:gutter="0" w:footer="0" w:header="0"/>
        </w:sectPr>
      </w:pPr>
    </w:p>
    <w:bookmarkStart w:id="51" w:name="page52"/>
    <w:bookmarkEnd w:id="51"/>
    <w:p>
      <w:pPr>
        <w:ind w:right="80"/>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Payment of Dividends </w:t>
      </w:r>
      <w:r>
        <w:rPr>
          <w:rFonts w:ascii="Times New Roman" w:cs="Times New Roman" w:eastAsia="Times New Roman" w:hAnsi="Times New Roman"/>
          <w:sz w:val="20"/>
          <w:szCs w:val="20"/>
          <w:color w:val="auto"/>
        </w:rPr>
        <w:t>— Active participants may elect at any time either to receive distributions of cash dividends on the shares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Sempra common stock held in their account through the Sempra Stock Fund or to reinvest those dividends in the Sempra Stock Fund. Terminated participants that elect to leave their account balance in the Plan and receive cash dividends from Sempra common stock held in their account will receive such dividends in cash or have them reinvested in Sempra common stock held through the Sempra Stock Fund, based on their election on the date of termination of employment with the Company, retirement or permanent disability.</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Payment of Benefits </w:t>
      </w:r>
      <w:r>
        <w:rPr>
          <w:rFonts w:ascii="Times New Roman" w:cs="Times New Roman" w:eastAsia="Times New Roman" w:hAnsi="Times New Roman"/>
          <w:sz w:val="20"/>
          <w:szCs w:val="20"/>
          <w:color w:val="auto"/>
        </w:rPr>
        <w:t>— Upon termination of employment with the Company, including retirement, permanent disability, or death,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participants or the named beneficiary(ies) (in the event of death) with an account balance greater than $5,000 are given the option to have their vested account balance remain in the Plan (subject to the required minimum distribution rules under U.S. federal tax laws), roll the entire amount to another eligible retirement plan, receive a partial withdrawal, or receive their vested account balance in a single lump-sum payment in cash or in Sempra common stock for any portion of their account held in Sempra common stock. Plan participants, in addition to the benefit payment options above, may elect to have all or a portion of their Plan benefits paid in monthly, quarterly, semi-annual or annual installments over a period of years not to exceed their life expectancy based on the appropriate tables in the IRS regulations.</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The accounts of terminated participants with account balances from $1,001 to $5,000 that do not elect a lump-sum payment or a rollover to an eligible retirement plan will be automatically rolled into an individual retirement account. Terminated participants with account balances of $1,000 or less automatically receive a lump-sum cash payment, with the ability to elect to rollover the balance to another eligible retirement plan if the account balance is greater than $200.</w:t>
      </w:r>
    </w:p>
    <w:p>
      <w:pPr>
        <w:spacing w:after="0" w:line="168"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Plan Termination </w:t>
      </w:r>
      <w:r>
        <w:rPr>
          <w:rFonts w:ascii="Times New Roman" w:cs="Times New Roman" w:eastAsia="Times New Roman" w:hAnsi="Times New Roman"/>
          <w:sz w:val="20"/>
          <w:szCs w:val="20"/>
          <w:color w:val="auto"/>
        </w:rPr>
        <w:t>— Although it has not expressed any intent to do so, the Company has the right under the Plan to discontinue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contributions and to terminate the Plan at any time, subject to the provisions of ERISA. In the event of termination, participants would become 100% vested in their Employer contributions and the net assets of the Plan would be distributed to the participants.</w:t>
      </w:r>
    </w:p>
    <w:p>
      <w:pPr>
        <w:spacing w:after="0" w:line="175"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Related Party and Exempt Party-in-Interest Transactions </w:t>
      </w:r>
      <w:r>
        <w:rPr>
          <w:rFonts w:ascii="Times New Roman" w:cs="Times New Roman" w:eastAsia="Times New Roman" w:hAnsi="Times New Roman"/>
          <w:sz w:val="20"/>
          <w:szCs w:val="20"/>
          <w:color w:val="auto"/>
        </w:rPr>
        <w:t>— The Plan’s investment held in the Master Trust includes shares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certain investment funds managed by TRP. Additionally, the Plan issues loans to participants (reported as notes receivable from participants), which are secured by the balances in the participants’ accounts. These transactions qualify as exempt party-in-interest transactions.</w:t>
      </w:r>
    </w:p>
    <w:p>
      <w:pPr>
        <w:spacing w:after="0" w:line="1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Additionally, at December 31, 2025 and 2024, the Plan held, through the Master Trust, 6,715,734 shares and 7,584,471 shares, respectively, of Sempra common stock with a cost basis of $316,343,000 and $336,751,000, respectively. For shares of Sempra common stock held during the year ended December 31, 2025, the Plan recorded related dividend income of $18,603,000 which is included in Net investment gain – Plan interest in Master Trust in the Statement of Changes in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60" w:top="1409" w:right="359" w:bottom="1440" w:gutter="0" w:footer="0" w:header="0"/>
        </w:sectPr>
      </w:pPr>
    </w:p>
    <w:bookmarkStart w:id="52" w:name="page53"/>
    <w:bookmarkEnd w:id="52"/>
    <w:p>
      <w:pPr>
        <w:spacing w:after="0" w:line="253" w:lineRule="auto"/>
        <w:rPr>
          <w:sz w:val="20"/>
          <w:szCs w:val="20"/>
          <w:color w:val="auto"/>
        </w:rPr>
      </w:pPr>
      <w:r>
        <w:rPr>
          <w:rFonts w:ascii="Times New Roman" w:cs="Times New Roman" w:eastAsia="Times New Roman" w:hAnsi="Times New Roman"/>
          <w:sz w:val="20"/>
          <w:szCs w:val="20"/>
          <w:color w:val="auto"/>
        </w:rPr>
        <w:t>Newport is the independent fiduciary and investment manager of the Sempra Stock Fund. Newport has sole fiduciary responsibility under the Plan for deciding, among other things, whether to restrict investment in the Sempra Stock Fund or to sell or otherwise dispose of all or any portion of the stock held in the Sempra Stock Fund. Under the terms of the Plan, Newport will continue to maintain the Sempra Stock Fund as a Plan investment option consistent with the terms of the Plan unless otherwise prohibited by ERISA. In the event Newport determines to sell or dispose of stock in the Sempra Stock Fund, Newport would designate an alternative investment fund under the Plan for the temporary investment of any proceeds from the sale or other disposition of Sempra common stock pending further investment directions from Plan participants.</w:t>
      </w:r>
    </w:p>
    <w:p>
      <w:pPr>
        <w:spacing w:after="0" w:line="179" w:lineRule="exact"/>
        <w:rPr>
          <w:sz w:val="20"/>
          <w:szCs w:val="20"/>
          <w:color w:val="auto"/>
        </w:rPr>
      </w:pPr>
    </w:p>
    <w:p>
      <w:pPr>
        <w:ind w:right="440"/>
        <w:spacing w:after="0" w:line="283" w:lineRule="auto"/>
        <w:rPr>
          <w:sz w:val="20"/>
          <w:szCs w:val="20"/>
          <w:color w:val="auto"/>
        </w:rPr>
      </w:pPr>
      <w:r>
        <w:rPr>
          <w:rFonts w:ascii="Times New Roman" w:cs="Times New Roman" w:eastAsia="Times New Roman" w:hAnsi="Times New Roman"/>
          <w:sz w:val="20"/>
          <w:szCs w:val="20"/>
          <w:color w:val="auto"/>
        </w:rPr>
        <w:t>Certain administrative functions of the Plan are performed by officers or employees of Sempra and the Company. No such officer or employee receives compensation from the Plan.</w:t>
      </w:r>
    </w:p>
    <w:p>
      <w:pPr>
        <w:spacing w:after="0" w:line="14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Notes Receivable from Participants </w:t>
      </w:r>
      <w:r>
        <w:rPr>
          <w:rFonts w:ascii="Times New Roman" w:cs="Times New Roman" w:eastAsia="Times New Roman" w:hAnsi="Times New Roman"/>
          <w:sz w:val="20"/>
          <w:szCs w:val="20"/>
          <w:color w:val="auto"/>
        </w:rPr>
        <w:t>— The Plan permits participants to borrow against the balances in their individual accounts.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is limited to borrowing a maximum of 50% of the value of his/her vested account balance, or $50,000 less the participant’s highest outstanding loan balance in the preceding 12 months, whichever is less. The minimum amount that can be borrowed is $1,000. The fee charged for processing a loan is paid by the participant who takes out the loan and the participant also is charged an annual maintenance fee for each year a loan is outstanding. Participants may have up to two loans outstanding, both of which can be primary residence loans. Primary residence loans are amortized over a maximum repayment period of 15 years, and other loans have a maximum repayment period of five years. All participant loans bear interest at 1% above the prime rate at the time the loan was made. At December 31, 2025 and 2024, interest rates on participant loans ranged from 4.25% to 9.50% for both years, and participant loans outstanding at December 31, 2025 had maturity dates through December 2040.</w:t>
      </w:r>
    </w:p>
    <w:p>
      <w:pPr>
        <w:spacing w:after="0" w:line="189"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Forfeited Accounts </w:t>
      </w:r>
      <w:r>
        <w:rPr>
          <w:rFonts w:ascii="Times New Roman" w:cs="Times New Roman" w:eastAsia="Times New Roman" w:hAnsi="Times New Roman"/>
          <w:sz w:val="19"/>
          <w:szCs w:val="19"/>
          <w:color w:val="auto"/>
        </w:rPr>
        <w:t>— If a participant’s employment terminates prior to being fully vested in their Employer contributions, the non-vested portion of their account is forfeited on the earlier of the date the participant takes a complete distribution of their vested account balance or has five consecutive one-year breaks in service. Participants’ forfeited accounts are transferred to a forfeiture account, which is maintained for the benefit of the Plan as a whole and is not attributable to any given participant. The balance of the forfeiture account is used to reduce future Employer contributions. At December 31, 2025 and 2024, the balances of forfeited non-vested accounts totaled $10,000 and $5,000, respectively. In 2025, Employer contributions were reduced by $30,000 from forfeited accounts.</w:t>
      </w:r>
    </w:p>
    <w:p>
      <w:pPr>
        <w:spacing w:after="0" w:line="159"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Withdrawals </w:t>
      </w:r>
      <w:r>
        <w:rPr>
          <w:rFonts w:ascii="Times New Roman" w:cs="Times New Roman" w:eastAsia="Times New Roman" w:hAnsi="Times New Roman"/>
          <w:sz w:val="20"/>
          <w:szCs w:val="20"/>
          <w:color w:val="auto"/>
        </w:rPr>
        <w:t>— The Plan offers a dividend pass-through withdrawal option for cash dividends received on shares of Sempra common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held in participants’ accounts through the Sempra Stock Fund and the following in-service withdrawal options:</w:t>
      </w:r>
    </w:p>
    <w:p>
      <w:pPr>
        <w:spacing w:after="0" w:line="142" w:lineRule="exact"/>
        <w:rPr>
          <w:sz w:val="20"/>
          <w:szCs w:val="20"/>
          <w:color w:val="auto"/>
        </w:rPr>
      </w:pPr>
    </w:p>
    <w:p>
      <w:pPr>
        <w:ind w:left="620" w:hanging="304"/>
        <w:spacing w:after="0"/>
        <w:tabs>
          <w:tab w:leader="none" w:pos="6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After-tax and rollover accounts;</w:t>
      </w:r>
    </w:p>
    <w:p>
      <w:pPr>
        <w:spacing w:after="0" w:line="229" w:lineRule="exact"/>
        <w:rPr>
          <w:rFonts w:ascii="Times New Roman" w:cs="Times New Roman" w:eastAsia="Times New Roman" w:hAnsi="Times New Roman"/>
          <w:sz w:val="20"/>
          <w:szCs w:val="20"/>
          <w:color w:val="auto"/>
        </w:rPr>
      </w:pPr>
    </w:p>
    <w:p>
      <w:pPr>
        <w:ind w:left="620" w:hanging="304"/>
        <w:spacing w:after="0"/>
        <w:tabs>
          <w:tab w:leader="none" w:pos="6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Hardship withdrawals;</w:t>
      </w:r>
    </w:p>
    <w:p>
      <w:pPr>
        <w:spacing w:after="0" w:line="229" w:lineRule="exact"/>
        <w:rPr>
          <w:rFonts w:ascii="Times New Roman" w:cs="Times New Roman" w:eastAsia="Times New Roman" w:hAnsi="Times New Roman"/>
          <w:sz w:val="20"/>
          <w:szCs w:val="20"/>
          <w:color w:val="auto"/>
        </w:rPr>
      </w:pPr>
    </w:p>
    <w:p>
      <w:pPr>
        <w:ind w:left="620" w:hanging="304"/>
        <w:spacing w:after="0"/>
        <w:tabs>
          <w:tab w:leader="none" w:pos="6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Military service withdrawals;</w:t>
      </w:r>
    </w:p>
    <w:p>
      <w:pPr>
        <w:spacing w:after="0" w:line="215" w:lineRule="exact"/>
        <w:rPr>
          <w:rFonts w:ascii="Times New Roman" w:cs="Times New Roman" w:eastAsia="Times New Roman" w:hAnsi="Times New Roman"/>
          <w:sz w:val="20"/>
          <w:szCs w:val="20"/>
          <w:color w:val="auto"/>
        </w:rPr>
      </w:pPr>
    </w:p>
    <w:p>
      <w:pPr>
        <w:ind w:left="620" w:hanging="304"/>
        <w:spacing w:after="0"/>
        <w:tabs>
          <w:tab w:leader="none" w:pos="6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Disability withdrawals; and</w:t>
      </w:r>
    </w:p>
    <w:p>
      <w:pPr>
        <w:spacing w:after="0" w:line="229" w:lineRule="exact"/>
        <w:rPr>
          <w:rFonts w:ascii="Times New Roman" w:cs="Times New Roman" w:eastAsia="Times New Roman" w:hAnsi="Times New Roman"/>
          <w:sz w:val="20"/>
          <w:szCs w:val="20"/>
          <w:color w:val="auto"/>
        </w:rPr>
      </w:pPr>
    </w:p>
    <w:p>
      <w:pPr>
        <w:ind w:left="620" w:hanging="304"/>
        <w:spacing w:after="0"/>
        <w:tabs>
          <w:tab w:leader="none" w:pos="6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Withdrawals at any time on or after a participant attains age 59-1/2.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13" w:right="339" w:bottom="1440" w:gutter="0" w:footer="0" w:header="0"/>
        </w:sectPr>
      </w:pPr>
    </w:p>
    <w:bookmarkStart w:id="53" w:name="page54"/>
    <w:bookmarkEnd w:id="53"/>
    <w:p>
      <w:pPr>
        <w:ind w:left="332" w:hanging="332"/>
        <w:spacing w:after="0"/>
        <w:tabs>
          <w:tab w:leader="none" w:pos="332" w:val="left"/>
        </w:tabs>
        <w:numPr>
          <w:ilvl w:val="0"/>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SUMMARY OF SIGNIFICANT ACCOUNTING POLICIES</w:t>
      </w:r>
    </w:p>
    <w:p>
      <w:pPr>
        <w:spacing w:after="0" w:line="256" w:lineRule="exact"/>
        <w:rPr>
          <w:rFonts w:ascii="Times New Roman" w:cs="Times New Roman" w:eastAsia="Times New Roman" w:hAnsi="Times New Roman"/>
          <w:sz w:val="20"/>
          <w:szCs w:val="20"/>
          <w:b w:val="1"/>
          <w:bCs w:val="1"/>
          <w:color w:val="auto"/>
        </w:rPr>
      </w:pPr>
    </w:p>
    <w:p>
      <w:pPr>
        <w:ind w:left="332"/>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Basis of Accounting </w:t>
      </w:r>
      <w:r>
        <w:rPr>
          <w:rFonts w:ascii="Times New Roman" w:cs="Times New Roman" w:eastAsia="Times New Roman" w:hAnsi="Times New Roman"/>
          <w:sz w:val="20"/>
          <w:szCs w:val="20"/>
          <w:color w:val="auto"/>
        </w:rPr>
        <w:t>— The accompanying financial statements have been prepared in accordance with U.S. GAAP.</w:t>
      </w:r>
    </w:p>
    <w:p>
      <w:pPr>
        <w:spacing w:after="0" w:line="215" w:lineRule="exact"/>
        <w:rPr>
          <w:rFonts w:ascii="Times New Roman" w:cs="Times New Roman" w:eastAsia="Times New Roman" w:hAnsi="Times New Roman"/>
          <w:sz w:val="20"/>
          <w:szCs w:val="20"/>
          <w:b w:val="1"/>
          <w:bCs w:val="1"/>
          <w:color w:val="auto"/>
        </w:rPr>
      </w:pPr>
    </w:p>
    <w:p>
      <w:pPr>
        <w:ind w:left="332" w:right="40"/>
        <w:spacing w:after="0" w:line="26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Use of Estimates </w:t>
      </w:r>
      <w:r>
        <w:rPr>
          <w:rFonts w:ascii="Times New Roman" w:cs="Times New Roman" w:eastAsia="Times New Roman" w:hAnsi="Times New Roman"/>
          <w:sz w:val="20"/>
          <w:szCs w:val="20"/>
          <w:color w:val="auto"/>
        </w:rPr>
        <w:t>— The preparation of financial statements in conformity with U.S. GAAP requires management to make estimates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assumptions that affect the reported amounts of assets and liabilities, and changes therein, and disclosure of contingent assets and liabilities at the date of the financial statements. Actual results could differ from those estimates.</w:t>
      </w:r>
    </w:p>
    <w:p>
      <w:pPr>
        <w:spacing w:after="0" w:line="175" w:lineRule="exact"/>
        <w:rPr>
          <w:rFonts w:ascii="Times New Roman" w:cs="Times New Roman" w:eastAsia="Times New Roman" w:hAnsi="Times New Roman"/>
          <w:sz w:val="20"/>
          <w:szCs w:val="20"/>
          <w:b w:val="1"/>
          <w:bCs w:val="1"/>
          <w:color w:val="auto"/>
        </w:rPr>
      </w:pPr>
    </w:p>
    <w:p>
      <w:pPr>
        <w:ind w:left="332" w:right="6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Risks and Uncertainties </w:t>
      </w:r>
      <w:r>
        <w:rPr>
          <w:rFonts w:ascii="Times New Roman" w:cs="Times New Roman" w:eastAsia="Times New Roman" w:hAnsi="Times New Roman"/>
          <w:sz w:val="20"/>
          <w:szCs w:val="20"/>
          <w:color w:val="auto"/>
        </w:rPr>
        <w:t>— As discussed in Notes 1 and 4, the Plan invests in various investment instruments in the Master Trust.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Investments, in general, are exposed to various risks and uncertainties, such as interest rate risk, credit risk, and market risk. Market risks include global events which could impact the value of investments, such as a pandemic or international conflict. Due to the level of risk associated with certain investments, it is reasonably possible that changes in the values of investments will occur in the near-term and that such changes could materially affect the value of the participants’ account balances and the amounts reported in the financial statements.</w:t>
      </w:r>
    </w:p>
    <w:p>
      <w:pPr>
        <w:spacing w:after="0" w:line="186" w:lineRule="exact"/>
        <w:rPr>
          <w:rFonts w:ascii="Times New Roman" w:cs="Times New Roman" w:eastAsia="Times New Roman" w:hAnsi="Times New Roman"/>
          <w:sz w:val="20"/>
          <w:szCs w:val="20"/>
          <w:b w:val="1"/>
          <w:bCs w:val="1"/>
          <w:color w:val="auto"/>
        </w:rPr>
      </w:pPr>
    </w:p>
    <w:p>
      <w:pPr>
        <w:ind w:left="332" w:right="60"/>
        <w:spacing w:after="0" w:line="26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Investment Valuation and Income/Loss Recognition </w:t>
      </w:r>
      <w:r>
        <w:rPr>
          <w:rFonts w:ascii="Times New Roman" w:cs="Times New Roman" w:eastAsia="Times New Roman" w:hAnsi="Times New Roman"/>
          <w:sz w:val="20"/>
          <w:szCs w:val="20"/>
          <w:color w:val="auto"/>
        </w:rPr>
        <w:t>— The Plan’s investment consists of an interest in the Master Trust. The Plan’s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interest in the Master Trust is presented at fair value, which has been determined based on the fair value of the underlying investments of the Master Trust. See Note 5 for discussion of fair value measurements.</w:t>
      </w:r>
    </w:p>
    <w:p>
      <w:pPr>
        <w:spacing w:after="0" w:line="165" w:lineRule="exact"/>
        <w:rPr>
          <w:rFonts w:ascii="Times New Roman" w:cs="Times New Roman" w:eastAsia="Times New Roman" w:hAnsi="Times New Roman"/>
          <w:sz w:val="20"/>
          <w:szCs w:val="20"/>
          <w:b w:val="1"/>
          <w:bCs w:val="1"/>
          <w:color w:val="auto"/>
        </w:rPr>
      </w:pPr>
    </w:p>
    <w:p>
      <w:pPr>
        <w:ind w:left="332"/>
        <w:spacing w:after="0" w:line="257"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Investment income related to the Plan’s interest in the Master Trust is presented in Net investment gain – Plan interest in Master Trust in the Statement of Changes in Net Assets Available for Benefits and consists of net appreciation (depreciation) in the fair value of investments and dividend income. Net appreciation (depreciation) includes realized gains and losses on investments sold during the year and unrealized gains and losses on investments held as of year-end. Purchases and sales of investments are recorded on a trade-date basis. Dividend income is recorded on the ex-dividend date.</w:t>
      </w:r>
    </w:p>
    <w:p>
      <w:pPr>
        <w:spacing w:after="0" w:line="168" w:lineRule="exact"/>
        <w:rPr>
          <w:rFonts w:ascii="Times New Roman" w:cs="Times New Roman" w:eastAsia="Times New Roman" w:hAnsi="Times New Roman"/>
          <w:sz w:val="20"/>
          <w:szCs w:val="20"/>
          <w:b w:val="1"/>
          <w:bCs w:val="1"/>
          <w:color w:val="auto"/>
        </w:rPr>
      </w:pPr>
    </w:p>
    <w:p>
      <w:pPr>
        <w:ind w:left="332" w:right="200"/>
        <w:spacing w:after="0" w:line="26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Concentrations of Investments </w:t>
      </w:r>
      <w:r>
        <w:rPr>
          <w:rFonts w:ascii="Times New Roman" w:cs="Times New Roman" w:eastAsia="Times New Roman" w:hAnsi="Times New Roman"/>
          <w:sz w:val="20"/>
          <w:szCs w:val="20"/>
          <w:color w:val="auto"/>
        </w:rPr>
        <w:t>— Included in the Plan’s investment held in the Master Trust at December 31, 2025 and 2024,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of Sempra common stock with a fair value of $592,932,000 and $665,310,000, respectively. This investment represents 18.57% and 22.08% of the Plan’s investment at December 31, 2025 and 2024, respectively. A significant decline in the market value of Sempra common stock would significantly affect the Plan’s net assets available for benefits.</w:t>
      </w:r>
    </w:p>
    <w:p>
      <w:pPr>
        <w:spacing w:after="0" w:line="181" w:lineRule="exact"/>
        <w:rPr>
          <w:rFonts w:ascii="Times New Roman" w:cs="Times New Roman" w:eastAsia="Times New Roman" w:hAnsi="Times New Roman"/>
          <w:sz w:val="20"/>
          <w:szCs w:val="20"/>
          <w:b w:val="1"/>
          <w:bCs w:val="1"/>
          <w:color w:val="auto"/>
        </w:rPr>
      </w:pPr>
    </w:p>
    <w:p>
      <w:pPr>
        <w:ind w:left="332" w:right="2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Additionally, the Master Trust has a significant concentration of investments in mutual funds and common/collective trusts offered by TRP and The Vanguard Group, Inc. at December 31, 2025 and 2024. A significant decline in the market value of these investments would significantly affect the Plan’s net assets available for benefits. The Plan’s share of these investments held in the Master Trust are as follows (dollars in thousands):</w:t>
      </w:r>
    </w:p>
    <w:p>
      <w:pPr>
        <w:spacing w:after="0" w:line="232" w:lineRule="exact"/>
        <w:rPr>
          <w:sz w:val="20"/>
          <w:szCs w:val="20"/>
          <w:color w:val="auto"/>
        </w:rPr>
      </w:pPr>
    </w:p>
    <w:tbl>
      <w:tblPr>
        <w:tblLayout w:type="fixed"/>
        <w:tblInd w:w="352" w:type="dxa"/>
        <w:tblCellMar>
          <w:top w:w="0" w:type="dxa"/>
          <w:left w:w="0" w:type="dxa"/>
          <w:bottom w:w="0" w:type="dxa"/>
          <w:right w:w="0" w:type="dxa"/>
        </w:tblCellMar>
      </w:tblPr>
      <w:tr>
        <w:trPr>
          <w:trHeight w:val="235"/>
        </w:trPr>
        <w:tc>
          <w:tcPr>
            <w:tcW w:w="2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900" w:type="dxa"/>
            <w:vAlign w:val="bottom"/>
            <w:gridSpan w:val="4"/>
          </w:tcPr>
          <w:p>
            <w:pPr>
              <w:ind w:left="680"/>
              <w:spacing w:after="0"/>
              <w:rPr>
                <w:sz w:val="20"/>
                <w:szCs w:val="20"/>
                <w:color w:val="auto"/>
              </w:rPr>
            </w:pPr>
            <w:r>
              <w:rPr>
                <w:rFonts w:ascii="Arial" w:cs="Arial" w:eastAsia="Arial" w:hAnsi="Arial"/>
                <w:sz w:val="18"/>
                <w:szCs w:val="18"/>
                <w:b w:val="1"/>
                <w:bCs w:val="1"/>
                <w:color w:val="auto"/>
              </w:rPr>
              <w:t>December 31, 2025</w:t>
            </w:r>
          </w:p>
        </w:tc>
        <w:tc>
          <w:tcPr>
            <w:tcW w:w="3320" w:type="dxa"/>
            <w:vAlign w:val="bottom"/>
            <w:gridSpan w:val="2"/>
          </w:tcPr>
          <w:p>
            <w:pPr>
              <w:jc w:val="right"/>
              <w:ind w:right="926"/>
              <w:spacing w:after="0"/>
              <w:rPr>
                <w:sz w:val="20"/>
                <w:szCs w:val="20"/>
                <w:color w:val="auto"/>
              </w:rPr>
            </w:pPr>
            <w:r>
              <w:rPr>
                <w:rFonts w:ascii="Arial" w:cs="Arial" w:eastAsia="Arial" w:hAnsi="Arial"/>
                <w:sz w:val="18"/>
                <w:szCs w:val="18"/>
                <w:b w:val="1"/>
                <w:bCs w:val="1"/>
                <w:color w:val="auto"/>
              </w:rPr>
              <w:t>December 31, 2024</w:t>
            </w:r>
          </w:p>
        </w:tc>
        <w:tc>
          <w:tcPr>
            <w:tcW w:w="0" w:type="dxa"/>
            <w:vAlign w:val="bottom"/>
          </w:tcPr>
          <w:p>
            <w:pPr>
              <w:spacing w:after="0"/>
              <w:rPr>
                <w:sz w:val="1"/>
                <w:szCs w:val="1"/>
                <w:color w:val="auto"/>
              </w:rPr>
            </w:pPr>
          </w:p>
        </w:tc>
      </w:tr>
      <w:tr>
        <w:trPr>
          <w:trHeight w:val="191"/>
        </w:trPr>
        <w:tc>
          <w:tcPr>
            <w:tcW w:w="29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vMerge w:val="restart"/>
          </w:tcPr>
          <w:p>
            <w:pPr>
              <w:jc w:val="right"/>
              <w:ind w:right="626"/>
              <w:spacing w:after="0"/>
              <w:rPr>
                <w:sz w:val="20"/>
                <w:szCs w:val="20"/>
                <w:color w:val="auto"/>
              </w:rPr>
            </w:pPr>
            <w:r>
              <w:rPr>
                <w:rFonts w:ascii="Arial" w:cs="Arial" w:eastAsia="Arial" w:hAnsi="Arial"/>
                <w:sz w:val="18"/>
                <w:szCs w:val="18"/>
                <w:b w:val="1"/>
                <w:bCs w:val="1"/>
                <w:color w:val="auto"/>
              </w:rPr>
              <w:t>Amount</w:t>
            </w:r>
          </w:p>
        </w:tc>
        <w:tc>
          <w:tcPr>
            <w:tcW w:w="1680" w:type="dxa"/>
            <w:vAlign w:val="bottom"/>
            <w:tcBorders>
              <w:top w:val="single" w:sz="8" w:color="auto"/>
            </w:tcBorders>
          </w:tcPr>
          <w:p>
            <w:pPr>
              <w:ind w:left="260"/>
              <w:spacing w:after="0" w:line="191" w:lineRule="exact"/>
              <w:rPr>
                <w:sz w:val="20"/>
                <w:szCs w:val="20"/>
                <w:color w:val="auto"/>
              </w:rPr>
            </w:pPr>
            <w:r>
              <w:rPr>
                <w:rFonts w:ascii="Arial" w:cs="Arial" w:eastAsia="Arial" w:hAnsi="Arial"/>
                <w:sz w:val="18"/>
                <w:szCs w:val="18"/>
                <w:b w:val="1"/>
                <w:bCs w:val="1"/>
                <w:color w:val="auto"/>
              </w:rPr>
              <w:t>% of Plan</w:t>
            </w:r>
            <w:r>
              <w:rPr>
                <w:rFonts w:ascii="Arial" w:cs="Arial" w:eastAsia="Arial" w:hAnsi="Arial"/>
                <w:sz w:val="19"/>
                <w:szCs w:val="19"/>
                <w:b w:val="1"/>
                <w:bCs w:val="1"/>
                <w:color w:val="auto"/>
              </w:rPr>
              <w:t>’</w:t>
            </w:r>
            <w:r>
              <w:rPr>
                <w:rFonts w:ascii="Arial" w:cs="Arial" w:eastAsia="Arial" w:hAnsi="Arial"/>
                <w:sz w:val="18"/>
                <w:szCs w:val="18"/>
                <w:b w:val="1"/>
                <w:bCs w:val="1"/>
                <w:color w:val="auto"/>
              </w:rPr>
              <w:t>s</w:t>
            </w:r>
          </w:p>
        </w:tc>
        <w:tc>
          <w:tcPr>
            <w:tcW w:w="2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vMerge w:val="restart"/>
          </w:tcPr>
          <w:p>
            <w:pPr>
              <w:jc w:val="right"/>
              <w:ind w:right="626"/>
              <w:spacing w:after="0"/>
              <w:rPr>
                <w:sz w:val="20"/>
                <w:szCs w:val="20"/>
                <w:color w:val="auto"/>
              </w:rPr>
            </w:pPr>
            <w:r>
              <w:rPr>
                <w:rFonts w:ascii="Arial" w:cs="Arial" w:eastAsia="Arial" w:hAnsi="Arial"/>
                <w:sz w:val="18"/>
                <w:szCs w:val="18"/>
                <w:b w:val="1"/>
                <w:bCs w:val="1"/>
                <w:color w:val="auto"/>
              </w:rPr>
              <w:t>Amount</w:t>
            </w:r>
          </w:p>
        </w:tc>
        <w:tc>
          <w:tcPr>
            <w:tcW w:w="1700" w:type="dxa"/>
            <w:vAlign w:val="bottom"/>
            <w:tcBorders>
              <w:top w:val="single" w:sz="8" w:color="auto"/>
            </w:tcBorders>
          </w:tcPr>
          <w:p>
            <w:pPr>
              <w:jc w:val="right"/>
              <w:ind w:right="366"/>
              <w:spacing w:after="0" w:line="191" w:lineRule="exact"/>
              <w:rPr>
                <w:sz w:val="20"/>
                <w:szCs w:val="20"/>
                <w:color w:val="auto"/>
              </w:rPr>
            </w:pPr>
            <w:r>
              <w:rPr>
                <w:rFonts w:ascii="Arial" w:cs="Arial" w:eastAsia="Arial" w:hAnsi="Arial"/>
                <w:sz w:val="18"/>
                <w:szCs w:val="18"/>
                <w:b w:val="1"/>
                <w:bCs w:val="1"/>
                <w:color w:val="auto"/>
              </w:rPr>
              <w:t>% of Plan</w:t>
            </w:r>
            <w:r>
              <w:rPr>
                <w:rFonts w:ascii="Arial" w:cs="Arial" w:eastAsia="Arial" w:hAnsi="Arial"/>
                <w:sz w:val="19"/>
                <w:szCs w:val="19"/>
                <w:b w:val="1"/>
                <w:bCs w:val="1"/>
                <w:color w:val="auto"/>
              </w:rPr>
              <w:t>’</w:t>
            </w:r>
            <w:r>
              <w:rPr>
                <w:rFonts w:ascii="Arial" w:cs="Arial" w:eastAsia="Arial" w:hAnsi="Arial"/>
                <w:sz w:val="18"/>
                <w:szCs w:val="18"/>
                <w:b w:val="1"/>
                <w:bCs w:val="1"/>
                <w:color w:val="auto"/>
              </w:rPr>
              <w:t>s</w:t>
            </w:r>
          </w:p>
        </w:tc>
        <w:tc>
          <w:tcPr>
            <w:tcW w:w="0" w:type="dxa"/>
            <w:vAlign w:val="bottom"/>
          </w:tcPr>
          <w:p>
            <w:pPr>
              <w:spacing w:after="0"/>
              <w:rPr>
                <w:sz w:val="1"/>
                <w:szCs w:val="1"/>
                <w:color w:val="auto"/>
              </w:rPr>
            </w:pPr>
          </w:p>
        </w:tc>
      </w:tr>
      <w:tr>
        <w:trPr>
          <w:trHeight w:val="226"/>
        </w:trPr>
        <w:tc>
          <w:tcPr>
            <w:tcW w:w="2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2280" w:type="dxa"/>
            <w:vAlign w:val="bottom"/>
            <w:gridSpan w:val="3"/>
          </w:tcPr>
          <w:p>
            <w:pPr>
              <w:ind w:left="260"/>
              <w:spacing w:after="0"/>
              <w:rPr>
                <w:sz w:val="20"/>
                <w:szCs w:val="20"/>
                <w:color w:val="auto"/>
              </w:rPr>
            </w:pPr>
            <w:r>
              <w:rPr>
                <w:rFonts w:ascii="Arial" w:cs="Arial" w:eastAsia="Arial" w:hAnsi="Arial"/>
                <w:sz w:val="18"/>
                <w:szCs w:val="18"/>
                <w:b w:val="1"/>
                <w:bCs w:val="1"/>
                <w:color w:val="auto"/>
              </w:rPr>
              <w:t>Investment</w:t>
            </w:r>
          </w:p>
        </w:tc>
        <w:tc>
          <w:tcPr>
            <w:tcW w:w="1620" w:type="dxa"/>
            <w:vAlign w:val="bottom"/>
            <w:vMerge w:val="continue"/>
          </w:tcPr>
          <w:p>
            <w:pPr>
              <w:spacing w:after="0"/>
              <w:rPr>
                <w:sz w:val="19"/>
                <w:szCs w:val="19"/>
                <w:color w:val="auto"/>
              </w:rPr>
            </w:pPr>
          </w:p>
        </w:tc>
        <w:tc>
          <w:tcPr>
            <w:tcW w:w="1700" w:type="dxa"/>
            <w:vAlign w:val="bottom"/>
          </w:tcPr>
          <w:p>
            <w:pPr>
              <w:jc w:val="right"/>
              <w:ind w:right="386"/>
              <w:spacing w:after="0"/>
              <w:rPr>
                <w:sz w:val="20"/>
                <w:szCs w:val="20"/>
                <w:color w:val="auto"/>
              </w:rPr>
            </w:pPr>
            <w:r>
              <w:rPr>
                <w:rFonts w:ascii="Arial" w:cs="Arial" w:eastAsia="Arial" w:hAnsi="Arial"/>
                <w:sz w:val="18"/>
                <w:szCs w:val="18"/>
                <w:b w:val="1"/>
                <w:bCs w:val="1"/>
                <w:color w:val="auto"/>
              </w:rPr>
              <w:t>Investment</w:t>
            </w:r>
          </w:p>
        </w:tc>
        <w:tc>
          <w:tcPr>
            <w:tcW w:w="0" w:type="dxa"/>
            <w:vAlign w:val="bottom"/>
          </w:tcPr>
          <w:p>
            <w:pPr>
              <w:spacing w:after="0"/>
              <w:rPr>
                <w:sz w:val="1"/>
                <w:szCs w:val="1"/>
                <w:color w:val="auto"/>
              </w:rPr>
            </w:pPr>
          </w:p>
        </w:tc>
      </w:tr>
      <w:tr>
        <w:trPr>
          <w:trHeight w:val="257"/>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TRP</w:t>
            </w: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620" w:type="dxa"/>
            <w:vAlign w:val="bottom"/>
          </w:tcPr>
          <w:p>
            <w:pPr>
              <w:jc w:val="right"/>
              <w:ind w:right="186"/>
              <w:spacing w:after="0"/>
              <w:rPr>
                <w:sz w:val="20"/>
                <w:szCs w:val="20"/>
                <w:color w:val="auto"/>
              </w:rPr>
            </w:pPr>
            <w:r>
              <w:rPr>
                <w:rFonts w:ascii="Times New Roman" w:cs="Times New Roman" w:eastAsia="Times New Roman" w:hAnsi="Times New Roman"/>
                <w:sz w:val="20"/>
                <w:szCs w:val="20"/>
                <w:color w:val="auto"/>
              </w:rPr>
              <w:t>1,604,650</w:t>
            </w:r>
          </w:p>
        </w:tc>
        <w:tc>
          <w:tcPr>
            <w:tcW w:w="2280" w:type="dxa"/>
            <w:vAlign w:val="bottom"/>
            <w:gridSpan w:val="3"/>
          </w:tcPr>
          <w:p>
            <w:pPr>
              <w:ind w:left="1000"/>
              <w:spacing w:after="0"/>
              <w:rPr>
                <w:sz w:val="20"/>
                <w:szCs w:val="20"/>
                <w:color w:val="auto"/>
              </w:rPr>
            </w:pPr>
            <w:r>
              <w:rPr>
                <w:rFonts w:ascii="Times New Roman" w:cs="Times New Roman" w:eastAsia="Times New Roman" w:hAnsi="Times New Roman"/>
                <w:sz w:val="20"/>
                <w:szCs w:val="20"/>
                <w:color w:val="auto"/>
              </w:rPr>
              <w:t>50.25 %   $</w:t>
            </w:r>
          </w:p>
        </w:tc>
        <w:tc>
          <w:tcPr>
            <w:tcW w:w="1620" w:type="dxa"/>
            <w:vAlign w:val="bottom"/>
          </w:tcPr>
          <w:p>
            <w:pPr>
              <w:jc w:val="right"/>
              <w:ind w:right="186"/>
              <w:spacing w:after="0"/>
              <w:rPr>
                <w:sz w:val="20"/>
                <w:szCs w:val="20"/>
                <w:color w:val="auto"/>
              </w:rPr>
            </w:pPr>
            <w:r>
              <w:rPr>
                <w:rFonts w:ascii="Times New Roman" w:cs="Times New Roman" w:eastAsia="Times New Roman" w:hAnsi="Times New Roman"/>
                <w:sz w:val="20"/>
                <w:szCs w:val="20"/>
                <w:color w:val="auto"/>
              </w:rPr>
              <w:t>1,426,615</w:t>
            </w: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47.35 %</w:t>
            </w:r>
          </w:p>
        </w:tc>
        <w:tc>
          <w:tcPr>
            <w:tcW w:w="0" w:type="dxa"/>
            <w:vAlign w:val="bottom"/>
          </w:tcPr>
          <w:p>
            <w:pPr>
              <w:spacing w:after="0"/>
              <w:rPr>
                <w:sz w:val="1"/>
                <w:szCs w:val="1"/>
                <w:color w:val="auto"/>
              </w:rPr>
            </w:pPr>
          </w:p>
        </w:tc>
      </w:tr>
      <w:tr>
        <w:trPr>
          <w:trHeight w:val="258"/>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The Vanguard Group, Inc.</w:t>
            </w:r>
          </w:p>
        </w:tc>
        <w:tc>
          <w:tcPr>
            <w:tcW w:w="320" w:type="dxa"/>
            <w:vAlign w:val="bottom"/>
          </w:tcPr>
          <w:p>
            <w:pPr>
              <w:spacing w:after="0"/>
              <w:rPr>
                <w:sz w:val="22"/>
                <w:szCs w:val="22"/>
                <w:color w:val="auto"/>
              </w:rPr>
            </w:pPr>
          </w:p>
        </w:tc>
        <w:tc>
          <w:tcPr>
            <w:tcW w:w="1620" w:type="dxa"/>
            <w:vAlign w:val="bottom"/>
          </w:tcPr>
          <w:p>
            <w:pPr>
              <w:jc w:val="right"/>
              <w:ind w:right="186"/>
              <w:spacing w:after="0"/>
              <w:rPr>
                <w:sz w:val="20"/>
                <w:szCs w:val="20"/>
                <w:color w:val="auto"/>
              </w:rPr>
            </w:pPr>
            <w:r>
              <w:rPr>
                <w:rFonts w:ascii="Times New Roman" w:cs="Times New Roman" w:eastAsia="Times New Roman" w:hAnsi="Times New Roman"/>
                <w:sz w:val="20"/>
                <w:szCs w:val="20"/>
                <w:color w:val="auto"/>
              </w:rPr>
              <w:t>612,812</w:t>
            </w:r>
          </w:p>
        </w:tc>
        <w:tc>
          <w:tcPr>
            <w:tcW w:w="1680" w:type="dxa"/>
            <w:vAlign w:val="bottom"/>
          </w:tcPr>
          <w:p>
            <w:pPr>
              <w:ind w:left="1000"/>
              <w:spacing w:after="0"/>
              <w:rPr>
                <w:sz w:val="20"/>
                <w:szCs w:val="20"/>
                <w:color w:val="auto"/>
              </w:rPr>
            </w:pPr>
            <w:r>
              <w:rPr>
                <w:rFonts w:ascii="Times New Roman" w:cs="Times New Roman" w:eastAsia="Times New Roman" w:hAnsi="Times New Roman"/>
                <w:sz w:val="20"/>
                <w:szCs w:val="20"/>
                <w:color w:val="auto"/>
                <w:w w:val="98"/>
              </w:rPr>
              <w:t>19.19 %</w:t>
            </w: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tcPr>
          <w:p>
            <w:pPr>
              <w:jc w:val="right"/>
              <w:ind w:right="186"/>
              <w:spacing w:after="0"/>
              <w:rPr>
                <w:sz w:val="20"/>
                <w:szCs w:val="20"/>
                <w:color w:val="auto"/>
              </w:rPr>
            </w:pPr>
            <w:r>
              <w:rPr>
                <w:rFonts w:ascii="Times New Roman" w:cs="Times New Roman" w:eastAsia="Times New Roman" w:hAnsi="Times New Roman"/>
                <w:sz w:val="20"/>
                <w:szCs w:val="20"/>
                <w:color w:val="auto"/>
              </w:rPr>
              <w:t>579,637</w:t>
            </w: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9" w:right="339" w:bottom="1440" w:gutter="0" w:footer="0" w:header="0"/>
        </w:sectPr>
      </w:pPr>
    </w:p>
    <w:bookmarkStart w:id="54" w:name="page55"/>
    <w:bookmarkEnd w:id="54"/>
    <w:p>
      <w:pPr>
        <w:spacing w:after="0" w:line="185" w:lineRule="exact"/>
        <w:rPr>
          <w:sz w:val="20"/>
          <w:szCs w:val="20"/>
          <w:color w:val="auto"/>
        </w:rPr>
      </w:pPr>
    </w:p>
    <w:p>
      <w:pPr>
        <w:ind w:left="340" w:right="38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Benefit Payments </w:t>
      </w:r>
      <w:r>
        <w:rPr>
          <w:rFonts w:ascii="Times New Roman" w:cs="Times New Roman" w:eastAsia="Times New Roman" w:hAnsi="Times New Roman"/>
          <w:sz w:val="20"/>
          <w:szCs w:val="20"/>
          <w:color w:val="auto"/>
        </w:rPr>
        <w:t>— Benefits are recorded when paid. There were no amounts allocated to accounts of persons who have elected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withdraw from the Plan but have not yet been paid as of December 31, 2025 or 2024.</w:t>
      </w:r>
    </w:p>
    <w:p>
      <w:pPr>
        <w:spacing w:after="0" w:line="138" w:lineRule="exact"/>
        <w:rPr>
          <w:sz w:val="20"/>
          <w:szCs w:val="20"/>
          <w:color w:val="auto"/>
        </w:rPr>
      </w:pPr>
    </w:p>
    <w:p>
      <w:pPr>
        <w:ind w:left="340" w:right="40"/>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Notes Receivable from Participants </w:t>
      </w:r>
      <w:r>
        <w:rPr>
          <w:rFonts w:ascii="Times New Roman" w:cs="Times New Roman" w:eastAsia="Times New Roman" w:hAnsi="Times New Roman"/>
          <w:sz w:val="19"/>
          <w:szCs w:val="19"/>
          <w:color w:val="auto"/>
        </w:rPr>
        <w:t>— Notes receivable from participants are reported at their outstanding principal balances plus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accrued interest. Interest income is recorded on an accrual basis. If a participant does not make regular loan payments for 90 days, the loan is considered to be in default. For participant loans that become delinquent, are not cured and result in default, the amount of unpaid principal and interest due to the Plan is treated as a deemed distribution to the participant. Deemed distributions are reported as taxable distributions to participants for purposes of reporting in the Form 5500; however, deemed distributions remain classified as notes receivable from participants until a qualifying distributable event occurs for purposes of reporting in conformity with U.S. GAAP.</w:t>
      </w:r>
    </w:p>
    <w:p>
      <w:pPr>
        <w:spacing w:after="0" w:line="172" w:lineRule="exact"/>
        <w:rPr>
          <w:sz w:val="20"/>
          <w:szCs w:val="20"/>
          <w:color w:val="auto"/>
        </w:rPr>
      </w:pPr>
    </w:p>
    <w:p>
      <w:pPr>
        <w:ind w:left="340" w:right="40"/>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Administrative Expenses </w:t>
      </w:r>
      <w:r>
        <w:rPr>
          <w:rFonts w:ascii="Times New Roman" w:cs="Times New Roman" w:eastAsia="Times New Roman" w:hAnsi="Times New Roman"/>
          <w:sz w:val="20"/>
          <w:szCs w:val="20"/>
          <w:color w:val="auto"/>
        </w:rPr>
        <w:t>— Each participant is charged an annual recordkeeping fee, which is paid on a monthly basis.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pays this fee for each participant during their first 23 months of employment. After 23 months of employment, this fee is charged to participants and deducted from participants’ accounts. Additionally, loan origination fees, loan maintenance fees and rollover fees charged by the receiving financial institution, when applicable, are charged to participants and deducted from participants’ accounts. Investment management fees (including fees associated with brokerage activity in the SDBA) are included in Net investment gain – Plan interest in Master Trust in the Statement of Changes in Net Assets Available for Benefits.</w:t>
      </w:r>
    </w:p>
    <w:p>
      <w:pPr>
        <w:spacing w:after="0" w:line="177" w:lineRule="exact"/>
        <w:rPr>
          <w:sz w:val="20"/>
          <w:szCs w:val="20"/>
          <w:color w:val="auto"/>
        </w:rPr>
      </w:pPr>
    </w:p>
    <w:p>
      <w:pPr>
        <w:ind w:left="340" w:right="100"/>
        <w:spacing w:after="0" w:line="283" w:lineRule="auto"/>
        <w:rPr>
          <w:sz w:val="20"/>
          <w:szCs w:val="20"/>
          <w:color w:val="auto"/>
        </w:rPr>
      </w:pPr>
      <w:r>
        <w:rPr>
          <w:rFonts w:ascii="Times New Roman" w:cs="Times New Roman" w:eastAsia="Times New Roman" w:hAnsi="Times New Roman"/>
          <w:sz w:val="20"/>
          <w:szCs w:val="20"/>
          <w:color w:val="auto"/>
        </w:rPr>
        <w:t>Certain administrative expenses of the Plan are paid directly by the Company, such as legal and accounting fees, and not allocated to the Plan.</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color w:val="auto"/>
        </w:rPr>
        <w:t xml:space="preserve">Subsequent Events </w:t>
      </w:r>
      <w:r>
        <w:rPr>
          <w:rFonts w:ascii="Times New Roman" w:cs="Times New Roman" w:eastAsia="Times New Roman" w:hAnsi="Times New Roman"/>
          <w:sz w:val="20"/>
          <w:szCs w:val="20"/>
          <w:color w:val="auto"/>
        </w:rPr>
        <w:t>— Subsequent events were evaluated through the date the financial statements were issued.</w:t>
      </w:r>
    </w:p>
    <w:p>
      <w:pPr>
        <w:spacing w:after="0" w:line="200" w:lineRule="exact"/>
        <w:rPr>
          <w:sz w:val="20"/>
          <w:szCs w:val="20"/>
          <w:color w:val="auto"/>
        </w:rPr>
      </w:pPr>
    </w:p>
    <w:p>
      <w:pPr>
        <w:spacing w:after="0" w:line="28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FEDERAL INCOME TAX STATUS</w:t>
      </w:r>
    </w:p>
    <w:p>
      <w:pPr>
        <w:spacing w:after="0" w:line="233" w:lineRule="exact"/>
        <w:rPr>
          <w:sz w:val="20"/>
          <w:szCs w:val="20"/>
          <w:color w:val="auto"/>
        </w:rPr>
      </w:pPr>
    </w:p>
    <w:p>
      <w:pPr>
        <w:ind w:left="340"/>
        <w:spacing w:after="0" w:line="253" w:lineRule="auto"/>
        <w:rPr>
          <w:sz w:val="20"/>
          <w:szCs w:val="20"/>
          <w:color w:val="auto"/>
        </w:rPr>
      </w:pPr>
      <w:r>
        <w:rPr>
          <w:rFonts w:ascii="Times New Roman" w:cs="Times New Roman" w:eastAsia="Times New Roman" w:hAnsi="Times New Roman"/>
          <w:sz w:val="20"/>
          <w:szCs w:val="20"/>
          <w:color w:val="auto"/>
        </w:rPr>
        <w:t>The IRS has determined and informed the Company by a letter dated August 7, 2017 that the Plan and the Master Trust were designed in accordance with the applicable requirements of the IRC. The Plan has been amended since receiving the determination letter. Additionally, on an annual basis, the IRS publishes a Required Amendments List for individually designed plans that specifies changes in statutory and administrative requirements. The Company and Plan management believe that the Plan is currently designed and being operated in compliance with the applicable requirements of the IRC, and that the Plan and the Master Trust continue to remain tax exempt. Therefore, no provision for income taxes has been included in the Plan’s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5" w:name="page56"/>
    <w:bookmarkEnd w:id="55"/>
    <w:p>
      <w:pPr>
        <w:ind w:left="332" w:hanging="332"/>
        <w:spacing w:after="0"/>
        <w:tabs>
          <w:tab w:leader="none" w:pos="332"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INTEREST IN THE MASTER TRUST</w:t>
      </w:r>
    </w:p>
    <w:p>
      <w:pPr>
        <w:spacing w:after="0" w:line="233" w:lineRule="exact"/>
        <w:rPr>
          <w:rFonts w:ascii="Times New Roman" w:cs="Times New Roman" w:eastAsia="Times New Roman" w:hAnsi="Times New Roman"/>
          <w:sz w:val="20"/>
          <w:szCs w:val="20"/>
          <w:b w:val="1"/>
          <w:bCs w:val="1"/>
          <w:color w:val="auto"/>
        </w:rPr>
      </w:pPr>
    </w:p>
    <w:p>
      <w:pPr>
        <w:ind w:left="332"/>
        <w:spacing w:after="0" w:line="25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Plan’s investment consists of a divided interest, as discussed below, in the Master Trust. A portion of this interest in the Master Trust is held in a trust account at TRP and the remainder is held in a trust account at the Northern Trust Company, who acts as an agent for TRP and is the custodian of the custom investment funds, except the U.S. Large Cap Equity Fund for which TRP is the custodian. Use of the Master Trust permits the commingling of the trust assets of this and other similar employee benefit plans sponsored by Sempra or an affiliate for investment and administrative purposes. The Plan’s interest in the Master Trust is based on the individual Plan participants’ investment balances (divided interest). Investment income (loss) is allocated by the Trustee on a daily basis through a valuation of the Master Trust’s investments and each individual Plan participant’s share of each investment. Administrative expenses of the Master Trust are allocated to the Plan based upon each individual Plan participant’s share of each investment or the participant’s transaction in a specific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1409" w:right="399" w:bottom="1440" w:gutter="0" w:footer="0" w:header="0"/>
        </w:sectPr>
      </w:pPr>
    </w:p>
    <w:bookmarkStart w:id="56" w:name="page57"/>
    <w:bookmarkEnd w:id="56"/>
    <w:p>
      <w:pPr>
        <w:ind w:right="640"/>
        <w:spacing w:after="0" w:line="283" w:lineRule="auto"/>
        <w:rPr>
          <w:sz w:val="20"/>
          <w:szCs w:val="20"/>
          <w:color w:val="auto"/>
        </w:rPr>
      </w:pPr>
      <w:r>
        <w:rPr>
          <w:rFonts w:ascii="Times New Roman" w:cs="Times New Roman" w:eastAsia="Times New Roman" w:hAnsi="Times New Roman"/>
          <w:sz w:val="20"/>
          <w:szCs w:val="20"/>
          <w:color w:val="auto"/>
        </w:rPr>
        <w:t>The net assets available for benefits of the Master Trust at December 31, 2025 and 2024 are summarized as follows (dollars in thousands):</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gridSpan w:val="4"/>
          </w:tcPr>
          <w:p>
            <w:pPr>
              <w:jc w:val="right"/>
              <w:ind w:right="1223"/>
              <w:spacing w:after="0"/>
              <w:rPr>
                <w:sz w:val="20"/>
                <w:szCs w:val="20"/>
                <w:color w:val="auto"/>
              </w:rPr>
            </w:pPr>
            <w:r>
              <w:rPr>
                <w:rFonts w:ascii="Arial" w:cs="Arial" w:eastAsia="Arial" w:hAnsi="Arial"/>
                <w:sz w:val="18"/>
                <w:szCs w:val="18"/>
                <w:b w:val="1"/>
                <w:bCs w:val="1"/>
                <w:color w:val="auto"/>
              </w:rPr>
              <w:t>December 31, 2025</w:t>
            </w:r>
          </w:p>
        </w:tc>
      </w:tr>
      <w:tr>
        <w:trPr>
          <w:trHeight w:val="218"/>
        </w:trPr>
        <w:tc>
          <w:tcPr>
            <w:tcW w:w="6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tcPr>
          <w:p>
            <w:pPr>
              <w:jc w:val="center"/>
              <w:ind w:right="163"/>
              <w:spacing w:after="0"/>
              <w:rPr>
                <w:sz w:val="20"/>
                <w:szCs w:val="20"/>
                <w:color w:val="auto"/>
              </w:rPr>
            </w:pPr>
            <w:r>
              <w:rPr>
                <w:rFonts w:ascii="Arial" w:cs="Arial" w:eastAsia="Arial" w:hAnsi="Arial"/>
                <w:sz w:val="18"/>
                <w:szCs w:val="18"/>
                <w:b w:val="1"/>
                <w:bCs w:val="1"/>
                <w:color w:val="auto"/>
                <w:w w:val="99"/>
              </w:rPr>
              <w:t>Plan’s Interest</w:t>
            </w:r>
          </w:p>
        </w:tc>
      </w:tr>
      <w:tr>
        <w:trPr>
          <w:trHeight w:val="229"/>
        </w:trPr>
        <w:tc>
          <w:tcPr>
            <w:tcW w:w="6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8"/>
              </w:rPr>
              <w:t>Master Trust</w:t>
            </w:r>
          </w:p>
        </w:tc>
        <w:tc>
          <w:tcPr>
            <w:tcW w:w="260" w:type="dxa"/>
            <w:vAlign w:val="bottom"/>
          </w:tcPr>
          <w:p>
            <w:pPr>
              <w:spacing w:after="0"/>
              <w:rPr>
                <w:sz w:val="19"/>
                <w:szCs w:val="19"/>
                <w:color w:val="auto"/>
              </w:rPr>
            </w:pPr>
          </w:p>
        </w:tc>
        <w:tc>
          <w:tcPr>
            <w:tcW w:w="1840" w:type="dxa"/>
            <w:vAlign w:val="bottom"/>
          </w:tcPr>
          <w:p>
            <w:pPr>
              <w:jc w:val="center"/>
              <w:ind w:right="143"/>
              <w:spacing w:after="0"/>
              <w:rPr>
                <w:sz w:val="20"/>
                <w:szCs w:val="20"/>
                <w:color w:val="auto"/>
              </w:rPr>
            </w:pPr>
            <w:r>
              <w:rPr>
                <w:rFonts w:ascii="Arial" w:cs="Arial" w:eastAsia="Arial" w:hAnsi="Arial"/>
                <w:sz w:val="18"/>
                <w:szCs w:val="18"/>
                <w:b w:val="1"/>
                <w:bCs w:val="1"/>
                <w:color w:val="auto"/>
                <w:w w:val="99"/>
              </w:rPr>
              <w:t>in Master Trust</w:t>
            </w:r>
          </w:p>
        </w:tc>
      </w:tr>
      <w:tr>
        <w:trPr>
          <w:trHeight w:val="247"/>
        </w:trPr>
        <w:tc>
          <w:tcPr>
            <w:tcW w:w="6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8"/>
              </w:rPr>
              <w:t>Balances</w:t>
            </w:r>
          </w:p>
        </w:tc>
        <w:tc>
          <w:tcPr>
            <w:tcW w:w="260" w:type="dxa"/>
            <w:vAlign w:val="bottom"/>
          </w:tcPr>
          <w:p>
            <w:pPr>
              <w:spacing w:after="0"/>
              <w:rPr>
                <w:sz w:val="21"/>
                <w:szCs w:val="21"/>
                <w:color w:val="auto"/>
              </w:rPr>
            </w:pPr>
          </w:p>
        </w:tc>
        <w:tc>
          <w:tcPr>
            <w:tcW w:w="1840" w:type="dxa"/>
            <w:vAlign w:val="bottom"/>
          </w:tcPr>
          <w:p>
            <w:pPr>
              <w:jc w:val="center"/>
              <w:ind w:right="143"/>
              <w:spacing w:after="0"/>
              <w:rPr>
                <w:sz w:val="20"/>
                <w:szCs w:val="20"/>
                <w:color w:val="auto"/>
              </w:rPr>
            </w:pPr>
            <w:r>
              <w:rPr>
                <w:rFonts w:ascii="Arial" w:cs="Arial" w:eastAsia="Arial" w:hAnsi="Arial"/>
                <w:sz w:val="18"/>
                <w:szCs w:val="18"/>
                <w:b w:val="1"/>
                <w:bCs w:val="1"/>
                <w:color w:val="auto"/>
              </w:rPr>
              <w:t>Balances</w:t>
            </w:r>
          </w:p>
        </w:tc>
      </w:tr>
      <w:tr>
        <w:trPr>
          <w:trHeight w:val="505"/>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Sempra common stock</w:t>
            </w:r>
          </w:p>
        </w:tc>
        <w:tc>
          <w:tcPr>
            <w:tcW w:w="2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1,034,401</w:t>
            </w:r>
          </w:p>
        </w:tc>
        <w:tc>
          <w:tcPr>
            <w:tcW w:w="280" w:type="dxa"/>
            <w:vAlign w:val="bottom"/>
          </w:tcPr>
          <w:p>
            <w:pPr>
              <w:spacing w:after="0"/>
              <w:rPr>
                <w:sz w:val="24"/>
                <w:szCs w:val="24"/>
                <w:color w:val="auto"/>
              </w:rPr>
            </w:pPr>
          </w:p>
        </w:tc>
        <w:tc>
          <w:tcPr>
            <w:tcW w:w="2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592,932</w:t>
            </w:r>
          </w:p>
        </w:tc>
      </w:tr>
      <w:tr>
        <w:trPr>
          <w:trHeight w:val="257"/>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Mutual funds</w:t>
            </w:r>
          </w:p>
        </w:tc>
        <w:tc>
          <w:tcPr>
            <w:tcW w:w="2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442,746</w:t>
            </w: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249,340</w:t>
            </w:r>
          </w:p>
        </w:tc>
      </w:tr>
      <w:tr>
        <w:trPr>
          <w:trHeight w:val="262"/>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Common/collective trusts</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4,474,698</w:t>
            </w:r>
          </w:p>
        </w:tc>
        <w:tc>
          <w:tcPr>
            <w:tcW w:w="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2,351,193</w:t>
            </w:r>
          </w:p>
        </w:tc>
      </w:tr>
      <w:tr>
        <w:trPr>
          <w:trHeight w:val="503"/>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Master Trust investments</w:t>
            </w:r>
          </w:p>
        </w:tc>
        <w:tc>
          <w:tcPr>
            <w:tcW w:w="2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5,951,845</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3,193,465</w:t>
            </w:r>
          </w:p>
        </w:tc>
      </w:tr>
      <w:tr>
        <w:trPr>
          <w:trHeight w:val="525"/>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Plus:</w:t>
            </w: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57"/>
        </w:trPr>
        <w:tc>
          <w:tcPr>
            <w:tcW w:w="6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Non-interest bearing cash</w:t>
            </w:r>
          </w:p>
        </w:tc>
        <w:tc>
          <w:tcPr>
            <w:tcW w:w="2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778</w:t>
            </w: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523</w:t>
            </w:r>
          </w:p>
        </w:tc>
      </w:tr>
      <w:tr>
        <w:trPr>
          <w:trHeight w:val="257"/>
        </w:trPr>
        <w:tc>
          <w:tcPr>
            <w:tcW w:w="6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Dividends receivable</w:t>
            </w:r>
          </w:p>
        </w:tc>
        <w:tc>
          <w:tcPr>
            <w:tcW w:w="2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7,639</w:t>
            </w: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4,378</w:t>
            </w:r>
          </w:p>
        </w:tc>
      </w:tr>
      <w:tr>
        <w:trPr>
          <w:trHeight w:val="256"/>
        </w:trPr>
        <w:tc>
          <w:tcPr>
            <w:tcW w:w="6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Employer contributions receivable</w:t>
            </w:r>
          </w:p>
        </w:tc>
        <w:tc>
          <w:tcPr>
            <w:tcW w:w="2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2"/>
        </w:trPr>
        <w:tc>
          <w:tcPr>
            <w:tcW w:w="6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Participant contributions receivable</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510"/>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Net assets available for benefits of the Master Trust</w:t>
            </w:r>
          </w:p>
        </w:tc>
        <w:tc>
          <w:tcPr>
            <w:tcW w:w="2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5,960,265</w:t>
            </w:r>
          </w:p>
        </w:tc>
        <w:tc>
          <w:tcPr>
            <w:tcW w:w="280" w:type="dxa"/>
            <w:vAlign w:val="bottom"/>
          </w:tcPr>
          <w:p>
            <w:pPr>
              <w:spacing w:after="0"/>
              <w:rPr>
                <w:sz w:val="24"/>
                <w:szCs w:val="24"/>
                <w:color w:val="auto"/>
              </w:rPr>
            </w:pPr>
          </w:p>
        </w:tc>
        <w:tc>
          <w:tcPr>
            <w:tcW w:w="2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3,198,366</w:t>
            </w:r>
          </w:p>
        </w:tc>
      </w:tr>
      <w:tr>
        <w:trPr>
          <w:trHeight w:val="20"/>
        </w:trPr>
        <w:tc>
          <w:tcPr>
            <w:tcW w:w="6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tcBorders>
              <w:bottom w:val="single" w:sz="8" w:color="auto"/>
            </w:tcBorders>
            <w:gridSpan w:val="2"/>
          </w:tcPr>
          <w:p>
            <w:pPr>
              <w:spacing w:after="0" w:line="20" w:lineRule="exact"/>
              <w:rPr>
                <w:sz w:val="1"/>
                <w:szCs w:val="1"/>
                <w:color w:val="auto"/>
              </w:rPr>
            </w:pPr>
          </w:p>
        </w:tc>
      </w:tr>
      <w:tr>
        <w:trPr>
          <w:trHeight w:val="466"/>
        </w:trPr>
        <w:tc>
          <w:tcPr>
            <w:tcW w:w="6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4"/>
          </w:tcPr>
          <w:p>
            <w:pPr>
              <w:jc w:val="right"/>
              <w:ind w:right="1223"/>
              <w:spacing w:after="0"/>
              <w:rPr>
                <w:sz w:val="20"/>
                <w:szCs w:val="20"/>
                <w:color w:val="auto"/>
              </w:rPr>
            </w:pPr>
            <w:r>
              <w:rPr>
                <w:rFonts w:ascii="Arial" w:cs="Arial" w:eastAsia="Arial" w:hAnsi="Arial"/>
                <w:sz w:val="18"/>
                <w:szCs w:val="18"/>
                <w:b w:val="1"/>
                <w:bCs w:val="1"/>
                <w:color w:val="auto"/>
              </w:rPr>
              <w:t>December 31, 2024</w:t>
            </w:r>
          </w:p>
        </w:tc>
      </w:tr>
      <w:tr>
        <w:trPr>
          <w:trHeight w:val="218"/>
        </w:trPr>
        <w:tc>
          <w:tcPr>
            <w:tcW w:w="6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tcPr>
          <w:p>
            <w:pPr>
              <w:jc w:val="center"/>
              <w:ind w:right="163"/>
              <w:spacing w:after="0"/>
              <w:rPr>
                <w:sz w:val="20"/>
                <w:szCs w:val="20"/>
                <w:color w:val="auto"/>
              </w:rPr>
            </w:pPr>
            <w:r>
              <w:rPr>
                <w:rFonts w:ascii="Arial" w:cs="Arial" w:eastAsia="Arial" w:hAnsi="Arial"/>
                <w:sz w:val="18"/>
                <w:szCs w:val="18"/>
                <w:b w:val="1"/>
                <w:bCs w:val="1"/>
                <w:color w:val="auto"/>
                <w:w w:val="99"/>
              </w:rPr>
              <w:t>Plan’s Interest</w:t>
            </w:r>
          </w:p>
        </w:tc>
      </w:tr>
      <w:tr>
        <w:trPr>
          <w:trHeight w:val="230"/>
        </w:trPr>
        <w:tc>
          <w:tcPr>
            <w:tcW w:w="6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8"/>
              </w:rPr>
              <w:t>Master Trust</w:t>
            </w:r>
          </w:p>
        </w:tc>
        <w:tc>
          <w:tcPr>
            <w:tcW w:w="260" w:type="dxa"/>
            <w:vAlign w:val="bottom"/>
          </w:tcPr>
          <w:p>
            <w:pPr>
              <w:spacing w:after="0"/>
              <w:rPr>
                <w:sz w:val="19"/>
                <w:szCs w:val="19"/>
                <w:color w:val="auto"/>
              </w:rPr>
            </w:pPr>
          </w:p>
        </w:tc>
        <w:tc>
          <w:tcPr>
            <w:tcW w:w="1840" w:type="dxa"/>
            <w:vAlign w:val="bottom"/>
          </w:tcPr>
          <w:p>
            <w:pPr>
              <w:jc w:val="center"/>
              <w:ind w:right="143"/>
              <w:spacing w:after="0"/>
              <w:rPr>
                <w:sz w:val="20"/>
                <w:szCs w:val="20"/>
                <w:color w:val="auto"/>
              </w:rPr>
            </w:pPr>
            <w:r>
              <w:rPr>
                <w:rFonts w:ascii="Arial" w:cs="Arial" w:eastAsia="Arial" w:hAnsi="Arial"/>
                <w:sz w:val="18"/>
                <w:szCs w:val="18"/>
                <w:b w:val="1"/>
                <w:bCs w:val="1"/>
                <w:color w:val="auto"/>
                <w:w w:val="99"/>
              </w:rPr>
              <w:t>in Master Trust</w:t>
            </w:r>
          </w:p>
        </w:tc>
      </w:tr>
      <w:tr>
        <w:trPr>
          <w:trHeight w:val="247"/>
        </w:trPr>
        <w:tc>
          <w:tcPr>
            <w:tcW w:w="6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8"/>
              </w:rPr>
              <w:t>Balances</w:t>
            </w:r>
          </w:p>
        </w:tc>
        <w:tc>
          <w:tcPr>
            <w:tcW w:w="260" w:type="dxa"/>
            <w:vAlign w:val="bottom"/>
          </w:tcPr>
          <w:p>
            <w:pPr>
              <w:spacing w:after="0"/>
              <w:rPr>
                <w:sz w:val="21"/>
                <w:szCs w:val="21"/>
                <w:color w:val="auto"/>
              </w:rPr>
            </w:pPr>
          </w:p>
        </w:tc>
        <w:tc>
          <w:tcPr>
            <w:tcW w:w="1840" w:type="dxa"/>
            <w:vAlign w:val="bottom"/>
          </w:tcPr>
          <w:p>
            <w:pPr>
              <w:jc w:val="center"/>
              <w:ind w:right="143"/>
              <w:spacing w:after="0"/>
              <w:rPr>
                <w:sz w:val="20"/>
                <w:szCs w:val="20"/>
                <w:color w:val="auto"/>
              </w:rPr>
            </w:pPr>
            <w:r>
              <w:rPr>
                <w:rFonts w:ascii="Arial" w:cs="Arial" w:eastAsia="Arial" w:hAnsi="Arial"/>
                <w:sz w:val="18"/>
                <w:szCs w:val="18"/>
                <w:b w:val="1"/>
                <w:bCs w:val="1"/>
                <w:color w:val="auto"/>
              </w:rPr>
              <w:t>Balances</w:t>
            </w:r>
          </w:p>
        </w:tc>
      </w:tr>
      <w:tr>
        <w:trPr>
          <w:trHeight w:val="505"/>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Sempra common stock</w:t>
            </w:r>
          </w:p>
        </w:tc>
        <w:tc>
          <w:tcPr>
            <w:tcW w:w="2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1,165,804</w:t>
            </w:r>
          </w:p>
        </w:tc>
        <w:tc>
          <w:tcPr>
            <w:tcW w:w="280" w:type="dxa"/>
            <w:vAlign w:val="bottom"/>
          </w:tcPr>
          <w:p>
            <w:pPr>
              <w:spacing w:after="0"/>
              <w:rPr>
                <w:sz w:val="24"/>
                <w:szCs w:val="24"/>
                <w:color w:val="auto"/>
              </w:rPr>
            </w:pPr>
          </w:p>
        </w:tc>
        <w:tc>
          <w:tcPr>
            <w:tcW w:w="2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665,310</w:t>
            </w:r>
          </w:p>
        </w:tc>
      </w:tr>
      <w:tr>
        <w:trPr>
          <w:trHeight w:val="256"/>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Mutual funds</w:t>
            </w:r>
          </w:p>
        </w:tc>
        <w:tc>
          <w:tcPr>
            <w:tcW w:w="2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400,835</w:t>
            </w: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216,826</w:t>
            </w:r>
          </w:p>
        </w:tc>
      </w:tr>
      <w:tr>
        <w:trPr>
          <w:trHeight w:val="262"/>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Common/collective trusts</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4,040,716</w:t>
            </w:r>
          </w:p>
        </w:tc>
        <w:tc>
          <w:tcPr>
            <w:tcW w:w="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2,130,855</w:t>
            </w:r>
          </w:p>
        </w:tc>
      </w:tr>
      <w:tr>
        <w:trPr>
          <w:trHeight w:val="503"/>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Master Trust investments</w:t>
            </w:r>
          </w:p>
        </w:tc>
        <w:tc>
          <w:tcPr>
            <w:tcW w:w="2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5,607,355</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3,012,991</w:t>
            </w:r>
          </w:p>
        </w:tc>
      </w:tr>
      <w:tr>
        <w:trPr>
          <w:trHeight w:val="525"/>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Plus:</w:t>
            </w: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56"/>
        </w:trPr>
        <w:tc>
          <w:tcPr>
            <w:tcW w:w="6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Non-interest bearing cash</w:t>
            </w:r>
          </w:p>
        </w:tc>
        <w:tc>
          <w:tcPr>
            <w:tcW w:w="2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57"/>
        </w:trPr>
        <w:tc>
          <w:tcPr>
            <w:tcW w:w="6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Dividends receivable</w:t>
            </w:r>
          </w:p>
        </w:tc>
        <w:tc>
          <w:tcPr>
            <w:tcW w:w="2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8,271</w:t>
            </w: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4,721</w:t>
            </w:r>
          </w:p>
        </w:tc>
      </w:tr>
      <w:tr>
        <w:trPr>
          <w:trHeight w:val="256"/>
        </w:trPr>
        <w:tc>
          <w:tcPr>
            <w:tcW w:w="6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Employer contributions receivable</w:t>
            </w:r>
          </w:p>
        </w:tc>
        <w:tc>
          <w:tcPr>
            <w:tcW w:w="2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2"/>
        </w:trPr>
        <w:tc>
          <w:tcPr>
            <w:tcW w:w="6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Participant contributions receivable</w:t>
            </w:r>
          </w:p>
        </w:tc>
        <w:tc>
          <w:tcPr>
            <w:tcW w:w="260" w:type="dxa"/>
            <w:vAlign w:val="bottom"/>
          </w:tcPr>
          <w:p>
            <w:pPr>
              <w:spacing w:after="0"/>
              <w:rPr>
                <w:sz w:val="22"/>
                <w:szCs w:val="22"/>
                <w:color w:val="auto"/>
              </w:rPr>
            </w:pPr>
          </w:p>
        </w:tc>
        <w:tc>
          <w:tcPr>
            <w:tcW w:w="19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510"/>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Net assets available for benefits of the Master Trust</w:t>
            </w:r>
          </w:p>
        </w:tc>
        <w:tc>
          <w:tcPr>
            <w:tcW w:w="2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5,615,679</w:t>
            </w:r>
          </w:p>
        </w:tc>
        <w:tc>
          <w:tcPr>
            <w:tcW w:w="28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3,017,761</w:t>
            </w:r>
          </w:p>
        </w:tc>
      </w:tr>
      <w:tr>
        <w:trPr>
          <w:trHeight w:val="20"/>
        </w:trPr>
        <w:tc>
          <w:tcPr>
            <w:tcW w:w="6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620"/>
          </w:cols>
          <w:pgMar w:left="660" w:top="1413"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660" w:top="1413" w:right="619" w:bottom="1440" w:gutter="0" w:footer="0" w:header="0"/>
          <w:type w:val="continuous"/>
        </w:sectPr>
      </w:pPr>
    </w:p>
    <w:bookmarkStart w:id="57" w:name="page58"/>
    <w:bookmarkEnd w:id="57"/>
    <w:p>
      <w:pPr>
        <w:ind w:left="332" w:right="380"/>
        <w:spacing w:after="0" w:line="283" w:lineRule="auto"/>
        <w:rPr>
          <w:sz w:val="20"/>
          <w:szCs w:val="20"/>
          <w:color w:val="auto"/>
        </w:rPr>
      </w:pPr>
      <w:r>
        <w:rPr>
          <w:rFonts w:ascii="Times New Roman" w:cs="Times New Roman" w:eastAsia="Times New Roman" w:hAnsi="Times New Roman"/>
          <w:sz w:val="20"/>
          <w:szCs w:val="20"/>
          <w:color w:val="auto"/>
        </w:rPr>
        <w:t>Net appreciation in fair value of investments and dividend income for the Master Trust for the year ended December 31, 2025, are as follows (dollars in thousands):</w:t>
      </w:r>
    </w:p>
    <w:p>
      <w:pPr>
        <w:spacing w:after="0" w:line="173" w:lineRule="exact"/>
        <w:rPr>
          <w:sz w:val="20"/>
          <w:szCs w:val="20"/>
          <w:color w:val="auto"/>
        </w:rPr>
      </w:pPr>
    </w:p>
    <w:tbl>
      <w:tblPr>
        <w:tblLayout w:type="fixed"/>
        <w:tblInd w:w="352" w:type="dxa"/>
        <w:tblCellMar>
          <w:top w:w="0" w:type="dxa"/>
          <w:left w:w="0" w:type="dxa"/>
          <w:bottom w:w="0" w:type="dxa"/>
          <w:right w:w="0" w:type="dxa"/>
        </w:tblCellMar>
      </w:tblPr>
      <w:tr>
        <w:trPr>
          <w:trHeight w:val="207"/>
        </w:trPr>
        <w:tc>
          <w:tcPr>
            <w:tcW w:w="8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tcPr>
          <w:p>
            <w:pPr>
              <w:jc w:val="right"/>
              <w:ind w:right="64"/>
              <w:spacing w:after="0"/>
              <w:rPr>
                <w:sz w:val="20"/>
                <w:szCs w:val="20"/>
                <w:color w:val="auto"/>
              </w:rPr>
            </w:pPr>
            <w:r>
              <w:rPr>
                <w:rFonts w:ascii="Arial" w:cs="Arial" w:eastAsia="Arial" w:hAnsi="Arial"/>
                <w:sz w:val="18"/>
                <w:szCs w:val="18"/>
                <w:b w:val="1"/>
                <w:bCs w:val="1"/>
                <w:color w:val="auto"/>
                <w:w w:val="99"/>
              </w:rPr>
              <w:t>Year Ended December</w:t>
            </w:r>
          </w:p>
        </w:tc>
        <w:tc>
          <w:tcPr>
            <w:tcW w:w="0" w:type="dxa"/>
            <w:vAlign w:val="bottom"/>
          </w:tcPr>
          <w:p>
            <w:pPr>
              <w:spacing w:after="0"/>
              <w:rPr>
                <w:sz w:val="1"/>
                <w:szCs w:val="1"/>
                <w:color w:val="auto"/>
              </w:rPr>
            </w:pPr>
          </w:p>
        </w:tc>
      </w:tr>
      <w:tr>
        <w:trPr>
          <w:trHeight w:val="235"/>
        </w:trPr>
        <w:tc>
          <w:tcPr>
            <w:tcW w:w="82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appreciation (depreciation) in fair value of investments:</w:t>
            </w:r>
          </w:p>
        </w:tc>
        <w:tc>
          <w:tcPr>
            <w:tcW w:w="1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664"/>
              <w:spacing w:after="0"/>
              <w:rPr>
                <w:sz w:val="20"/>
                <w:szCs w:val="20"/>
                <w:color w:val="auto"/>
              </w:rPr>
            </w:pPr>
            <w:r>
              <w:rPr>
                <w:rFonts w:ascii="Arial" w:cs="Arial" w:eastAsia="Arial" w:hAnsi="Arial"/>
                <w:sz w:val="18"/>
                <w:szCs w:val="18"/>
                <w:b w:val="1"/>
                <w:bCs w:val="1"/>
                <w:color w:val="auto"/>
              </w:rPr>
              <w:t>31, 2025</w:t>
            </w:r>
          </w:p>
        </w:tc>
        <w:tc>
          <w:tcPr>
            <w:tcW w:w="0" w:type="dxa"/>
            <w:vAlign w:val="bottom"/>
          </w:tcPr>
          <w:p>
            <w:pPr>
              <w:spacing w:after="0"/>
              <w:rPr>
                <w:sz w:val="1"/>
                <w:szCs w:val="1"/>
                <w:color w:val="auto"/>
              </w:rPr>
            </w:pPr>
          </w:p>
        </w:tc>
      </w:tr>
      <w:tr>
        <w:trPr>
          <w:trHeight w:val="227"/>
        </w:trPr>
        <w:tc>
          <w:tcPr>
            <w:tcW w:w="82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Sempra common stock</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(1,156)</w:t>
            </w:r>
          </w:p>
        </w:tc>
        <w:tc>
          <w:tcPr>
            <w:tcW w:w="0" w:type="dxa"/>
            <w:vAlign w:val="bottom"/>
          </w:tcPr>
          <w:p>
            <w:pPr>
              <w:spacing w:after="0"/>
              <w:rPr>
                <w:sz w:val="1"/>
                <w:szCs w:val="1"/>
                <w:color w:val="auto"/>
              </w:rPr>
            </w:pPr>
          </w:p>
        </w:tc>
      </w:tr>
      <w:tr>
        <w:trPr>
          <w:trHeight w:val="257"/>
        </w:trPr>
        <w:tc>
          <w:tcPr>
            <w:tcW w:w="8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Mutual funds</w:t>
            </w:r>
          </w:p>
        </w:tc>
        <w:tc>
          <w:tcPr>
            <w:tcW w:w="140" w:type="dxa"/>
            <w:vAlign w:val="bottom"/>
          </w:tcPr>
          <w:p>
            <w:pPr>
              <w:spacing w:after="0"/>
              <w:rPr>
                <w:sz w:val="22"/>
                <w:szCs w:val="22"/>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42,113</w:t>
            </w:r>
          </w:p>
        </w:tc>
        <w:tc>
          <w:tcPr>
            <w:tcW w:w="0" w:type="dxa"/>
            <w:vAlign w:val="bottom"/>
          </w:tcPr>
          <w:p>
            <w:pPr>
              <w:spacing w:after="0"/>
              <w:rPr>
                <w:sz w:val="1"/>
                <w:szCs w:val="1"/>
                <w:color w:val="auto"/>
              </w:rPr>
            </w:pPr>
          </w:p>
        </w:tc>
      </w:tr>
      <w:tr>
        <w:trPr>
          <w:trHeight w:val="262"/>
        </w:trPr>
        <w:tc>
          <w:tcPr>
            <w:tcW w:w="8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Common/collective trusts</w:t>
            </w:r>
          </w:p>
        </w:tc>
        <w:tc>
          <w:tcPr>
            <w:tcW w:w="14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637,142</w:t>
            </w:r>
          </w:p>
        </w:tc>
        <w:tc>
          <w:tcPr>
            <w:tcW w:w="0" w:type="dxa"/>
            <w:vAlign w:val="bottom"/>
          </w:tcPr>
          <w:p>
            <w:pPr>
              <w:spacing w:after="0"/>
              <w:rPr>
                <w:sz w:val="1"/>
                <w:szCs w:val="1"/>
                <w:color w:val="auto"/>
              </w:rPr>
            </w:pPr>
          </w:p>
        </w:tc>
      </w:tr>
      <w:tr>
        <w:trPr>
          <w:trHeight w:val="510"/>
        </w:trPr>
        <w:tc>
          <w:tcPr>
            <w:tcW w:w="8280" w:type="dxa"/>
            <w:vAlign w:val="bottom"/>
          </w:tcPr>
          <w:p>
            <w:pPr>
              <w:spacing w:after="0"/>
              <w:rPr>
                <w:sz w:val="20"/>
                <w:szCs w:val="20"/>
                <w:color w:val="auto"/>
              </w:rPr>
            </w:pPr>
            <w:r>
              <w:rPr>
                <w:rFonts w:ascii="Times New Roman" w:cs="Times New Roman" w:eastAsia="Times New Roman" w:hAnsi="Times New Roman"/>
                <w:sz w:val="20"/>
                <w:szCs w:val="20"/>
                <w:color w:val="auto"/>
              </w:rPr>
              <w:t>Net appreciation in fair value of investments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678,099</w:t>
            </w:r>
          </w:p>
        </w:tc>
        <w:tc>
          <w:tcPr>
            <w:tcW w:w="0" w:type="dxa"/>
            <w:vAlign w:val="bottom"/>
          </w:tcPr>
          <w:p>
            <w:pPr>
              <w:spacing w:after="0"/>
              <w:rPr>
                <w:sz w:val="1"/>
                <w:szCs w:val="1"/>
                <w:color w:val="auto"/>
              </w:rPr>
            </w:pPr>
          </w:p>
        </w:tc>
      </w:tr>
      <w:tr>
        <w:trPr>
          <w:trHeight w:val="21"/>
        </w:trPr>
        <w:tc>
          <w:tcPr>
            <w:tcW w:w="8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8280" w:type="dxa"/>
            <w:vAlign w:val="bottom"/>
          </w:tcPr>
          <w:p>
            <w:pPr>
              <w:spacing w:after="0"/>
              <w:rPr>
                <w:sz w:val="20"/>
                <w:szCs w:val="20"/>
                <w:color w:val="auto"/>
              </w:rPr>
            </w:pPr>
            <w:r>
              <w:rPr>
                <w:rFonts w:ascii="Times New Roman" w:cs="Times New Roman" w:eastAsia="Times New Roman" w:hAnsi="Times New Roman"/>
                <w:sz w:val="20"/>
                <w:szCs w:val="20"/>
                <w:color w:val="auto"/>
              </w:rPr>
              <w:t>Dividend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37,749</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32" w:hanging="332"/>
        <w:spacing w:after="0"/>
        <w:tabs>
          <w:tab w:leader="none" w:pos="332"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FAIR VALUE MEASUREMENTS</w:t>
      </w:r>
    </w:p>
    <w:p>
      <w:pPr>
        <w:spacing w:after="0" w:line="219" w:lineRule="exact"/>
        <w:rPr>
          <w:rFonts w:ascii="Times New Roman" w:cs="Times New Roman" w:eastAsia="Times New Roman" w:hAnsi="Times New Roman"/>
          <w:sz w:val="20"/>
          <w:szCs w:val="20"/>
          <w:b w:val="1"/>
          <w:bCs w:val="1"/>
          <w:color w:val="auto"/>
        </w:rPr>
      </w:pPr>
    </w:p>
    <w:p>
      <w:pPr>
        <w:ind w:left="332"/>
        <w:spacing w:after="0" w:line="257"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Plan management applies recurring fair value measurements to certain assets and liabilities. “Fair value” is defined as the price that would be received to sell an asset or paid to transfer a liability in an orderly transaction between market participants at the measurement date (exit price). A fair value measurement reflects the assumptions market participants would use in pricing an asset or liability based on the best available information. These assumptions include the risk inherent in a particular valuation technique (such as a pricing model) and the risks inherent in the inputs to the model.</w:t>
      </w:r>
    </w:p>
    <w:p>
      <w:pPr>
        <w:spacing w:after="0" w:line="172" w:lineRule="exact"/>
        <w:rPr>
          <w:rFonts w:ascii="Times New Roman" w:cs="Times New Roman" w:eastAsia="Times New Roman" w:hAnsi="Times New Roman"/>
          <w:sz w:val="20"/>
          <w:szCs w:val="20"/>
          <w:b w:val="1"/>
          <w:bCs w:val="1"/>
          <w:color w:val="auto"/>
        </w:rPr>
      </w:pPr>
    </w:p>
    <w:p>
      <w:pPr>
        <w:ind w:left="332" w:right="360"/>
        <w:spacing w:after="0" w:line="28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fair value hierarchy used by Plan management prioritizes the inputs used to measure fair value, with the highest priority given to observable inputs and the lowest priority given to unobservable inputs, as follows:</w:t>
      </w:r>
    </w:p>
    <w:p>
      <w:pPr>
        <w:spacing w:after="0" w:line="159" w:lineRule="exact"/>
        <w:rPr>
          <w:rFonts w:ascii="Times New Roman" w:cs="Times New Roman" w:eastAsia="Times New Roman" w:hAnsi="Times New Roman"/>
          <w:sz w:val="20"/>
          <w:szCs w:val="20"/>
          <w:b w:val="1"/>
          <w:bCs w:val="1"/>
          <w:color w:val="auto"/>
        </w:rPr>
      </w:pPr>
    </w:p>
    <w:p>
      <w:pPr>
        <w:ind w:left="652" w:right="420" w:hanging="328"/>
        <w:spacing w:after="0" w:line="269" w:lineRule="auto"/>
        <w:tabs>
          <w:tab w:leader="none" w:pos="64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1, which refers to investments valued using observable inputs that reflect quoted (unadjusted) prices for identical assets in active markets;</w:t>
      </w:r>
    </w:p>
    <w:p>
      <w:pPr>
        <w:spacing w:after="0" w:line="172" w:lineRule="exact"/>
        <w:rPr>
          <w:rFonts w:ascii="Times New Roman" w:cs="Times New Roman" w:eastAsia="Times New Roman" w:hAnsi="Times New Roman"/>
          <w:sz w:val="20"/>
          <w:szCs w:val="20"/>
          <w:color w:val="auto"/>
        </w:rPr>
      </w:pPr>
    </w:p>
    <w:p>
      <w:pPr>
        <w:ind w:left="652" w:right="100" w:hanging="328"/>
        <w:spacing w:after="0" w:line="269" w:lineRule="auto"/>
        <w:tabs>
          <w:tab w:leader="none" w:pos="64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2, which refers to investments valued using inputs other than quoted prices in active markets and for which observable market data is readily available; and</w:t>
      </w:r>
    </w:p>
    <w:p>
      <w:pPr>
        <w:spacing w:after="0" w:line="172" w:lineRule="exact"/>
        <w:rPr>
          <w:rFonts w:ascii="Times New Roman" w:cs="Times New Roman" w:eastAsia="Times New Roman" w:hAnsi="Times New Roman"/>
          <w:sz w:val="20"/>
          <w:szCs w:val="20"/>
          <w:color w:val="auto"/>
        </w:rPr>
      </w:pPr>
    </w:p>
    <w:p>
      <w:pPr>
        <w:ind w:left="652" w:right="140" w:hanging="328"/>
        <w:spacing w:after="0" w:line="283" w:lineRule="auto"/>
        <w:tabs>
          <w:tab w:leader="none" w:pos="64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3, which refers to investments valued based on unobservable inputs, which are determined based on estimates of assumptions that market participants would use in pricing the asset or liability.</w:t>
      </w:r>
    </w:p>
    <w:p>
      <w:pPr>
        <w:spacing w:after="0" w:line="146" w:lineRule="exact"/>
        <w:rPr>
          <w:sz w:val="20"/>
          <w:szCs w:val="20"/>
          <w:color w:val="auto"/>
        </w:rPr>
      </w:pPr>
    </w:p>
    <w:p>
      <w:pPr>
        <w:ind w:left="332" w:right="200"/>
        <w:spacing w:after="0" w:line="283" w:lineRule="auto"/>
        <w:rPr>
          <w:sz w:val="20"/>
          <w:szCs w:val="20"/>
          <w:color w:val="auto"/>
        </w:rPr>
      </w:pPr>
      <w:r>
        <w:rPr>
          <w:rFonts w:ascii="Times New Roman" w:cs="Times New Roman" w:eastAsia="Times New Roman" w:hAnsi="Times New Roman"/>
          <w:sz w:val="20"/>
          <w:szCs w:val="20"/>
          <w:color w:val="auto"/>
        </w:rPr>
        <w:t>Investments are classified in their entirety based on the lowest level of input that is significant to the fair value measurement. Valuation techniques used maximize the use of observable inputs and minimize the use of unobservable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13" w:right="359" w:bottom="1440" w:gutter="0" w:footer="0" w:header="0"/>
        </w:sectPr>
      </w:pPr>
    </w:p>
    <w:bookmarkStart w:id="58" w:name="page59"/>
    <w:bookmarkEnd w:id="58"/>
    <w:p>
      <w:pPr>
        <w:ind w:left="8"/>
        <w:spacing w:after="0" w:line="283" w:lineRule="auto"/>
        <w:rPr>
          <w:sz w:val="20"/>
          <w:szCs w:val="20"/>
          <w:color w:val="auto"/>
        </w:rPr>
      </w:pPr>
      <w:r>
        <w:rPr>
          <w:rFonts w:ascii="Times New Roman" w:cs="Times New Roman" w:eastAsia="Times New Roman" w:hAnsi="Times New Roman"/>
          <w:sz w:val="20"/>
          <w:szCs w:val="20"/>
          <w:color w:val="auto"/>
        </w:rPr>
        <w:t>The following table sets forth by level within the fair value hierarchy a summary of the Master Trust’s investments measured at fair value on a recurring basis at December 31, 2025 and 2024 (dollars in thousands):</w:t>
      </w:r>
    </w:p>
    <w:p>
      <w:pPr>
        <w:spacing w:after="0" w:line="191" w:lineRule="exact"/>
        <w:rPr>
          <w:sz w:val="20"/>
          <w:szCs w:val="20"/>
          <w:color w:val="auto"/>
        </w:rPr>
      </w:pPr>
    </w:p>
    <w:tbl>
      <w:tblPr>
        <w:tblLayout w:type="fixed"/>
        <w:tblInd w:w="28" w:type="dxa"/>
        <w:tblCellMar>
          <w:top w:w="0" w:type="dxa"/>
          <w:left w:w="0" w:type="dxa"/>
          <w:bottom w:w="0" w:type="dxa"/>
          <w:right w:w="0" w:type="dxa"/>
        </w:tblCellMar>
      </w:tblPr>
      <w:tr>
        <w:trPr>
          <w:trHeight w:val="229"/>
        </w:trPr>
        <w:tc>
          <w:tcPr>
            <w:tcW w:w="6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9"/>
                <w:szCs w:val="19"/>
                <w:color w:val="auto"/>
              </w:rPr>
            </w:pPr>
          </w:p>
        </w:tc>
        <w:tc>
          <w:tcPr>
            <w:tcW w:w="1580" w:type="dxa"/>
            <w:vAlign w:val="bottom"/>
          </w:tcPr>
          <w:p>
            <w:pPr>
              <w:jc w:val="right"/>
              <w:ind w:right="224"/>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66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Level 1 investments:</w:t>
            </w: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84"/>
              <w:spacing w:after="0"/>
              <w:rPr>
                <w:sz w:val="20"/>
                <w:szCs w:val="20"/>
                <w:color w:val="auto"/>
              </w:rPr>
            </w:pPr>
            <w:r>
              <w:rPr>
                <w:rFonts w:ascii="Arial" w:cs="Arial" w:eastAsia="Arial" w:hAnsi="Arial"/>
                <w:sz w:val="18"/>
                <w:szCs w:val="18"/>
                <w:b w:val="1"/>
                <w:bCs w:val="1"/>
                <w:color w:val="auto"/>
              </w:rPr>
              <w:t>2025</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04"/>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27"/>
        </w:trPr>
        <w:tc>
          <w:tcPr>
            <w:tcW w:w="66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Sempra common stock</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1,034,401</w:t>
            </w:r>
          </w:p>
        </w:tc>
        <w:tc>
          <w:tcPr>
            <w:tcW w:w="300" w:type="dxa"/>
            <w:vAlign w:val="bottom"/>
          </w:tcPr>
          <w:p>
            <w:pPr>
              <w:spacing w:after="0"/>
              <w:rPr>
                <w:sz w:val="22"/>
                <w:szCs w:val="22"/>
                <w:color w:val="auto"/>
              </w:rPr>
            </w:pPr>
          </w:p>
        </w:tc>
        <w:tc>
          <w:tcPr>
            <w:tcW w:w="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1,165,804</w:t>
            </w:r>
          </w:p>
        </w:tc>
        <w:tc>
          <w:tcPr>
            <w:tcW w:w="0" w:type="dxa"/>
            <w:vAlign w:val="bottom"/>
          </w:tcPr>
          <w:p>
            <w:pPr>
              <w:spacing w:after="0"/>
              <w:rPr>
                <w:sz w:val="1"/>
                <w:szCs w:val="1"/>
                <w:color w:val="auto"/>
              </w:rPr>
            </w:pPr>
          </w:p>
        </w:tc>
      </w:tr>
      <w:tr>
        <w:trPr>
          <w:trHeight w:val="262"/>
        </w:trPr>
        <w:tc>
          <w:tcPr>
            <w:tcW w:w="6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Mutual funds</w:t>
            </w:r>
          </w:p>
        </w:tc>
        <w:tc>
          <w:tcPr>
            <w:tcW w:w="2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442,746</w:t>
            </w:r>
          </w:p>
        </w:tc>
        <w:tc>
          <w:tcPr>
            <w:tcW w:w="3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400,835</w:t>
            </w:r>
          </w:p>
        </w:tc>
        <w:tc>
          <w:tcPr>
            <w:tcW w:w="0" w:type="dxa"/>
            <w:vAlign w:val="bottom"/>
          </w:tcPr>
          <w:p>
            <w:pPr>
              <w:spacing w:after="0"/>
              <w:rPr>
                <w:sz w:val="1"/>
                <w:szCs w:val="1"/>
                <w:color w:val="auto"/>
              </w:rPr>
            </w:pPr>
          </w:p>
        </w:tc>
      </w:tr>
      <w:tr>
        <w:trPr>
          <w:trHeight w:val="435"/>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Total Level 1 investments</w:t>
            </w:r>
          </w:p>
        </w:tc>
        <w:tc>
          <w:tcPr>
            <w:tcW w:w="2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1,477,147</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1,566,639</w:t>
            </w:r>
          </w:p>
        </w:tc>
        <w:tc>
          <w:tcPr>
            <w:tcW w:w="0" w:type="dxa"/>
            <w:vAlign w:val="bottom"/>
          </w:tcPr>
          <w:p>
            <w:pPr>
              <w:spacing w:after="0"/>
              <w:rPr>
                <w:sz w:val="1"/>
                <w:szCs w:val="1"/>
                <w:color w:val="auto"/>
              </w:rPr>
            </w:pPr>
          </w:p>
        </w:tc>
      </w:tr>
      <w:tr>
        <w:trPr>
          <w:trHeight w:val="457"/>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Investments measured at NAV*:</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Common/collective trusts</w:t>
            </w:r>
          </w:p>
        </w:tc>
        <w:tc>
          <w:tcPr>
            <w:tcW w:w="2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4,474,698</w:t>
            </w:r>
          </w:p>
        </w:tc>
        <w:tc>
          <w:tcPr>
            <w:tcW w:w="3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4,040,716</w:t>
            </w:r>
          </w:p>
        </w:tc>
        <w:tc>
          <w:tcPr>
            <w:tcW w:w="0" w:type="dxa"/>
            <w:vAlign w:val="bottom"/>
          </w:tcPr>
          <w:p>
            <w:pPr>
              <w:spacing w:after="0"/>
              <w:rPr>
                <w:sz w:val="1"/>
                <w:szCs w:val="1"/>
                <w:color w:val="auto"/>
              </w:rPr>
            </w:pPr>
          </w:p>
        </w:tc>
      </w:tr>
      <w:tr>
        <w:trPr>
          <w:trHeight w:val="443"/>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Total Master Trust investments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5,951,845</w:t>
            </w:r>
          </w:p>
        </w:tc>
        <w:tc>
          <w:tcPr>
            <w:tcW w:w="300" w:type="dxa"/>
            <w:vAlign w:val="bottom"/>
          </w:tcPr>
          <w:p>
            <w:pPr>
              <w:spacing w:after="0"/>
              <w:rPr>
                <w:sz w:val="24"/>
                <w:szCs w:val="24"/>
                <w:color w:val="auto"/>
              </w:rPr>
            </w:pPr>
          </w:p>
        </w:tc>
        <w:tc>
          <w:tcPr>
            <w:tcW w:w="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5,607,355</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28" w:right="280" w:hanging="328"/>
        <w:spacing w:after="0" w:line="255" w:lineRule="auto"/>
        <w:tabs>
          <w:tab w:leader="none" w:pos="319"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Investments for which fair value is estimated based on NAV as a practical expedient have not been classified in the fair value hierarchy, but are presented to permit reconciliation to the total Master Trust investments in Note 4.</w:t>
      </w:r>
    </w:p>
    <w:p>
      <w:pPr>
        <w:spacing w:after="0" w:line="179"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There were no investments classified as Level 2 or Level 3 in the Master Trust as of December 31, 2025 or 2024</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The following is a description of the valuation methodologies and assumptions used to estimate the fair values of the investments in the</w:t>
      </w:r>
    </w:p>
    <w:p>
      <w:pPr>
        <w:spacing w:after="0" w:line="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Master Trust:</w:t>
      </w:r>
    </w:p>
    <w:p>
      <w:pPr>
        <w:spacing w:after="0" w:line="19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9"/>
          <w:szCs w:val="19"/>
          <w:i w:val="1"/>
          <w:iCs w:val="1"/>
          <w:color w:val="auto"/>
        </w:rPr>
        <w:t xml:space="preserve">Common Stocks </w:t>
      </w:r>
      <w:r>
        <w:rPr>
          <w:rFonts w:ascii="Times New Roman" w:cs="Times New Roman" w:eastAsia="Times New Roman" w:hAnsi="Times New Roman"/>
          <w:sz w:val="19"/>
          <w:szCs w:val="19"/>
          <w:color w:val="auto"/>
        </w:rPr>
        <w:t>— Common stocks are valued using quoted prices listed on nationally recognized securities exchanges (Level 1 inputs).</w:t>
      </w:r>
    </w:p>
    <w:p>
      <w:pPr>
        <w:spacing w:after="0" w:line="241" w:lineRule="exact"/>
        <w:rPr>
          <w:sz w:val="20"/>
          <w:szCs w:val="20"/>
          <w:color w:val="auto"/>
        </w:rPr>
      </w:pPr>
    </w:p>
    <w:p>
      <w:pPr>
        <w:jc w:val="both"/>
        <w:ind w:left="8" w:right="220"/>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Mutual Funds </w:t>
      </w:r>
      <w:r>
        <w:rPr>
          <w:rFonts w:ascii="Times New Roman" w:cs="Times New Roman" w:eastAsia="Times New Roman" w:hAnsi="Times New Roman"/>
          <w:sz w:val="20"/>
          <w:szCs w:val="20"/>
          <w:color w:val="auto"/>
        </w:rPr>
        <w:t>— The fair values of mutual funds are determined by obtaining quoted prices listed on nationally recognized securities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exchanges (Level 1 inputs). These funds are required to publish their daily NAV and to transact at that price. The mutual funds held by the Master Trust are deemed to be actively traded.</w:t>
      </w:r>
    </w:p>
    <w:p>
      <w:pPr>
        <w:spacing w:after="0" w:line="175" w:lineRule="exact"/>
        <w:rPr>
          <w:sz w:val="20"/>
          <w:szCs w:val="20"/>
          <w:color w:val="auto"/>
        </w:rPr>
      </w:pPr>
    </w:p>
    <w:p>
      <w:pPr>
        <w:ind w:left="8" w:right="20"/>
        <w:spacing w:after="0" w:line="273" w:lineRule="auto"/>
        <w:rPr>
          <w:sz w:val="20"/>
          <w:szCs w:val="20"/>
          <w:color w:val="auto"/>
        </w:rPr>
      </w:pPr>
      <w:r>
        <w:rPr>
          <w:rFonts w:ascii="Times New Roman" w:cs="Times New Roman" w:eastAsia="Times New Roman" w:hAnsi="Times New Roman"/>
          <w:sz w:val="19"/>
          <w:szCs w:val="19"/>
          <w:i w:val="1"/>
          <w:iCs w:val="1"/>
          <w:color w:val="auto"/>
        </w:rPr>
        <w:t xml:space="preserve">Common/Collective Trusts </w:t>
      </w:r>
      <w:r>
        <w:rPr>
          <w:rFonts w:ascii="Times New Roman" w:cs="Times New Roman" w:eastAsia="Times New Roman" w:hAnsi="Times New Roman"/>
          <w:sz w:val="19"/>
          <w:szCs w:val="19"/>
          <w:color w:val="auto"/>
        </w:rPr>
        <w:t>— NAV is used as a practical expedient to estimate the fair value of participation units held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common/collective trust funds, for which the reported NAV reflects recent transaction prices. The NAV is provided by the trustee of each common/collective trust. Apart from the stable value fund, each common/collective trust allows for daily redemptions by the Plan at its reported NAV per share, with no advance notice requirement, has no unfunded commitments, and has no other redemption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8"/>
          </w:cols>
          <w:pgMar w:left="652" w:top="1413" w:right="359" w:bottom="1440" w:gutter="0" w:footer="0" w:header="0"/>
        </w:sectPr>
      </w:pPr>
    </w:p>
    <w:bookmarkStart w:id="59" w:name="page60"/>
    <w:bookmarkEnd w:id="59"/>
    <w:p>
      <w:pPr>
        <w:ind w:left="340"/>
        <w:spacing w:after="0" w:line="253" w:lineRule="auto"/>
        <w:rPr>
          <w:sz w:val="20"/>
          <w:szCs w:val="20"/>
          <w:color w:val="auto"/>
        </w:rPr>
      </w:pPr>
      <w:r>
        <w:rPr>
          <w:rFonts w:ascii="Times New Roman" w:cs="Times New Roman" w:eastAsia="Times New Roman" w:hAnsi="Times New Roman"/>
          <w:sz w:val="20"/>
          <w:szCs w:val="20"/>
          <w:color w:val="auto"/>
        </w:rPr>
        <w:t>The T. Rowe Price Stable Value Common Trust Fund invests in fully benefit-responsive contracts that are held at contract value. NAV is determined to be contract value, the value at which participants ordinarily transact. This practical expedient is not used if it is determined to be probable that the fund will sell its investment for an amount different from the reported NAV. The Plan is required to give notice 12 months in advance of a partial or total liquidation of the investment in the stable value fund for any purpose other than for benefit payments, participant loans, participant-directed investment transfers, and payment of administrative fees. The Plan Administrator is also required to give a 30-day notice of the liquidation of the investment in the fund due to termination of the Master Trust. There are no unfunded commitments related to the stable value fund.</w:t>
      </w:r>
    </w:p>
    <w:p>
      <w:pPr>
        <w:spacing w:after="0" w:line="179" w:lineRule="exact"/>
        <w:rPr>
          <w:sz w:val="20"/>
          <w:szCs w:val="20"/>
          <w:color w:val="auto"/>
        </w:rPr>
      </w:pPr>
    </w:p>
    <w:p>
      <w:pPr>
        <w:ind w:left="340" w:right="60"/>
        <w:spacing w:after="0" w:line="258" w:lineRule="auto"/>
        <w:rPr>
          <w:sz w:val="20"/>
          <w:szCs w:val="20"/>
          <w:color w:val="auto"/>
        </w:rPr>
      </w:pPr>
      <w:r>
        <w:rPr>
          <w:rFonts w:ascii="Times New Roman" w:cs="Times New Roman" w:eastAsia="Times New Roman" w:hAnsi="Times New Roman"/>
          <w:sz w:val="20"/>
          <w:szCs w:val="20"/>
          <w:color w:val="auto"/>
        </w:rPr>
        <w:t>The valuation methods described above are intended to produce a fair value calculation that is indicative of net realizable value or reflective of future fair values. However, while the Plan believes its valuation methods are appropriate and consistent with other market participants, the use of different methodologies or assumptions to determine the fair value of certain financial instruments could result in different fair value measurements at the reporting date.</w:t>
      </w:r>
    </w:p>
    <w:p>
      <w:pPr>
        <w:spacing w:after="0" w:line="200" w:lineRule="exact"/>
        <w:rPr>
          <w:sz w:val="20"/>
          <w:szCs w:val="20"/>
          <w:color w:val="auto"/>
        </w:rPr>
      </w:pPr>
    </w:p>
    <w:p>
      <w:pPr>
        <w:spacing w:after="0" w:line="22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6.</w:t>
      </w:r>
      <w:r>
        <w:rPr>
          <w:sz w:val="20"/>
          <w:szCs w:val="20"/>
          <w:color w:val="auto"/>
        </w:rPr>
        <w:tab/>
      </w:r>
      <w:r>
        <w:rPr>
          <w:rFonts w:ascii="Times New Roman" w:cs="Times New Roman" w:eastAsia="Times New Roman" w:hAnsi="Times New Roman"/>
          <w:sz w:val="19"/>
          <w:szCs w:val="19"/>
          <w:b w:val="1"/>
          <w:bCs w:val="1"/>
          <w:color w:val="auto"/>
        </w:rPr>
        <w:t>RECONCILIATION OF FINANCIAL STATEMENTS TO FORM 5500</w:t>
      </w:r>
    </w:p>
    <w:p>
      <w:pPr>
        <w:spacing w:after="0" w:line="220" w:lineRule="exact"/>
        <w:rPr>
          <w:sz w:val="20"/>
          <w:szCs w:val="20"/>
          <w:color w:val="auto"/>
        </w:rPr>
      </w:pPr>
    </w:p>
    <w:p>
      <w:pPr>
        <w:ind w:left="340" w:right="820"/>
        <w:spacing w:after="0" w:line="283" w:lineRule="auto"/>
        <w:rPr>
          <w:sz w:val="20"/>
          <w:szCs w:val="20"/>
          <w:color w:val="auto"/>
        </w:rPr>
      </w:pPr>
      <w:r>
        <w:rPr>
          <w:rFonts w:ascii="Times New Roman" w:cs="Times New Roman" w:eastAsia="Times New Roman" w:hAnsi="Times New Roman"/>
          <w:sz w:val="20"/>
          <w:szCs w:val="20"/>
          <w:color w:val="auto"/>
        </w:rPr>
        <w:t>The following is a reconciliation of net assets available for benefits at December 31, 2025 and 2024 as reported in the financial statements compared to the Form 5500 (dollars in thousands):</w:t>
      </w:r>
    </w:p>
    <w:p>
      <w:pPr>
        <w:spacing w:after="0" w:line="218"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6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gridSpan w:val="2"/>
          </w:tcPr>
          <w:p>
            <w:pPr>
              <w:ind w:left="180"/>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Pr>
          <w:p>
            <w:pPr>
              <w:spacing w:after="0"/>
              <w:rPr>
                <w:sz w:val="19"/>
                <w:szCs w:val="19"/>
                <w:color w:val="auto"/>
              </w:rPr>
            </w:pPr>
          </w:p>
        </w:tc>
        <w:tc>
          <w:tcPr>
            <w:tcW w:w="1880" w:type="dxa"/>
            <w:vAlign w:val="bottom"/>
          </w:tcPr>
          <w:p>
            <w:pPr>
              <w:jc w:val="right"/>
              <w:ind w:right="425"/>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6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assets available for benefits per the financial</w:t>
            </w: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785"/>
              <w:spacing w:after="0"/>
              <w:rPr>
                <w:sz w:val="20"/>
                <w:szCs w:val="20"/>
                <w:color w:val="auto"/>
              </w:rPr>
            </w:pPr>
            <w:r>
              <w:rPr>
                <w:rFonts w:ascii="Arial" w:cs="Arial" w:eastAsia="Arial" w:hAnsi="Arial"/>
                <w:sz w:val="18"/>
                <w:szCs w:val="18"/>
                <w:b w:val="1"/>
                <w:bCs w:val="1"/>
                <w:color w:val="auto"/>
              </w:rPr>
              <w:t>2025</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805"/>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173"/>
        </w:trPr>
        <w:tc>
          <w:tcPr>
            <w:tcW w:w="6040" w:type="dxa"/>
            <w:vAlign w:val="bottom"/>
            <w:vMerge w:val="continue"/>
          </w:tcPr>
          <w:p>
            <w:pPr>
              <w:spacing w:after="0"/>
              <w:rPr>
                <w:sz w:val="15"/>
                <w:szCs w:val="15"/>
                <w:color w:val="auto"/>
              </w:rPr>
            </w:pPr>
          </w:p>
        </w:tc>
        <w:tc>
          <w:tcPr>
            <w:tcW w:w="320" w:type="dxa"/>
            <w:vAlign w:val="bottom"/>
            <w:vMerge w:val="restart"/>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3,265,091</w:t>
            </w:r>
          </w:p>
        </w:tc>
        <w:tc>
          <w:tcPr>
            <w:tcW w:w="280" w:type="dxa"/>
            <w:vAlign w:val="bottom"/>
          </w:tcPr>
          <w:p>
            <w:pPr>
              <w:spacing w:after="0"/>
              <w:rPr>
                <w:sz w:val="15"/>
                <w:szCs w:val="15"/>
                <w:color w:val="auto"/>
              </w:rPr>
            </w:pPr>
          </w:p>
        </w:tc>
        <w:tc>
          <w:tcPr>
            <w:tcW w:w="320" w:type="dxa"/>
            <w:vAlign w:val="bottom"/>
            <w:vMerge w:val="restart"/>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3,083,033</w:t>
            </w:r>
          </w:p>
        </w:tc>
        <w:tc>
          <w:tcPr>
            <w:tcW w:w="0" w:type="dxa"/>
            <w:vAlign w:val="bottom"/>
          </w:tcPr>
          <w:p>
            <w:pPr>
              <w:spacing w:after="0"/>
              <w:rPr>
                <w:sz w:val="1"/>
                <w:szCs w:val="1"/>
                <w:color w:val="auto"/>
              </w:rPr>
            </w:pPr>
          </w:p>
        </w:tc>
      </w:tr>
      <w:tr>
        <w:trPr>
          <w:trHeight w:val="243"/>
        </w:trPr>
        <w:tc>
          <w:tcPr>
            <w:tcW w:w="6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statements</w:t>
            </w:r>
          </w:p>
        </w:tc>
        <w:tc>
          <w:tcPr>
            <w:tcW w:w="320" w:type="dxa"/>
            <w:vAlign w:val="bottom"/>
            <w:vMerge w:val="continue"/>
          </w:tcPr>
          <w:p>
            <w:pPr>
              <w:spacing w:after="0"/>
              <w:rPr>
                <w:sz w:val="21"/>
                <w:szCs w:val="21"/>
                <w:color w:val="auto"/>
              </w:rPr>
            </w:pPr>
          </w:p>
        </w:tc>
        <w:tc>
          <w:tcPr>
            <w:tcW w:w="186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vMerge w:val="continue"/>
          </w:tcPr>
          <w:p>
            <w:pPr>
              <w:spacing w:after="0"/>
              <w:rPr>
                <w:sz w:val="21"/>
                <w:szCs w:val="21"/>
                <w:color w:val="auto"/>
              </w:rPr>
            </w:pPr>
          </w:p>
        </w:tc>
        <w:tc>
          <w:tcPr>
            <w:tcW w:w="1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0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Delinquent notes receivable in the financial statements</w:t>
            </w:r>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80"/>
              <w:spacing w:after="0" w:line="203" w:lineRule="exact"/>
              <w:rPr>
                <w:sz w:val="20"/>
                <w:szCs w:val="20"/>
                <w:color w:val="auto"/>
              </w:rPr>
            </w:pPr>
            <w:r>
              <w:rPr>
                <w:rFonts w:ascii="Times New Roman" w:cs="Times New Roman" w:eastAsia="Times New Roman" w:hAnsi="Times New Roman"/>
                <w:sz w:val="20"/>
                <w:szCs w:val="20"/>
                <w:color w:val="auto"/>
              </w:rPr>
              <w:t>reported as deemed distributions of participant loans in the</w:t>
            </w:r>
          </w:p>
        </w:tc>
        <w:tc>
          <w:tcPr>
            <w:tcW w:w="320" w:type="dxa"/>
            <w:vAlign w:val="bottom"/>
          </w:tcPr>
          <w:p>
            <w:pPr>
              <w:spacing w:after="0"/>
              <w:rPr>
                <w:sz w:val="17"/>
                <w:szCs w:val="17"/>
                <w:color w:val="auto"/>
              </w:rPr>
            </w:pPr>
          </w:p>
        </w:tc>
        <w:tc>
          <w:tcPr>
            <w:tcW w:w="1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(1,177)</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(1,221)</w:t>
            </w:r>
          </w:p>
        </w:tc>
        <w:tc>
          <w:tcPr>
            <w:tcW w:w="0" w:type="dxa"/>
            <w:vAlign w:val="bottom"/>
          </w:tcPr>
          <w:p>
            <w:pPr>
              <w:spacing w:after="0"/>
              <w:rPr>
                <w:sz w:val="1"/>
                <w:szCs w:val="1"/>
                <w:color w:val="auto"/>
              </w:rPr>
            </w:pPr>
          </w:p>
        </w:tc>
      </w:tr>
      <w:tr>
        <w:trPr>
          <w:trHeight w:val="252"/>
        </w:trPr>
        <w:tc>
          <w:tcPr>
            <w:tcW w:w="6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Form 5500</w:t>
            </w:r>
          </w:p>
        </w:tc>
        <w:tc>
          <w:tcPr>
            <w:tcW w:w="3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vMerge w:val="continue"/>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Net assets available for benefits per the Form 5500</w:t>
            </w:r>
          </w:p>
        </w:tc>
        <w:tc>
          <w:tcPr>
            <w:tcW w:w="3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3,263,914</w:t>
            </w:r>
          </w:p>
        </w:tc>
        <w:tc>
          <w:tcPr>
            <w:tcW w:w="280" w:type="dxa"/>
            <w:vAlign w:val="bottom"/>
          </w:tcPr>
          <w:p>
            <w:pPr>
              <w:spacing w:after="0"/>
              <w:rPr>
                <w:sz w:val="21"/>
                <w:szCs w:val="21"/>
                <w:color w:val="auto"/>
              </w:rPr>
            </w:pPr>
          </w:p>
        </w:tc>
        <w:tc>
          <w:tcPr>
            <w:tcW w:w="3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3,081,812</w:t>
            </w:r>
          </w:p>
        </w:tc>
        <w:tc>
          <w:tcPr>
            <w:tcW w:w="0" w:type="dxa"/>
            <w:vAlign w:val="bottom"/>
          </w:tcPr>
          <w:p>
            <w:pPr>
              <w:spacing w:after="0"/>
              <w:rPr>
                <w:sz w:val="1"/>
                <w:szCs w:val="1"/>
                <w:color w:val="auto"/>
              </w:rPr>
            </w:pPr>
          </w:p>
        </w:tc>
      </w:tr>
      <w:tr>
        <w:trPr>
          <w:trHeight w:val="21"/>
        </w:trPr>
        <w:tc>
          <w:tcPr>
            <w:tcW w:w="6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ind w:left="340" w:right="240"/>
        <w:spacing w:after="0" w:line="267" w:lineRule="auto"/>
        <w:rPr>
          <w:sz w:val="20"/>
          <w:szCs w:val="20"/>
          <w:color w:val="auto"/>
        </w:rPr>
      </w:pPr>
      <w:r>
        <w:rPr>
          <w:rFonts w:ascii="Times New Roman" w:cs="Times New Roman" w:eastAsia="Times New Roman" w:hAnsi="Times New Roman"/>
          <w:sz w:val="20"/>
          <w:szCs w:val="20"/>
          <w:color w:val="auto"/>
        </w:rPr>
        <w:t>The following is a reconciliation of the change in net assets available for benefits for the year ended December 31, 2025 as reported in the financial statements compared to the Form 5500 (dollars in thousands):</w:t>
      </w:r>
    </w:p>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256"/>
        </w:trPr>
        <w:tc>
          <w:tcPr>
            <w:tcW w:w="8500" w:type="dxa"/>
            <w:vAlign w:val="bottom"/>
          </w:tcPr>
          <w:p>
            <w:pPr>
              <w:spacing w:after="0"/>
              <w:rPr>
                <w:sz w:val="20"/>
                <w:szCs w:val="20"/>
                <w:color w:val="auto"/>
              </w:rPr>
            </w:pPr>
            <w:r>
              <w:rPr>
                <w:rFonts w:ascii="Times New Roman" w:cs="Times New Roman" w:eastAsia="Times New Roman" w:hAnsi="Times New Roman"/>
                <w:sz w:val="20"/>
                <w:szCs w:val="20"/>
                <w:color w:val="auto"/>
              </w:rPr>
              <w:t>Net increase in net assets per the financial statements</w:t>
            </w:r>
          </w:p>
        </w:tc>
        <w:tc>
          <w:tcPr>
            <w:tcW w:w="800" w:type="dxa"/>
            <w:vAlign w:val="bottom"/>
          </w:tcPr>
          <w:p>
            <w:pPr>
              <w:jc w:val="right"/>
              <w:ind w:right="58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182,058</w:t>
            </w:r>
          </w:p>
        </w:tc>
        <w:tc>
          <w:tcPr>
            <w:tcW w:w="0" w:type="dxa"/>
            <w:vAlign w:val="bottom"/>
          </w:tcPr>
          <w:p>
            <w:pPr>
              <w:spacing w:after="0"/>
              <w:rPr>
                <w:sz w:val="1"/>
                <w:szCs w:val="1"/>
                <w:color w:val="auto"/>
              </w:rPr>
            </w:pPr>
          </w:p>
        </w:tc>
      </w:tr>
      <w:tr>
        <w:trPr>
          <w:trHeight w:val="203"/>
        </w:trPr>
        <w:tc>
          <w:tcPr>
            <w:tcW w:w="850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Add: Deemed distributions of participant loans reported in the Form 5500</w:t>
            </w:r>
          </w:p>
        </w:tc>
        <w:tc>
          <w:tcPr>
            <w:tcW w:w="800" w:type="dxa"/>
            <w:vAlign w:val="bottom"/>
          </w:tcPr>
          <w:p>
            <w:pPr>
              <w:spacing w:after="0"/>
              <w:rPr>
                <w:sz w:val="17"/>
                <w:szCs w:val="17"/>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1,221</w:t>
            </w:r>
          </w:p>
        </w:tc>
        <w:tc>
          <w:tcPr>
            <w:tcW w:w="0" w:type="dxa"/>
            <w:vAlign w:val="bottom"/>
          </w:tcPr>
          <w:p>
            <w:pPr>
              <w:spacing w:after="0"/>
              <w:rPr>
                <w:sz w:val="1"/>
                <w:szCs w:val="1"/>
                <w:color w:val="auto"/>
              </w:rPr>
            </w:pPr>
          </w:p>
        </w:tc>
      </w:tr>
      <w:tr>
        <w:trPr>
          <w:trHeight w:val="243"/>
        </w:trPr>
        <w:tc>
          <w:tcPr>
            <w:tcW w:w="85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as of December 31, 2024</w:t>
            </w:r>
          </w:p>
        </w:tc>
        <w:tc>
          <w:tcPr>
            <w:tcW w:w="80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50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Less: Deemed distributions of participant loans reported in the Form 5500</w:t>
            </w:r>
          </w:p>
        </w:tc>
        <w:tc>
          <w:tcPr>
            <w:tcW w:w="800" w:type="dxa"/>
            <w:vAlign w:val="bottom"/>
          </w:tcPr>
          <w:p>
            <w:pPr>
              <w:spacing w:after="0"/>
              <w:rPr>
                <w:sz w:val="17"/>
                <w:szCs w:val="17"/>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(1,177)</w:t>
            </w:r>
          </w:p>
        </w:tc>
        <w:tc>
          <w:tcPr>
            <w:tcW w:w="0" w:type="dxa"/>
            <w:vAlign w:val="bottom"/>
          </w:tcPr>
          <w:p>
            <w:pPr>
              <w:spacing w:after="0"/>
              <w:rPr>
                <w:sz w:val="1"/>
                <w:szCs w:val="1"/>
                <w:color w:val="auto"/>
              </w:rPr>
            </w:pPr>
          </w:p>
        </w:tc>
      </w:tr>
      <w:tr>
        <w:trPr>
          <w:trHeight w:val="252"/>
        </w:trPr>
        <w:tc>
          <w:tcPr>
            <w:tcW w:w="85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as of December 31, 2025</w:t>
            </w:r>
          </w:p>
        </w:tc>
        <w:tc>
          <w:tcPr>
            <w:tcW w:w="8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500" w:type="dxa"/>
            <w:vAlign w:val="bottom"/>
          </w:tcPr>
          <w:p>
            <w:pPr>
              <w:spacing w:after="0"/>
              <w:rPr>
                <w:sz w:val="20"/>
                <w:szCs w:val="20"/>
                <w:color w:val="auto"/>
              </w:rPr>
            </w:pPr>
            <w:r>
              <w:rPr>
                <w:rFonts w:ascii="Times New Roman" w:cs="Times New Roman" w:eastAsia="Times New Roman" w:hAnsi="Times New Roman"/>
                <w:sz w:val="20"/>
                <w:szCs w:val="20"/>
                <w:color w:val="auto"/>
              </w:rPr>
              <w:t>Net increase in net assets per the Form 5500</w:t>
            </w:r>
          </w:p>
        </w:tc>
        <w:tc>
          <w:tcPr>
            <w:tcW w:w="80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182,102</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60" w:name="page61"/>
    <w:bookmarkEnd w:id="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SUPPLEMENTAL SCHEDULE</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61" w:name="page62"/>
    <w:bookmarkEnd w:id="61"/>
    <w:p>
      <w:pPr>
        <w:spacing w:after="0" w:line="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SOUTHERN CALIFORNIA GAS COMPANY RETIREMENT SAVINGS PLAN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Employer ID No: 95-1240705</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Number: 002</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FORM 5500, SCHEDULE H, PART IV, LINE 4i — SCHEDULE OF ASSETS (HELD AT END OF YEAR)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wp:posOffset>
            </wp:positionV>
            <wp:extent cx="69608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275"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320" w:type="dxa"/>
            <w:vAlign w:val="bottom"/>
          </w:tcPr>
          <w:p>
            <w:pPr>
              <w:jc w:val="center"/>
              <w:spacing w:after="0"/>
              <w:rPr>
                <w:sz w:val="20"/>
                <w:szCs w:val="20"/>
                <w:color w:val="auto"/>
              </w:rPr>
            </w:pPr>
            <w:r>
              <w:rPr>
                <w:rFonts w:ascii="Arial" w:cs="Arial" w:eastAsia="Arial" w:hAnsi="Arial"/>
                <w:sz w:val="16"/>
                <w:szCs w:val="16"/>
                <w:b w:val="1"/>
                <w:bCs w:val="1"/>
                <w:color w:val="auto"/>
              </w:rPr>
              <w:t>(c)</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080" w:type="dxa"/>
            <w:vAlign w:val="bottom"/>
          </w:tcPr>
          <w:p>
            <w:pPr>
              <w:jc w:val="center"/>
              <w:ind w:right="157"/>
              <w:spacing w:after="0"/>
              <w:rPr>
                <w:sz w:val="20"/>
                <w:szCs w:val="20"/>
                <w:color w:val="auto"/>
              </w:rPr>
            </w:pPr>
            <w:r>
              <w:rPr>
                <w:rFonts w:ascii="Arial" w:cs="Arial" w:eastAsia="Arial" w:hAnsi="Arial"/>
                <w:sz w:val="16"/>
                <w:szCs w:val="16"/>
                <w:b w:val="1"/>
                <w:bCs w:val="1"/>
                <w:color w:val="auto"/>
                <w:w w:val="97"/>
              </w:rPr>
              <w:t>(b)</w:t>
            </w:r>
          </w:p>
        </w:tc>
        <w:tc>
          <w:tcPr>
            <w:tcW w:w="4320" w:type="dxa"/>
            <w:vAlign w:val="bottom"/>
          </w:tcPr>
          <w:p>
            <w:pPr>
              <w:jc w:val="center"/>
              <w:spacing w:after="0"/>
              <w:rPr>
                <w:sz w:val="20"/>
                <w:szCs w:val="20"/>
                <w:color w:val="auto"/>
              </w:rPr>
            </w:pPr>
            <w:r>
              <w:rPr>
                <w:rFonts w:ascii="Arial" w:cs="Arial" w:eastAsia="Arial" w:hAnsi="Arial"/>
                <w:sz w:val="16"/>
                <w:szCs w:val="16"/>
                <w:b w:val="1"/>
                <w:bCs w:val="1"/>
                <w:color w:val="auto"/>
              </w:rPr>
              <w:t>Description of Investment</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157"/>
              <w:spacing w:after="0"/>
              <w:rPr>
                <w:sz w:val="20"/>
                <w:szCs w:val="20"/>
                <w:color w:val="auto"/>
              </w:rPr>
            </w:pPr>
            <w:r>
              <w:rPr>
                <w:rFonts w:ascii="Arial" w:cs="Arial" w:eastAsia="Arial" w:hAnsi="Arial"/>
                <w:sz w:val="16"/>
                <w:szCs w:val="16"/>
                <w:b w:val="1"/>
                <w:bCs w:val="1"/>
                <w:color w:val="auto"/>
              </w:rPr>
              <w:t>(e)</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080" w:type="dxa"/>
            <w:vAlign w:val="bottom"/>
          </w:tcPr>
          <w:p>
            <w:pPr>
              <w:jc w:val="center"/>
              <w:ind w:right="157"/>
              <w:spacing w:after="0"/>
              <w:rPr>
                <w:sz w:val="20"/>
                <w:szCs w:val="20"/>
                <w:color w:val="auto"/>
              </w:rPr>
            </w:pPr>
            <w:r>
              <w:rPr>
                <w:rFonts w:ascii="Arial" w:cs="Arial" w:eastAsia="Arial" w:hAnsi="Arial"/>
                <w:sz w:val="16"/>
                <w:szCs w:val="16"/>
                <w:b w:val="1"/>
                <w:bCs w:val="1"/>
                <w:color w:val="auto"/>
              </w:rPr>
              <w:t>Identity of Issue, Borrower,</w:t>
            </w:r>
          </w:p>
        </w:tc>
        <w:tc>
          <w:tcPr>
            <w:tcW w:w="4320" w:type="dxa"/>
            <w:vAlign w:val="bottom"/>
          </w:tcPr>
          <w:p>
            <w:pPr>
              <w:jc w:val="center"/>
              <w:spacing w:after="0"/>
              <w:rPr>
                <w:sz w:val="20"/>
                <w:szCs w:val="20"/>
                <w:color w:val="auto"/>
              </w:rPr>
            </w:pPr>
            <w:r>
              <w:rPr>
                <w:rFonts w:ascii="Arial" w:cs="Arial" w:eastAsia="Arial" w:hAnsi="Arial"/>
                <w:sz w:val="16"/>
                <w:szCs w:val="16"/>
                <w:b w:val="1"/>
                <w:bCs w:val="1"/>
                <w:color w:val="auto"/>
              </w:rPr>
              <w:t>Including Maturity Date, Rate of Interest,</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7"/>
              </w:rPr>
              <w:t>(d)</w:t>
            </w:r>
          </w:p>
        </w:tc>
        <w:tc>
          <w:tcPr>
            <w:tcW w:w="240" w:type="dxa"/>
            <w:vAlign w:val="bottom"/>
          </w:tcPr>
          <w:p>
            <w:pPr>
              <w:spacing w:after="0"/>
              <w:rPr>
                <w:sz w:val="18"/>
                <w:szCs w:val="18"/>
                <w:color w:val="auto"/>
              </w:rPr>
            </w:pPr>
          </w:p>
        </w:tc>
        <w:tc>
          <w:tcPr>
            <w:tcW w:w="1120" w:type="dxa"/>
            <w:vAlign w:val="bottom"/>
          </w:tcPr>
          <w:p>
            <w:pPr>
              <w:jc w:val="center"/>
              <w:ind w:right="157"/>
              <w:spacing w:after="0"/>
              <w:rPr>
                <w:sz w:val="20"/>
                <w:szCs w:val="20"/>
                <w:color w:val="auto"/>
              </w:rPr>
            </w:pPr>
            <w:r>
              <w:rPr>
                <w:rFonts w:ascii="Arial" w:cs="Arial" w:eastAsia="Arial" w:hAnsi="Arial"/>
                <w:sz w:val="16"/>
                <w:szCs w:val="16"/>
                <w:b w:val="1"/>
                <w:bCs w:val="1"/>
                <w:color w:val="auto"/>
              </w:rPr>
              <w:t>Current</w:t>
            </w:r>
          </w:p>
        </w:tc>
        <w:tc>
          <w:tcPr>
            <w:tcW w:w="0" w:type="dxa"/>
            <w:vAlign w:val="bottom"/>
          </w:tcPr>
          <w:p>
            <w:pPr>
              <w:spacing w:after="0"/>
              <w:rPr>
                <w:sz w:val="1"/>
                <w:szCs w:val="1"/>
                <w:color w:val="auto"/>
              </w:rPr>
            </w:pPr>
          </w:p>
        </w:tc>
      </w:tr>
      <w:tr>
        <w:trPr>
          <w:trHeight w:val="223"/>
        </w:trPr>
        <w:tc>
          <w:tcPr>
            <w:tcW w:w="560" w:type="dxa"/>
            <w:vAlign w:val="bottom"/>
          </w:tcPr>
          <w:p>
            <w:pPr>
              <w:jc w:val="center"/>
              <w:ind w:right="275"/>
              <w:spacing w:after="0"/>
              <w:rPr>
                <w:sz w:val="20"/>
                <w:szCs w:val="20"/>
                <w:color w:val="auto"/>
              </w:rPr>
            </w:pPr>
            <w:r>
              <w:rPr>
                <w:rFonts w:ascii="Arial" w:cs="Arial" w:eastAsia="Arial" w:hAnsi="Arial"/>
                <w:sz w:val="16"/>
                <w:szCs w:val="16"/>
                <w:b w:val="1"/>
                <w:bCs w:val="1"/>
                <w:color w:val="auto"/>
              </w:rPr>
              <w:t>(a)</w:t>
            </w:r>
          </w:p>
        </w:tc>
        <w:tc>
          <w:tcPr>
            <w:tcW w:w="3080" w:type="dxa"/>
            <w:vAlign w:val="bottom"/>
          </w:tcPr>
          <w:p>
            <w:pPr>
              <w:jc w:val="center"/>
              <w:ind w:right="177"/>
              <w:spacing w:after="0"/>
              <w:rPr>
                <w:sz w:val="20"/>
                <w:szCs w:val="20"/>
                <w:color w:val="auto"/>
              </w:rPr>
            </w:pPr>
            <w:r>
              <w:rPr>
                <w:rFonts w:ascii="Arial" w:cs="Arial" w:eastAsia="Arial" w:hAnsi="Arial"/>
                <w:sz w:val="16"/>
                <w:szCs w:val="16"/>
                <w:b w:val="1"/>
                <w:bCs w:val="1"/>
                <w:color w:val="auto"/>
              </w:rPr>
              <w:t>Lessor, or Similar Party</w:t>
            </w:r>
          </w:p>
        </w:tc>
        <w:tc>
          <w:tcPr>
            <w:tcW w:w="4320" w:type="dxa"/>
            <w:vAlign w:val="bottom"/>
          </w:tcPr>
          <w:p>
            <w:pPr>
              <w:ind w:left="960"/>
              <w:spacing w:after="0"/>
              <w:rPr>
                <w:sz w:val="20"/>
                <w:szCs w:val="20"/>
                <w:color w:val="auto"/>
              </w:rPr>
            </w:pPr>
            <w:r>
              <w:rPr>
                <w:rFonts w:ascii="Arial" w:cs="Arial" w:eastAsia="Arial" w:hAnsi="Arial"/>
                <w:sz w:val="16"/>
                <w:szCs w:val="16"/>
                <w:b w:val="1"/>
                <w:bCs w:val="1"/>
                <w:color w:val="auto"/>
              </w:rPr>
              <w:t>Collateral, Par, or Maturity Value</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Cost</w:t>
            </w:r>
          </w:p>
        </w:tc>
        <w:tc>
          <w:tcPr>
            <w:tcW w:w="240" w:type="dxa"/>
            <w:vAlign w:val="bottom"/>
          </w:tcPr>
          <w:p>
            <w:pPr>
              <w:spacing w:after="0"/>
              <w:rPr>
                <w:sz w:val="19"/>
                <w:szCs w:val="19"/>
                <w:color w:val="auto"/>
              </w:rPr>
            </w:pPr>
          </w:p>
        </w:tc>
        <w:tc>
          <w:tcPr>
            <w:tcW w:w="1120" w:type="dxa"/>
            <w:vAlign w:val="bottom"/>
          </w:tcPr>
          <w:p>
            <w:pPr>
              <w:jc w:val="center"/>
              <w:ind w:right="137"/>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493"/>
        </w:trPr>
        <w:tc>
          <w:tcPr>
            <w:tcW w:w="560" w:type="dxa"/>
            <w:vAlign w:val="bottom"/>
            <w:vMerge w:val="restart"/>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vMerge w:val="restart"/>
          </w:tcPr>
          <w:p>
            <w:pPr>
              <w:jc w:val="center"/>
              <w:ind w:right="157"/>
              <w:spacing w:after="0"/>
              <w:rPr>
                <w:sz w:val="20"/>
                <w:szCs w:val="20"/>
                <w:color w:val="auto"/>
              </w:rPr>
            </w:pPr>
            <w:r>
              <w:rPr>
                <w:rFonts w:ascii="Times New Roman" w:cs="Times New Roman" w:eastAsia="Times New Roman" w:hAnsi="Times New Roman"/>
                <w:sz w:val="18"/>
                <w:szCs w:val="18"/>
                <w:color w:val="auto"/>
                <w:w w:val="99"/>
              </w:rPr>
              <w:t>Participant loans</w:t>
            </w: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Interest rates from 4.25% to 9.50%;</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60" w:type="dxa"/>
            <w:vAlign w:val="bottom"/>
            <w:vMerge w:val="continue"/>
          </w:tcPr>
          <w:p>
            <w:pPr>
              <w:spacing w:after="0"/>
              <w:rPr>
                <w:sz w:val="12"/>
                <w:szCs w:val="12"/>
                <w:color w:val="auto"/>
              </w:rPr>
            </w:pPr>
          </w:p>
        </w:tc>
        <w:tc>
          <w:tcPr>
            <w:tcW w:w="3080" w:type="dxa"/>
            <w:vAlign w:val="bottom"/>
            <w:vMerge w:val="continue"/>
          </w:tcPr>
          <w:p>
            <w:pPr>
              <w:spacing w:after="0"/>
              <w:rPr>
                <w:sz w:val="12"/>
                <w:szCs w:val="12"/>
                <w:color w:val="auto"/>
              </w:rPr>
            </w:pPr>
          </w:p>
        </w:tc>
        <w:tc>
          <w:tcPr>
            <w:tcW w:w="4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maturities through December 2040</w:t>
            </w:r>
          </w:p>
        </w:tc>
        <w:tc>
          <w:tcPr>
            <w:tcW w:w="1480" w:type="dxa"/>
            <w:vAlign w:val="bottom"/>
            <w:vMerge w:val="continue"/>
          </w:tcPr>
          <w:p>
            <w:pPr>
              <w:spacing w:after="0"/>
              <w:rPr>
                <w:sz w:val="12"/>
                <w:szCs w:val="12"/>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65,547,317</w:t>
            </w:r>
          </w:p>
        </w:tc>
        <w:tc>
          <w:tcPr>
            <w:tcW w:w="0" w:type="dxa"/>
            <w:vAlign w:val="bottom"/>
          </w:tcPr>
          <w:p>
            <w:pPr>
              <w:spacing w:after="0"/>
              <w:rPr>
                <w:sz w:val="1"/>
                <w:szCs w:val="1"/>
                <w:color w:val="auto"/>
              </w:rPr>
            </w:pPr>
          </w:p>
        </w:tc>
      </w:tr>
      <w:tr>
        <w:trPr>
          <w:trHeight w:val="140"/>
        </w:trPr>
        <w:tc>
          <w:tcPr>
            <w:tcW w:w="56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4320" w:type="dxa"/>
            <w:vAlign w:val="bottom"/>
            <w:vMerge w:val="continue"/>
          </w:tcPr>
          <w:p>
            <w:pPr>
              <w:spacing w:after="0"/>
              <w:rPr>
                <w:sz w:val="11"/>
                <w:szCs w:val="11"/>
                <w:color w:val="auto"/>
              </w:rPr>
            </w:pPr>
          </w:p>
        </w:tc>
        <w:tc>
          <w:tcPr>
            <w:tcW w:w="1480" w:type="dxa"/>
            <w:vAlign w:val="bottom"/>
          </w:tcPr>
          <w:p>
            <w:pPr>
              <w:spacing w:after="0"/>
              <w:rPr>
                <w:sz w:val="11"/>
                <w:szCs w:val="11"/>
                <w:color w:val="auto"/>
              </w:rPr>
            </w:pPr>
          </w:p>
        </w:tc>
        <w:tc>
          <w:tcPr>
            <w:tcW w:w="240" w:type="dxa"/>
            <w:vAlign w:val="bottom"/>
            <w:tcBorders>
              <w:bottom w:val="single" w:sz="8" w:color="auto"/>
            </w:tcBorders>
            <w:vMerge w:val="continue"/>
          </w:tcPr>
          <w:p>
            <w:pPr>
              <w:spacing w:after="0"/>
              <w:rPr>
                <w:sz w:val="11"/>
                <w:szCs w:val="11"/>
                <w:color w:val="auto"/>
              </w:rPr>
            </w:pPr>
          </w:p>
        </w:tc>
        <w:tc>
          <w:tcPr>
            <w:tcW w:w="11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200"/>
        <w:spacing w:after="0"/>
        <w:tabs>
          <w:tab w:leader="none" w:pos="480" w:val="left"/>
        </w:tabs>
        <w:rPr>
          <w:sz w:val="20"/>
          <w:szCs w:val="20"/>
          <w:color w:val="auto"/>
        </w:rPr>
      </w:pPr>
      <w:r>
        <w:rPr>
          <w:rFonts w:ascii="Times New Roman" w:cs="Times New Roman" w:eastAsia="Times New Roman" w:hAnsi="Times New Roman"/>
          <w:sz w:val="18"/>
          <w:szCs w:val="18"/>
          <w:color w:val="auto"/>
        </w:rPr>
        <w:t>*</w:t>
        <w:tab/>
        <w:t>Party-in-interest to the Plan.</w:t>
      </w:r>
    </w:p>
    <w:p>
      <w:pPr>
        <w:spacing w:after="0" w:line="27" w:lineRule="exact"/>
        <w:rPr>
          <w:sz w:val="20"/>
          <w:szCs w:val="20"/>
          <w:color w:val="auto"/>
        </w:rPr>
      </w:pPr>
    </w:p>
    <w:p>
      <w:pPr>
        <w:ind w:left="140"/>
        <w:spacing w:after="0"/>
        <w:tabs>
          <w:tab w:leader="none" w:pos="4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Cost not required to be presented for participant-directed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40" w:top="1440" w:right="619" w:bottom="1440" w:gutter="0" w:footer="0" w:header="0"/>
        </w:sectPr>
      </w:pPr>
    </w:p>
    <w:bookmarkStart w:id="62" w:name="page63"/>
    <w:bookmarkEnd w:id="62"/>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members of the Sempra Pension and Benefits Committee have duly caused this annual report to be signed on their behalf by the undersigned thereunto duly authorized.</w:t>
      </w:r>
    </w:p>
    <w:p>
      <w:pPr>
        <w:spacing w:after="0" w:line="200" w:lineRule="exact"/>
        <w:rPr>
          <w:sz w:val="20"/>
          <w:szCs w:val="20"/>
          <w:color w:val="auto"/>
        </w:rPr>
      </w:pPr>
    </w:p>
    <w:p>
      <w:pPr>
        <w:spacing w:after="0" w:line="26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auto"/>
        </w:rPr>
        <w:t>SEMPRA SAVINGS PLAN</w:t>
      </w:r>
    </w:p>
    <w:p>
      <w:pPr>
        <w:ind w:left="2240"/>
        <w:spacing w:after="0"/>
        <w:rPr>
          <w:sz w:val="20"/>
          <w:szCs w:val="20"/>
          <w:color w:val="auto"/>
        </w:rPr>
      </w:pPr>
      <w:r>
        <w:rPr>
          <w:rFonts w:ascii="Times New Roman" w:cs="Times New Roman" w:eastAsia="Times New Roman" w:hAnsi="Times New Roman"/>
          <w:sz w:val="20"/>
          <w:szCs w:val="20"/>
          <w:color w:val="auto"/>
        </w:rPr>
        <w:t>(Full title of the Plan)</w:t>
      </w:r>
    </w:p>
    <w:p>
      <w:pPr>
        <w:spacing w:after="0" w:line="275" w:lineRule="exact"/>
        <w:rPr>
          <w:sz w:val="20"/>
          <w:szCs w:val="20"/>
          <w:color w:val="auto"/>
        </w:rPr>
      </w:pPr>
    </w:p>
    <w:p>
      <w:pPr>
        <w:ind w:left="20"/>
        <w:spacing w:after="0"/>
        <w:tabs>
          <w:tab w:leader="none" w:pos="2220" w:val="left"/>
        </w:tabs>
        <w:rPr>
          <w:sz w:val="20"/>
          <w:szCs w:val="20"/>
          <w:color w:val="auto"/>
        </w:rPr>
      </w:pPr>
      <w:r>
        <w:rPr>
          <w:rFonts w:ascii="Times New Roman" w:cs="Times New Roman" w:eastAsia="Times New Roman" w:hAnsi="Times New Roman"/>
          <w:sz w:val="20"/>
          <w:szCs w:val="20"/>
          <w:color w:val="auto"/>
        </w:rPr>
        <w:t>Date: June 11, 2026</w:t>
      </w:r>
      <w:r>
        <w:rPr>
          <w:sz w:val="20"/>
          <w:szCs w:val="20"/>
          <w:color w:val="auto"/>
        </w:rPr>
        <w:tab/>
      </w:r>
      <w:r>
        <w:rPr>
          <w:rFonts w:ascii="Times New Roman" w:cs="Times New Roman" w:eastAsia="Times New Roman" w:hAnsi="Times New Roman"/>
          <w:sz w:val="19"/>
          <w:szCs w:val="19"/>
          <w:color w:val="auto"/>
        </w:rPr>
        <w:t>By: /s/ Karen L. Sedgwick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22860</wp:posOffset>
            </wp:positionV>
            <wp:extent cx="57264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26430" cy="8255"/>
                    </a:xfrm>
                    <a:prstGeom prst="rect">
                      <a:avLst/>
                    </a:prstGeom>
                    <a:noFill/>
                  </pic:spPr>
                </pic:pic>
              </a:graphicData>
            </a:graphic>
          </wp:anchor>
        </w:drawing>
      </w:r>
    </w:p>
    <w:p>
      <w:pPr>
        <w:spacing w:after="0" w:line="258"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auto"/>
        </w:rPr>
        <w:t>Karen L. Sedgwick</w:t>
      </w:r>
    </w:p>
    <w:p>
      <w:pPr>
        <w:ind w:left="2240"/>
        <w:spacing w:after="0" w:line="211" w:lineRule="auto"/>
        <w:rPr>
          <w:sz w:val="20"/>
          <w:szCs w:val="20"/>
          <w:color w:val="auto"/>
        </w:rPr>
      </w:pPr>
      <w:r>
        <w:rPr>
          <w:rFonts w:ascii="Times New Roman" w:cs="Times New Roman" w:eastAsia="Times New Roman" w:hAnsi="Times New Roman"/>
          <w:sz w:val="20"/>
          <w:szCs w:val="20"/>
          <w:color w:val="auto"/>
        </w:rPr>
        <w:t>Executive Vice President and Chief Financial Officer</w:t>
      </w:r>
    </w:p>
    <w:p>
      <w:pPr>
        <w:ind w:left="2240"/>
        <w:spacing w:after="0"/>
        <w:rPr>
          <w:sz w:val="20"/>
          <w:szCs w:val="20"/>
          <w:color w:val="auto"/>
        </w:rPr>
      </w:pPr>
      <w:r>
        <w:rPr>
          <w:rFonts w:ascii="Times New Roman" w:cs="Times New Roman" w:eastAsia="Times New Roman" w:hAnsi="Times New Roman"/>
          <w:sz w:val="20"/>
          <w:szCs w:val="20"/>
          <w:color w:val="auto"/>
        </w:rPr>
        <w:t>Sempra</w:t>
      </w:r>
    </w:p>
    <w:p>
      <w:pPr>
        <w:spacing w:after="0" w:line="25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auto"/>
        </w:rPr>
        <w:t>SAN DIEGO GAS &amp; ELECTRIC COMPANY SAVINGS PLAN</w:t>
      </w:r>
    </w:p>
    <w:p>
      <w:pPr>
        <w:ind w:left="2240"/>
        <w:spacing w:after="0"/>
        <w:rPr>
          <w:sz w:val="20"/>
          <w:szCs w:val="20"/>
          <w:color w:val="auto"/>
        </w:rPr>
      </w:pPr>
      <w:r>
        <w:rPr>
          <w:rFonts w:ascii="Times New Roman" w:cs="Times New Roman" w:eastAsia="Times New Roman" w:hAnsi="Times New Roman"/>
          <w:sz w:val="20"/>
          <w:szCs w:val="20"/>
          <w:color w:val="auto"/>
        </w:rPr>
        <w:t>(Full title of the Plan)</w:t>
      </w:r>
    </w:p>
    <w:p>
      <w:pPr>
        <w:spacing w:after="0" w:line="275" w:lineRule="exact"/>
        <w:rPr>
          <w:sz w:val="20"/>
          <w:szCs w:val="20"/>
          <w:color w:val="auto"/>
        </w:rPr>
      </w:pPr>
    </w:p>
    <w:p>
      <w:pPr>
        <w:ind w:left="20"/>
        <w:spacing w:after="0"/>
        <w:tabs>
          <w:tab w:leader="none" w:pos="2220" w:val="left"/>
        </w:tabs>
        <w:rPr>
          <w:sz w:val="20"/>
          <w:szCs w:val="20"/>
          <w:color w:val="auto"/>
        </w:rPr>
      </w:pPr>
      <w:r>
        <w:rPr>
          <w:rFonts w:ascii="Times New Roman" w:cs="Times New Roman" w:eastAsia="Times New Roman" w:hAnsi="Times New Roman"/>
          <w:sz w:val="20"/>
          <w:szCs w:val="20"/>
          <w:color w:val="auto"/>
        </w:rPr>
        <w:t>Date: June 11, 2026</w:t>
      </w:r>
      <w:r>
        <w:rPr>
          <w:sz w:val="20"/>
          <w:szCs w:val="20"/>
          <w:color w:val="auto"/>
        </w:rPr>
        <w:tab/>
      </w:r>
      <w:r>
        <w:rPr>
          <w:rFonts w:ascii="Times New Roman" w:cs="Times New Roman" w:eastAsia="Times New Roman" w:hAnsi="Times New Roman"/>
          <w:sz w:val="19"/>
          <w:szCs w:val="19"/>
          <w:color w:val="auto"/>
        </w:rPr>
        <w:t>By: /s/ Karen L. Sedgwick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22860</wp:posOffset>
            </wp:positionV>
            <wp:extent cx="572643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26430" cy="8255"/>
                    </a:xfrm>
                    <a:prstGeom prst="rect">
                      <a:avLst/>
                    </a:prstGeom>
                    <a:noFill/>
                  </pic:spPr>
                </pic:pic>
              </a:graphicData>
            </a:graphic>
          </wp:anchor>
        </w:drawing>
      </w:r>
    </w:p>
    <w:p>
      <w:pPr>
        <w:spacing w:after="0" w:line="258"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auto"/>
        </w:rPr>
        <w:t>Karen L. Sedgwick</w:t>
      </w:r>
    </w:p>
    <w:p>
      <w:pPr>
        <w:ind w:left="2240"/>
        <w:spacing w:after="0" w:line="211" w:lineRule="auto"/>
        <w:rPr>
          <w:sz w:val="20"/>
          <w:szCs w:val="20"/>
          <w:color w:val="auto"/>
        </w:rPr>
      </w:pPr>
      <w:r>
        <w:rPr>
          <w:rFonts w:ascii="Times New Roman" w:cs="Times New Roman" w:eastAsia="Times New Roman" w:hAnsi="Times New Roman"/>
          <w:sz w:val="20"/>
          <w:szCs w:val="20"/>
          <w:color w:val="auto"/>
        </w:rPr>
        <w:t>Executive Vice President and Chief Financial Officer</w:t>
      </w:r>
    </w:p>
    <w:p>
      <w:pPr>
        <w:ind w:left="2240"/>
        <w:spacing w:after="0"/>
        <w:rPr>
          <w:sz w:val="20"/>
          <w:szCs w:val="20"/>
          <w:color w:val="auto"/>
        </w:rPr>
      </w:pPr>
      <w:r>
        <w:rPr>
          <w:rFonts w:ascii="Times New Roman" w:cs="Times New Roman" w:eastAsia="Times New Roman" w:hAnsi="Times New Roman"/>
          <w:sz w:val="20"/>
          <w:szCs w:val="20"/>
          <w:color w:val="auto"/>
        </w:rPr>
        <w:t>Sempra</w:t>
      </w:r>
    </w:p>
    <w:p>
      <w:pPr>
        <w:spacing w:after="0" w:line="275" w:lineRule="exact"/>
        <w:rPr>
          <w:sz w:val="20"/>
          <w:szCs w:val="20"/>
          <w:color w:val="auto"/>
        </w:rPr>
      </w:pPr>
    </w:p>
    <w:p>
      <w:pPr>
        <w:ind w:left="2240" w:right="2420"/>
        <w:spacing w:after="0" w:line="233" w:lineRule="auto"/>
        <w:rPr>
          <w:sz w:val="20"/>
          <w:szCs w:val="20"/>
          <w:color w:val="auto"/>
        </w:rPr>
      </w:pPr>
      <w:r>
        <w:rPr>
          <w:rFonts w:ascii="Times New Roman" w:cs="Times New Roman" w:eastAsia="Times New Roman" w:hAnsi="Times New Roman"/>
          <w:sz w:val="20"/>
          <w:szCs w:val="20"/>
          <w:color w:val="auto"/>
        </w:rPr>
        <w:t>SOUTHERN CALIFORNIA GAS COMPANY RETIREMENT SAVINGS PLAN (Full title of the Plan)</w:t>
      </w:r>
    </w:p>
    <w:p>
      <w:pPr>
        <w:spacing w:after="0" w:line="269" w:lineRule="exact"/>
        <w:rPr>
          <w:sz w:val="20"/>
          <w:szCs w:val="20"/>
          <w:color w:val="auto"/>
        </w:rPr>
      </w:pPr>
    </w:p>
    <w:p>
      <w:pPr>
        <w:ind w:left="20"/>
        <w:spacing w:after="0"/>
        <w:tabs>
          <w:tab w:leader="none" w:pos="2220" w:val="left"/>
        </w:tabs>
        <w:rPr>
          <w:sz w:val="20"/>
          <w:szCs w:val="20"/>
          <w:color w:val="auto"/>
        </w:rPr>
      </w:pPr>
      <w:r>
        <w:rPr>
          <w:rFonts w:ascii="Times New Roman" w:cs="Times New Roman" w:eastAsia="Times New Roman" w:hAnsi="Times New Roman"/>
          <w:sz w:val="20"/>
          <w:szCs w:val="20"/>
          <w:color w:val="auto"/>
        </w:rPr>
        <w:t>Date: June 11, 2026</w:t>
      </w:r>
      <w:r>
        <w:rPr>
          <w:sz w:val="20"/>
          <w:szCs w:val="20"/>
          <w:color w:val="auto"/>
        </w:rPr>
        <w:tab/>
      </w:r>
      <w:r>
        <w:rPr>
          <w:rFonts w:ascii="Times New Roman" w:cs="Times New Roman" w:eastAsia="Times New Roman" w:hAnsi="Times New Roman"/>
          <w:sz w:val="19"/>
          <w:szCs w:val="19"/>
          <w:color w:val="auto"/>
        </w:rPr>
        <w:t>By: /s/ Karen L. Sedgwick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22860</wp:posOffset>
            </wp:positionV>
            <wp:extent cx="57264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26430" cy="8890"/>
                    </a:xfrm>
                    <a:prstGeom prst="rect">
                      <a:avLst/>
                    </a:prstGeom>
                    <a:noFill/>
                  </pic:spPr>
                </pic:pic>
              </a:graphicData>
            </a:graphic>
          </wp:anchor>
        </w:drawing>
      </w:r>
    </w:p>
    <w:p>
      <w:pPr>
        <w:spacing w:after="0" w:line="258"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auto"/>
        </w:rPr>
        <w:t>Karen L. Sedgwick</w:t>
      </w:r>
    </w:p>
    <w:p>
      <w:pPr>
        <w:ind w:left="2240"/>
        <w:spacing w:after="0" w:line="211" w:lineRule="auto"/>
        <w:rPr>
          <w:sz w:val="20"/>
          <w:szCs w:val="20"/>
          <w:color w:val="auto"/>
        </w:rPr>
      </w:pPr>
      <w:r>
        <w:rPr>
          <w:rFonts w:ascii="Times New Roman" w:cs="Times New Roman" w:eastAsia="Times New Roman" w:hAnsi="Times New Roman"/>
          <w:sz w:val="20"/>
          <w:szCs w:val="20"/>
          <w:color w:val="auto"/>
        </w:rPr>
        <w:t>Executive Vice President and Chief Financial Officer</w:t>
      </w:r>
    </w:p>
    <w:p>
      <w:pPr>
        <w:ind w:left="2240"/>
        <w:spacing w:after="0"/>
        <w:rPr>
          <w:sz w:val="20"/>
          <w:szCs w:val="20"/>
          <w:color w:val="auto"/>
        </w:rPr>
      </w:pPr>
      <w:r>
        <w:rPr>
          <w:rFonts w:ascii="Times New Roman" w:cs="Times New Roman" w:eastAsia="Times New Roman" w:hAnsi="Times New Roman"/>
          <w:sz w:val="20"/>
          <w:szCs w:val="20"/>
          <w:color w:val="auto"/>
        </w:rPr>
        <w:t>Sempra</w:t>
      </w:r>
    </w:p>
    <w:p>
      <w:pPr>
        <w:sectPr>
          <w:pgSz w:w="11900" w:h="16838" w:orient="portrait"/>
          <w:cols w:equalWidth="0" w:num="1">
            <w:col w:w="11180"/>
          </w:cols>
          <w:pgMar w:left="320" w:top="1409" w:right="399" w:bottom="1440" w:gutter="0" w:footer="0" w:header="0"/>
        </w:sectPr>
      </w:pPr>
    </w:p>
    <w:bookmarkStart w:id="63" w:name="page64"/>
    <w:bookmarkEnd w:id="63"/>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Exhibit 23.0</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6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We consent to the incorporation by reference in Registration Statement Nos. 333-200828 and 333-56161 (including post-effective amendments Nos. 1 and 2) on Form S-8 of Sempra, of our reports dated June 11, 2026, relating to the financial statements and supplemental schedules of Sempra Savings Plan; San Diego Gas &amp; Electric Company Savings Plan; and Southern California Gas Company Retirement Savings Plan appearing in this Annual Report on Form 11-K for the year ended December 31, 2025.</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DELOITTE &amp; TOUCHE LLP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11, 2026</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decimal"/>
      <w:start w:val="1"/>
    </w:lvl>
    <w:lvl w:ilvl="1">
      <w:lvlJc w:val="left"/>
      <w:lvlText w:val="•"/>
      <w:numFmt w:val="bullet"/>
      <w:start w:val="1"/>
    </w:lvl>
  </w:abstractNum>
  <w:abstractNum w:abstractNumId="7">
    <w:nsid w:val="7C83E458"/>
    <w:multiLevelType w:val="hybridMultilevel"/>
    <w:lvl w:ilvl="0">
      <w:lvlJc w:val="left"/>
      <w:lvlText w:val="%1."/>
      <w:numFmt w:val="decimal"/>
      <w:start w:val="4"/>
    </w:lvl>
  </w:abstractNum>
  <w:abstractNum w:abstractNumId="8">
    <w:nsid w:val="257130A3"/>
    <w:multiLevelType w:val="hybridMultilevel"/>
    <w:lvl w:ilvl="0">
      <w:lvlJc w:val="left"/>
      <w:lvlText w:val="%1."/>
      <w:numFmt w:val="decimal"/>
      <w:start w:val="5"/>
    </w:lvl>
    <w:lvl w:ilvl="1">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1."/>
      <w:numFmt w:val="decimal"/>
      <w:start w:val="6"/>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decimal"/>
      <w:start w:val="2"/>
    </w:lvl>
  </w:abstractNum>
  <w:abstractNum w:abstractNumId="17">
    <w:nsid w:val="75A2A8D4"/>
    <w:multiLevelType w:val="hybridMultilevel"/>
    <w:lvl w:ilvl="0">
      <w:lvlJc w:val="left"/>
      <w:lvlText w:val="%1."/>
      <w:numFmt w:val="decimal"/>
      <w:start w:val="4"/>
    </w:lvl>
  </w:abstractNum>
  <w:abstractNum w:abstractNumId="18">
    <w:nsid w:val="8EDBDAB"/>
    <w:multiLevelType w:val="hybridMultilevel"/>
    <w:lvl w:ilvl="0">
      <w:lvlJc w:val="left"/>
      <w:lvlText w:val="%1."/>
      <w:numFmt w:val="decimal"/>
      <w:start w:val="5"/>
    </w:lvl>
    <w:lvl w:ilvl="1">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decimal"/>
      <w:start w:val="6"/>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2"/>
    </w:lvl>
  </w:abstractNum>
  <w:abstractNum w:abstractNumId="27">
    <w:nsid w:val="2901D82"/>
    <w:multiLevelType w:val="hybridMultilevel"/>
    <w:lvl w:ilvl="0">
      <w:lvlJc w:val="left"/>
      <w:lvlText w:val="%1."/>
      <w:numFmt w:val="decimal"/>
      <w:start w:val="4"/>
    </w:lvl>
  </w:abstractNum>
  <w:abstractNum w:abstractNumId="28">
    <w:nsid w:val="3A95F874"/>
    <w:multiLevelType w:val="hybridMultilevel"/>
    <w:lvl w:ilvl="0">
      <w:lvlJc w:val="left"/>
      <w:lvlText w:val="%1."/>
      <w:numFmt w:val="decimal"/>
      <w:start w:val="5"/>
    </w:lvl>
    <w:lvl w:ilvl="1">
      <w:lvlJc w:val="left"/>
      <w:lvlText w:val="•"/>
      <w:numFmt w:val="bullet"/>
      <w:start w:val="1"/>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2026-06-11T14:10:44Z</dcterms:created>
  <dcterms:modified xsi:type="dcterms:W3CDTF">2026-06-11T14:10:44Z</dcterms:modified>
</cp:coreProperties>
</file>